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rsidP="00EF521C">
      <w:pPr>
        <w:spacing w:line="300" w:lineRule="exact"/>
        <w:rPr>
          <w:sz w:val="24"/>
        </w:rPr>
        <w:sectPr w:rsidR="00CC5D98">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552E51" w:rsidP="00EF521C">
            <w:pPr>
              <w:pStyle w:val="E-Datum"/>
              <w:framePr w:wrap="auto" w:vAnchor="margin" w:hAnchor="text" w:xAlign="left" w:yAlign="inline"/>
              <w:ind w:left="85"/>
              <w:suppressOverlap w:val="0"/>
            </w:pPr>
            <w:r>
              <w:t>May 6, 2014</w:t>
            </w:r>
          </w:p>
        </w:tc>
      </w:tr>
      <w:tr w:rsidR="00CC5D98" w:rsidTr="00B14022">
        <w:trPr>
          <w:trHeight w:hRule="exact" w:val="304"/>
        </w:trPr>
        <w:tc>
          <w:tcPr>
            <w:tcW w:w="2271" w:type="dxa"/>
            <w:shd w:val="clear" w:color="auto" w:fill="auto"/>
          </w:tcPr>
          <w:p w:rsidR="00CC5D98" w:rsidRDefault="00CC5D98" w:rsidP="00EF521C">
            <w:pPr>
              <w:spacing w:line="180" w:lineRule="exact"/>
            </w:pPr>
          </w:p>
        </w:tc>
      </w:tr>
      <w:tr w:rsidR="00CC5D98" w:rsidRPr="00EF521C" w:rsidTr="00B14022">
        <w:trPr>
          <w:trHeight w:hRule="exact" w:val="1222"/>
        </w:trPr>
        <w:tc>
          <w:tcPr>
            <w:tcW w:w="2271" w:type="dxa"/>
            <w:shd w:val="clear" w:color="auto" w:fill="auto"/>
          </w:tcPr>
          <w:p w:rsidR="00CC5D98" w:rsidRPr="003C3375" w:rsidRDefault="00552E51" w:rsidP="00EF521C">
            <w:pPr>
              <w:pStyle w:val="M7"/>
              <w:framePr w:wrap="auto" w:vAnchor="margin" w:hAnchor="text" w:xAlign="left" w:yAlign="inline"/>
              <w:ind w:left="85"/>
              <w:suppressOverlap w:val="0"/>
              <w:rPr>
                <w:lang w:val="en-US"/>
              </w:rPr>
            </w:pPr>
            <w:r>
              <w:rPr>
                <w:lang w:val="en-US"/>
              </w:rPr>
              <w:t>Barbara Müller</w:t>
            </w:r>
          </w:p>
          <w:p w:rsidR="00CC5D98" w:rsidRPr="00E12886" w:rsidRDefault="00552E51" w:rsidP="00EF521C">
            <w:pPr>
              <w:pStyle w:val="M8"/>
              <w:framePr w:wrap="auto" w:vAnchor="margin" w:hAnchor="text" w:xAlign="left" w:yAlign="inline"/>
              <w:ind w:left="85"/>
              <w:suppressOverlap w:val="0"/>
              <w:rPr>
                <w:lang w:val="en-US"/>
              </w:rPr>
            </w:pPr>
            <w:r>
              <w:rPr>
                <w:lang w:val="en-US"/>
              </w:rPr>
              <w:t>Head of Corporate Press</w:t>
            </w:r>
            <w:r w:rsidR="00B14022" w:rsidRPr="00E12886">
              <w:rPr>
                <w:lang w:val="en-US"/>
              </w:rPr>
              <w:t xml:space="preserve"> </w:t>
            </w:r>
          </w:p>
          <w:p w:rsidR="00CC5D98" w:rsidRPr="00E12886" w:rsidRDefault="00F31F7C" w:rsidP="00EF521C">
            <w:pPr>
              <w:pStyle w:val="M9"/>
              <w:framePr w:wrap="auto" w:vAnchor="margin" w:hAnchor="text" w:xAlign="left" w:yAlign="inline"/>
              <w:ind w:left="85"/>
              <w:suppressOverlap w:val="0"/>
              <w:rPr>
                <w:lang w:val="en-US"/>
              </w:rPr>
            </w:pPr>
            <w:r>
              <w:rPr>
                <w:lang w:val="en-US"/>
              </w:rPr>
              <w:t>Phone +</w:t>
            </w:r>
            <w:r w:rsidR="00B81424">
              <w:rPr>
                <w:lang w:val="en-US"/>
              </w:rPr>
              <w:t>49</w:t>
            </w:r>
            <w:r>
              <w:rPr>
                <w:lang w:val="en-US"/>
              </w:rPr>
              <w:tab/>
            </w:r>
            <w:r w:rsidR="00552E51">
              <w:rPr>
                <w:lang w:val="en-US"/>
              </w:rPr>
              <w:t>201 177-3423</w:t>
            </w:r>
          </w:p>
          <w:p w:rsidR="00CC5D98" w:rsidRDefault="00F31F7C" w:rsidP="00EF521C">
            <w:pPr>
              <w:pStyle w:val="M10"/>
              <w:framePr w:wrap="auto" w:vAnchor="margin" w:hAnchor="text" w:xAlign="left" w:yAlign="inline"/>
              <w:ind w:left="85"/>
              <w:suppressOverlap w:val="0"/>
            </w:pPr>
            <w:r>
              <w:t>F</w:t>
            </w:r>
            <w:r w:rsidR="00B81424">
              <w:t>ax +49</w:t>
            </w:r>
            <w:r w:rsidR="00B81424">
              <w:tab/>
            </w:r>
            <w:r w:rsidR="00552E51">
              <w:t>201 177-3030</w:t>
            </w:r>
          </w:p>
          <w:p w:rsidR="00CC5D98" w:rsidRDefault="00552E51" w:rsidP="00EF521C">
            <w:pPr>
              <w:pStyle w:val="M10"/>
              <w:framePr w:wrap="auto" w:vAnchor="margin" w:hAnchor="text" w:xAlign="left" w:yAlign="inline"/>
              <w:ind w:left="85"/>
              <w:suppressOverlap w:val="0"/>
            </w:pPr>
            <w:r>
              <w:t>barbara.mueller</w:t>
            </w:r>
            <w:r w:rsidR="00B14022">
              <w:t>@evonik.com</w:t>
            </w:r>
            <w:r w:rsidR="00B14022">
              <w:rPr>
                <w:lang w:val="sv-SE"/>
              </w:rPr>
              <w:t xml:space="preserve"> </w:t>
            </w:r>
          </w:p>
        </w:tc>
      </w:tr>
      <w:tr w:rsidR="00CC5D98" w:rsidRPr="00EF521C" w:rsidTr="00B14022">
        <w:trPr>
          <w:trHeight w:val="2609"/>
        </w:trPr>
        <w:tc>
          <w:tcPr>
            <w:tcW w:w="2271" w:type="dxa"/>
            <w:shd w:val="clear" w:color="auto" w:fill="auto"/>
          </w:tcPr>
          <w:p w:rsidR="00CC5D98" w:rsidRPr="00E12886" w:rsidRDefault="00CC5D98" w:rsidP="00EF521C">
            <w:pPr>
              <w:pStyle w:val="M12"/>
              <w:framePr w:wrap="auto" w:vAnchor="margin" w:hAnchor="text" w:xAlign="left" w:yAlign="inline"/>
              <w:ind w:left="85"/>
              <w:suppressOverlap w:val="0"/>
              <w:rPr>
                <w:lang w:val="en-US"/>
              </w:rPr>
            </w:pPr>
          </w:p>
          <w:p w:rsidR="00CC5D98" w:rsidRPr="003C3375" w:rsidRDefault="00552E51" w:rsidP="00EF521C">
            <w:pPr>
              <w:pStyle w:val="M7"/>
              <w:framePr w:wrap="auto" w:vAnchor="margin" w:hAnchor="text" w:xAlign="left" w:yAlign="inline"/>
              <w:ind w:left="85"/>
              <w:suppressOverlap w:val="0"/>
              <w:rPr>
                <w:lang w:val="en-US"/>
              </w:rPr>
            </w:pPr>
            <w:r>
              <w:rPr>
                <w:lang w:val="en-US"/>
              </w:rPr>
              <w:t>Alexandra Boy</w:t>
            </w:r>
          </w:p>
          <w:p w:rsidR="00552E51" w:rsidRPr="00F31F7C" w:rsidRDefault="00552E51" w:rsidP="00EF521C">
            <w:pPr>
              <w:pStyle w:val="M8"/>
              <w:framePr w:wrap="auto" w:vAnchor="margin" w:hAnchor="text" w:xAlign="left" w:yAlign="inline"/>
              <w:ind w:left="85"/>
              <w:suppressOverlap w:val="0"/>
              <w:rPr>
                <w:lang w:val="en-US"/>
              </w:rPr>
            </w:pPr>
            <w:r>
              <w:rPr>
                <w:lang w:val="en-US"/>
              </w:rPr>
              <w:t>Deputy Head Corporate Press</w:t>
            </w:r>
          </w:p>
          <w:p w:rsidR="00CC5D98" w:rsidRPr="00BC3F95" w:rsidRDefault="00F31F7C" w:rsidP="00EF521C">
            <w:pPr>
              <w:pStyle w:val="M9"/>
              <w:framePr w:wrap="auto" w:vAnchor="margin" w:hAnchor="text" w:xAlign="left" w:yAlign="inline"/>
              <w:ind w:left="85"/>
              <w:suppressOverlap w:val="0"/>
              <w:rPr>
                <w:lang w:val="en-US"/>
              </w:rPr>
            </w:pPr>
            <w:r w:rsidRPr="00BC3F95">
              <w:rPr>
                <w:lang w:val="en-US"/>
              </w:rPr>
              <w:t>Phone</w:t>
            </w:r>
            <w:r w:rsidR="00B14022" w:rsidRPr="00BC3F95">
              <w:rPr>
                <w:lang w:val="en-US"/>
              </w:rPr>
              <w:t xml:space="preserve"> +49</w:t>
            </w:r>
            <w:r w:rsidR="00B14022" w:rsidRPr="00BC3F95">
              <w:rPr>
                <w:lang w:val="en-US"/>
              </w:rPr>
              <w:tab/>
            </w:r>
            <w:r w:rsidR="00552E51" w:rsidRPr="00BC3F95">
              <w:rPr>
                <w:lang w:val="en-US"/>
              </w:rPr>
              <w:t>201 177-3167</w:t>
            </w:r>
          </w:p>
          <w:p w:rsidR="00CC5D98" w:rsidRDefault="00F31F7C" w:rsidP="00EF521C">
            <w:pPr>
              <w:pStyle w:val="M10"/>
              <w:framePr w:wrap="auto" w:vAnchor="margin" w:hAnchor="text" w:xAlign="left" w:yAlign="inline"/>
              <w:ind w:left="85"/>
              <w:suppressOverlap w:val="0"/>
            </w:pPr>
            <w:r>
              <w:t>F</w:t>
            </w:r>
            <w:r w:rsidR="00B14022">
              <w:t>ax +49</w:t>
            </w:r>
            <w:r w:rsidR="00B14022">
              <w:tab/>
            </w:r>
            <w:r w:rsidR="00552E51">
              <w:t>201 177-3030</w:t>
            </w:r>
            <w:r w:rsidR="00B14022">
              <w:tab/>
            </w:r>
          </w:p>
          <w:p w:rsidR="00CC5D98" w:rsidRDefault="00552E51" w:rsidP="00EF521C">
            <w:pPr>
              <w:pStyle w:val="M10"/>
              <w:framePr w:wrap="auto" w:vAnchor="margin" w:hAnchor="text" w:xAlign="left" w:yAlign="inline"/>
              <w:ind w:left="85"/>
              <w:suppressOverlap w:val="0"/>
            </w:pPr>
            <w:r>
              <w:t>alexandra.boy</w:t>
            </w:r>
            <w:r w:rsidR="00B14022">
              <w:t>@evonik.com</w:t>
            </w:r>
          </w:p>
          <w:p w:rsidR="00CC5D98" w:rsidRPr="00BC3F95" w:rsidRDefault="00B14022" w:rsidP="00EF521C">
            <w:pPr>
              <w:pStyle w:val="M12"/>
              <w:framePr w:wrap="auto" w:vAnchor="margin" w:hAnchor="text" w:xAlign="left" w:yAlign="inline"/>
              <w:ind w:left="85"/>
              <w:suppressOverlap w:val="0"/>
              <w:rPr>
                <w:lang w:val="en-US"/>
              </w:rPr>
            </w:pPr>
            <w:r w:rsidRPr="00BC3F95">
              <w:rPr>
                <w:lang w:val="en-US"/>
              </w:rPr>
              <w:br/>
            </w:r>
          </w:p>
        </w:tc>
      </w:tr>
      <w:tr w:rsidR="00CC5D98" w:rsidRPr="003C3375" w:rsidTr="00B14022">
        <w:trPr>
          <w:trHeight w:hRule="exact" w:val="7880"/>
        </w:trPr>
        <w:tc>
          <w:tcPr>
            <w:tcW w:w="2271" w:type="dxa"/>
            <w:shd w:val="clear" w:color="auto" w:fill="auto"/>
            <w:vAlign w:val="bottom"/>
          </w:tcPr>
          <w:p w:rsidR="00CC5D98" w:rsidRPr="00BC3F95" w:rsidRDefault="00CC5D98" w:rsidP="00EF521C">
            <w:pPr>
              <w:pStyle w:val="Marginalie"/>
              <w:framePr w:w="0" w:hSpace="0" w:wrap="auto" w:vAnchor="margin" w:hAnchor="text" w:xAlign="left" w:yAlign="inline"/>
              <w:ind w:left="85"/>
              <w:rPr>
                <w:b/>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B14022" w:rsidRPr="00BC3F95" w:rsidRDefault="00B14022" w:rsidP="00EF521C">
            <w:pPr>
              <w:pStyle w:val="V1"/>
              <w:framePr w:wrap="auto" w:vAnchor="margin" w:hAnchor="text" w:xAlign="left" w:yAlign="inline"/>
              <w:ind w:left="85"/>
              <w:suppressOverlap w:val="0"/>
              <w:rPr>
                <w:lang w:val="en-US"/>
              </w:rPr>
            </w:pPr>
          </w:p>
          <w:p w:rsidR="00CC5D98" w:rsidRDefault="00B14022" w:rsidP="00EF521C">
            <w:pPr>
              <w:pStyle w:val="V1"/>
              <w:framePr w:wrap="auto" w:vAnchor="margin" w:hAnchor="text" w:xAlign="left" w:yAlign="inline"/>
              <w:ind w:left="85"/>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9C3197">
              <w:rPr>
                <w:noProof/>
              </w:rPr>
              <w:t>Evonik Industries AG</w:t>
            </w:r>
            <w:r>
              <w:fldChar w:fldCharType="end"/>
            </w:r>
          </w:p>
          <w:p w:rsidR="00CC5D98" w:rsidRDefault="00B14022" w:rsidP="00EF521C">
            <w:pPr>
              <w:pStyle w:val="V2"/>
              <w:framePr w:wrap="auto" w:vAnchor="margin" w:hAnchor="text" w:xAlign="left" w:yAlign="inline"/>
              <w:ind w:left="85"/>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9C3197">
              <w:rPr>
                <w:noProof/>
              </w:rPr>
              <w:t>Rellinghauser Straße 1-11</w:t>
            </w:r>
            <w:r>
              <w:fldChar w:fldCharType="end"/>
            </w:r>
          </w:p>
          <w:p w:rsidR="00CC5D98" w:rsidRPr="00F31F7C" w:rsidRDefault="00B14022" w:rsidP="00EF521C">
            <w:pPr>
              <w:pStyle w:val="V3"/>
              <w:framePr w:wrap="auto" w:vAnchor="margin" w:hAnchor="text" w:xAlign="left" w:yAlign="inline"/>
              <w:ind w:left="85"/>
              <w:suppressOverlap w:val="0"/>
              <w:rPr>
                <w:lang w:val="en-US"/>
              </w:rPr>
            </w:pPr>
            <w:r>
              <w:fldChar w:fldCharType="begin">
                <w:ffData>
                  <w:name w:val=""/>
                  <w:enabled/>
                  <w:calcOnExit w:val="0"/>
                  <w:textInput>
                    <w:default w:val="45128 Essen"/>
                  </w:textInput>
                </w:ffData>
              </w:fldChar>
            </w:r>
            <w:r w:rsidRPr="00BC3F95">
              <w:rPr>
                <w:lang w:val="en-US"/>
              </w:rPr>
              <w:instrText xml:space="preserve"> FORMTEXT </w:instrText>
            </w:r>
            <w:r>
              <w:fldChar w:fldCharType="separate"/>
            </w:r>
            <w:r w:rsidR="009C3197">
              <w:rPr>
                <w:noProof/>
              </w:rPr>
              <w:t>45128 Essen</w:t>
            </w:r>
            <w:r>
              <w:fldChar w:fldCharType="end"/>
            </w:r>
            <w:r w:rsidR="003C3375" w:rsidRPr="00BC3F95">
              <w:rPr>
                <w:lang w:val="en-US"/>
              </w:rPr>
              <w:br/>
              <w:t>Ger</w:t>
            </w:r>
            <w:r w:rsidR="003C3375" w:rsidRPr="00F31F7C">
              <w:rPr>
                <w:lang w:val="en-US"/>
              </w:rPr>
              <w:t>many</w:t>
            </w:r>
          </w:p>
          <w:p w:rsidR="00CC5D98" w:rsidRPr="00E12886" w:rsidRDefault="003C3375" w:rsidP="00EF521C">
            <w:pPr>
              <w:pStyle w:val="V4"/>
              <w:framePr w:wrap="auto" w:vAnchor="margin" w:hAnchor="text" w:xAlign="left" w:yAlign="inline"/>
              <w:ind w:left="85"/>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9C3197">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9C3197">
              <w:rPr>
                <w:noProof/>
              </w:rPr>
              <w:t>-</w:t>
            </w:r>
            <w:r w:rsidR="00B14022">
              <w:fldChar w:fldCharType="end"/>
            </w:r>
            <w:r w:rsidR="00B14022" w:rsidRPr="00E12886">
              <w:rPr>
                <w:lang w:val="en-US"/>
              </w:rPr>
              <w:t>01</w:t>
            </w:r>
          </w:p>
          <w:p w:rsidR="00CC5D98" w:rsidRDefault="00B14022" w:rsidP="00EF521C">
            <w:pPr>
              <w:pStyle w:val="V5"/>
              <w:framePr w:wrap="auto" w:vAnchor="margin" w:hAnchor="text" w:xAlign="left" w:yAlign="inline"/>
              <w:ind w:left="85"/>
              <w:suppressOverlap w:val="0"/>
            </w:pPr>
            <w:r>
              <w:fldChar w:fldCharType="begin">
                <w:ffData>
                  <w:name w:val=""/>
                  <w:enabled/>
                  <w:calcOnExit w:val="0"/>
                  <w:textInput>
                    <w:default w:val="Telefax"/>
                  </w:textInput>
                </w:ffData>
              </w:fldChar>
            </w:r>
            <w:r>
              <w:instrText xml:space="preserve"> FORMTEXT </w:instrText>
            </w:r>
            <w:r>
              <w:fldChar w:fldCharType="separate"/>
            </w:r>
            <w:r w:rsidR="009C3197">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9C3197">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9C3197">
              <w:rPr>
                <w:noProof/>
              </w:rPr>
              <w:t>-</w:t>
            </w:r>
            <w:r>
              <w:fldChar w:fldCharType="end"/>
            </w:r>
            <w:r>
              <w:t>3475</w:t>
            </w:r>
          </w:p>
          <w:p w:rsidR="00CC5D98" w:rsidRPr="00E12886" w:rsidRDefault="00B14022" w:rsidP="00EF521C">
            <w:pPr>
              <w:pStyle w:val="V6"/>
              <w:framePr w:wrap="auto" w:vAnchor="margin" w:hAnchor="text" w:xAlign="left" w:yAlign="inline"/>
              <w:ind w:left="85"/>
              <w:suppressOverlap w:val="0"/>
              <w:rPr>
                <w:lang w:val="en-US"/>
              </w:rPr>
            </w:pPr>
            <w:r w:rsidRPr="00E12886">
              <w:rPr>
                <w:lang w:val="en-US"/>
              </w:rPr>
              <w:t>www.evonik.de</w:t>
            </w:r>
          </w:p>
          <w:p w:rsidR="00CC5D98" w:rsidRPr="00E12886" w:rsidRDefault="00CC5D98" w:rsidP="00EF521C">
            <w:pPr>
              <w:pStyle w:val="Marginalie"/>
              <w:framePr w:w="0" w:hSpace="0" w:wrap="auto" w:vAnchor="margin" w:hAnchor="text" w:xAlign="left" w:yAlign="inline"/>
              <w:ind w:left="85"/>
              <w:rPr>
                <w:lang w:val="en-US"/>
              </w:rPr>
            </w:pPr>
          </w:p>
          <w:p w:rsidR="00CC5D98" w:rsidRPr="00E12886" w:rsidRDefault="003C3375" w:rsidP="00EF521C">
            <w:pPr>
              <w:pStyle w:val="Marginalie"/>
              <w:framePr w:w="0" w:hSpace="0" w:wrap="auto" w:vAnchor="margin" w:hAnchor="text" w:xAlign="left" w:yAlign="inline"/>
              <w:ind w:left="85"/>
              <w:rPr>
                <w:b/>
                <w:bCs/>
                <w:lang w:val="en-US"/>
              </w:rPr>
            </w:pPr>
            <w:r w:rsidRPr="00E12886">
              <w:rPr>
                <w:b/>
                <w:bCs/>
                <w:lang w:val="en-US"/>
              </w:rPr>
              <w:t>Supervisory Board</w:t>
            </w:r>
          </w:p>
          <w:p w:rsidR="00CC5D98" w:rsidRDefault="00B14022" w:rsidP="00EF521C">
            <w:pPr>
              <w:pStyle w:val="Marginalie"/>
              <w:framePr w:w="0" w:hSpace="0" w:wrap="auto" w:vAnchor="margin" w:hAnchor="text" w:xAlign="left" w:yAlign="inline"/>
              <w:ind w:left="85"/>
              <w:rPr>
                <w:lang w:val="en-US"/>
              </w:rPr>
            </w:pPr>
            <w:r w:rsidRPr="00F31F7C">
              <w:rPr>
                <w:lang w:val="en-US"/>
              </w:rPr>
              <w:t xml:space="preserve">Dr. Werner Müller, </w:t>
            </w:r>
            <w:r w:rsidR="00E12886" w:rsidRPr="00F31F7C">
              <w:rPr>
                <w:lang w:val="en-US"/>
              </w:rPr>
              <w:t>Chairman</w:t>
            </w:r>
          </w:p>
          <w:p w:rsidR="00CC5D98" w:rsidRPr="00696302" w:rsidRDefault="003C3375" w:rsidP="00EF521C">
            <w:pPr>
              <w:pStyle w:val="V9"/>
              <w:framePr w:wrap="auto" w:vAnchor="margin" w:hAnchor="text" w:xAlign="left" w:yAlign="inline"/>
              <w:ind w:left="85"/>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9C3197">
              <w:rPr>
                <w:noProof/>
              </w:rPr>
              <w:t>Executive Board</w:t>
            </w:r>
            <w:r>
              <w:fldChar w:fldCharType="end"/>
            </w:r>
          </w:p>
          <w:p w:rsidR="00CC5D98" w:rsidRPr="00E23BAC" w:rsidRDefault="00B14022" w:rsidP="00EF521C">
            <w:pPr>
              <w:pStyle w:val="V10"/>
              <w:framePr w:wrap="auto" w:vAnchor="margin" w:hAnchor="text" w:xAlign="left" w:yAlign="inline"/>
              <w:ind w:left="85"/>
              <w:suppressOverlap w:val="0"/>
              <w:rPr>
                <w:lang w:val="en-US"/>
              </w:rPr>
            </w:pPr>
            <w:r>
              <w:fldChar w:fldCharType="begin">
                <w:ffData>
                  <w:name w:val=""/>
                  <w:enabled/>
                  <w:calcOnExit w:val="0"/>
                  <w:textInput>
                    <w:default w:val="Dr. Klaus Engel"/>
                  </w:textInput>
                </w:ffData>
              </w:fldChar>
            </w:r>
            <w:r w:rsidRPr="00E23BAC">
              <w:rPr>
                <w:lang w:val="en-US"/>
              </w:rPr>
              <w:instrText xml:space="preserve"> FORMTEXT </w:instrText>
            </w:r>
            <w:r>
              <w:fldChar w:fldCharType="separate"/>
            </w:r>
            <w:r w:rsidR="009C3197">
              <w:rPr>
                <w:noProof/>
              </w:rPr>
              <w:t>Dr. Klaus Engel</w:t>
            </w:r>
            <w:r>
              <w:fldChar w:fldCharType="end"/>
            </w:r>
            <w:r w:rsidRPr="00E23BAC">
              <w:rPr>
                <w:lang w:val="en-US"/>
              </w:rPr>
              <w:t xml:space="preserve">, </w:t>
            </w:r>
            <w:r w:rsidR="003C3375" w:rsidRPr="00E23BAC">
              <w:rPr>
                <w:lang w:val="en-US"/>
              </w:rPr>
              <w:t>Chairman</w:t>
            </w:r>
          </w:p>
          <w:p w:rsidR="00CC5D98" w:rsidRDefault="00B14022" w:rsidP="00EF521C">
            <w:pPr>
              <w:pStyle w:val="V11"/>
              <w:framePr w:wrap="auto" w:vAnchor="margin" w:hAnchor="text" w:xAlign="left" w:yAlign="inline"/>
              <w:ind w:left="85"/>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9C3197">
              <w:rPr>
                <w:noProof/>
              </w:rPr>
              <w:t>Patrik Wohlhauser</w:t>
            </w:r>
            <w:r>
              <w:fldChar w:fldCharType="end"/>
            </w:r>
            <w:r w:rsidR="00554BE4">
              <w:br/>
              <w:t>Ute Wolf</w:t>
            </w:r>
            <w:r w:rsidR="00554BE4">
              <w:br/>
            </w:r>
          </w:p>
          <w:p w:rsidR="00CC5D98" w:rsidRPr="003C3375" w:rsidRDefault="003C3375" w:rsidP="00EF521C">
            <w:pPr>
              <w:pStyle w:val="V14"/>
              <w:framePr w:wrap="auto" w:vAnchor="margin" w:hAnchor="text" w:xAlign="left" w:yAlign="inline"/>
              <w:ind w:left="85"/>
              <w:suppressOverlap w:val="0"/>
              <w:rPr>
                <w:lang w:val="en-US"/>
              </w:rPr>
            </w:pPr>
            <w:r w:rsidRPr="003C3375">
              <w:rPr>
                <w:lang w:val="en-US"/>
              </w:rPr>
              <w:t>Registered office Essen</w:t>
            </w:r>
          </w:p>
          <w:p w:rsidR="00CC5D98" w:rsidRPr="003C3375" w:rsidRDefault="003C3375" w:rsidP="00EF521C">
            <w:pPr>
              <w:pStyle w:val="V15"/>
              <w:framePr w:wrap="auto" w:vAnchor="margin" w:hAnchor="text" w:xAlign="left" w:yAlign="inline"/>
              <w:ind w:left="85"/>
              <w:suppressOverlap w:val="0"/>
              <w:rPr>
                <w:lang w:val="en-US"/>
              </w:rPr>
            </w:pPr>
            <w:r w:rsidRPr="003C3375">
              <w:rPr>
                <w:lang w:val="en-US"/>
              </w:rPr>
              <w:t>Registered court</w:t>
            </w:r>
          </w:p>
          <w:p w:rsidR="00CC5D98" w:rsidRPr="003C3375" w:rsidRDefault="003C3375" w:rsidP="00EF521C">
            <w:pPr>
              <w:pStyle w:val="V16"/>
              <w:framePr w:wrap="auto" w:vAnchor="margin" w:hAnchor="text" w:xAlign="left" w:yAlign="inline"/>
              <w:ind w:left="85"/>
              <w:suppressOverlap w:val="0"/>
              <w:rPr>
                <w:lang w:val="en-US"/>
              </w:rPr>
            </w:pPr>
            <w:r w:rsidRPr="003C3375">
              <w:rPr>
                <w:lang w:val="en-US"/>
              </w:rPr>
              <w:t>Essen local court</w:t>
            </w:r>
          </w:p>
          <w:p w:rsidR="00CC5D98" w:rsidRPr="00E12886" w:rsidRDefault="003C3375" w:rsidP="00EF521C">
            <w:pPr>
              <w:pStyle w:val="V17"/>
              <w:framePr w:wrap="auto" w:vAnchor="margin" w:hAnchor="text" w:xAlign="left" w:yAlign="inline"/>
              <w:ind w:left="85"/>
              <w:suppressOverlap w:val="0"/>
              <w:rPr>
                <w:lang w:val="en-US"/>
              </w:rPr>
            </w:pPr>
            <w:r w:rsidRPr="00E12886">
              <w:rPr>
                <w:lang w:val="en-US"/>
              </w:rPr>
              <w:t>Commercial registry B 19474</w:t>
            </w:r>
          </w:p>
          <w:p w:rsidR="00CC5D98" w:rsidRPr="003C3375" w:rsidRDefault="003C3375" w:rsidP="00EF521C">
            <w:pPr>
              <w:pStyle w:val="V17"/>
              <w:framePr w:wrap="auto" w:vAnchor="margin" w:hAnchor="text" w:xAlign="left" w:yAlign="inline"/>
              <w:ind w:left="85"/>
              <w:suppressOverlap w:val="0"/>
              <w:rPr>
                <w:lang w:val="en-US"/>
              </w:rPr>
            </w:pPr>
            <w:r w:rsidRPr="003C3375">
              <w:rPr>
                <w:lang w:val="en-US"/>
              </w:rPr>
              <w:t xml:space="preserve">VAT ID no. </w:t>
            </w:r>
            <w:r w:rsidR="00B14022" w:rsidRPr="003C3375">
              <w:rPr>
                <w:lang w:val="en-US"/>
              </w:rPr>
              <w:t>DE 811160003</w:t>
            </w:r>
          </w:p>
          <w:p w:rsidR="00CC5D98" w:rsidRPr="003C3375" w:rsidRDefault="00CC5D98" w:rsidP="00EF521C">
            <w:pPr>
              <w:pStyle w:val="V18"/>
              <w:framePr w:wrap="auto" w:vAnchor="margin" w:hAnchor="text" w:xAlign="left" w:yAlign="inline"/>
              <w:ind w:left="85"/>
              <w:suppressOverlap w:val="0"/>
              <w:rPr>
                <w:lang w:val="en-US"/>
              </w:rPr>
            </w:pPr>
          </w:p>
        </w:tc>
      </w:tr>
    </w:tbl>
    <w:p w:rsidR="00552E51" w:rsidRPr="00552E51" w:rsidRDefault="00552E51" w:rsidP="00EF521C">
      <w:pPr>
        <w:rPr>
          <w:u w:val="single"/>
          <w:lang w:val="en-US"/>
        </w:rPr>
      </w:pPr>
      <w:r w:rsidRPr="00552E51">
        <w:rPr>
          <w:u w:val="single"/>
          <w:lang w:val="en-US"/>
        </w:rPr>
        <w:lastRenderedPageBreak/>
        <w:t>Key Financial Data:</w:t>
      </w:r>
    </w:p>
    <w:p w:rsidR="00552E51" w:rsidRPr="00552E51" w:rsidRDefault="00552E51" w:rsidP="00EF521C">
      <w:pPr>
        <w:rPr>
          <w:u w:val="single"/>
          <w:lang w:val="en-US"/>
        </w:rPr>
      </w:pPr>
      <w:r w:rsidRPr="00552E51">
        <w:rPr>
          <w:u w:val="single"/>
          <w:lang w:val="en-US"/>
        </w:rPr>
        <w:t>January 1 to March 31, 2014 / Q1 2014</w:t>
      </w:r>
    </w:p>
    <w:p w:rsidR="00552E51" w:rsidRPr="00552E51" w:rsidRDefault="00552E51" w:rsidP="00EF521C">
      <w:pPr>
        <w:spacing w:line="300" w:lineRule="exact"/>
        <w:rPr>
          <w:u w:val="single"/>
          <w:lang w:val="en-US"/>
        </w:rPr>
      </w:pPr>
    </w:p>
    <w:p w:rsidR="00552E51" w:rsidRPr="00552E51" w:rsidRDefault="00552E51" w:rsidP="00EF521C">
      <w:pPr>
        <w:spacing w:line="300" w:lineRule="exact"/>
        <w:rPr>
          <w:b/>
          <w:bCs/>
          <w:sz w:val="20"/>
          <w:szCs w:val="20"/>
          <w:lang w:val="en-US"/>
        </w:rPr>
      </w:pPr>
      <w:r w:rsidRPr="00552E51">
        <w:rPr>
          <w:b/>
          <w:bCs/>
          <w:sz w:val="20"/>
          <w:szCs w:val="20"/>
          <w:lang w:val="en-US"/>
        </w:rPr>
        <w:t xml:space="preserve">Q1 2014: A slow start to the year </w:t>
      </w:r>
    </w:p>
    <w:p w:rsidR="00552E51" w:rsidRPr="00552E51" w:rsidRDefault="00552E51" w:rsidP="00EF521C">
      <w:pPr>
        <w:rPr>
          <w:bCs/>
          <w:sz w:val="20"/>
          <w:szCs w:val="20"/>
          <w:lang w:val="en-US"/>
        </w:rPr>
      </w:pPr>
    </w:p>
    <w:p w:rsidR="00552E51" w:rsidRPr="00EF521C" w:rsidRDefault="00841FF0" w:rsidP="00EF521C">
      <w:pPr>
        <w:numPr>
          <w:ilvl w:val="0"/>
          <w:numId w:val="14"/>
        </w:numPr>
        <w:tabs>
          <w:tab w:val="clear" w:pos="1425"/>
          <w:tab w:val="num" w:pos="340"/>
        </w:tabs>
        <w:spacing w:line="300" w:lineRule="exact"/>
        <w:ind w:left="340" w:hanging="198"/>
        <w:rPr>
          <w:rFonts w:cs="Lucida Sans Unicode"/>
          <w:b/>
          <w:bCs/>
          <w:position w:val="0"/>
          <w:sz w:val="20"/>
          <w:szCs w:val="20"/>
        </w:rPr>
      </w:pPr>
      <w:r w:rsidRPr="00EF521C">
        <w:rPr>
          <w:rFonts w:cs="Lucida Sans Unicode"/>
          <w:b/>
          <w:bCs/>
          <w:position w:val="0"/>
          <w:sz w:val="20"/>
          <w:szCs w:val="20"/>
        </w:rPr>
        <w:t>Operating</w:t>
      </w:r>
      <w:r w:rsidR="00552E51" w:rsidRPr="00EF521C">
        <w:rPr>
          <w:rFonts w:cs="Lucida Sans Unicode"/>
          <w:b/>
          <w:bCs/>
          <w:position w:val="0"/>
          <w:sz w:val="20"/>
          <w:szCs w:val="20"/>
        </w:rPr>
        <w:t xml:space="preserve"> performance in Q1 2014: </w:t>
      </w:r>
    </w:p>
    <w:p w:rsidR="00552E51" w:rsidRPr="00EF521C" w:rsidRDefault="00552E51" w:rsidP="00762908">
      <w:pPr>
        <w:numPr>
          <w:ilvl w:val="0"/>
          <w:numId w:val="14"/>
        </w:numPr>
        <w:tabs>
          <w:tab w:val="clear" w:pos="1425"/>
          <w:tab w:val="num" w:pos="851"/>
        </w:tabs>
        <w:spacing w:line="300" w:lineRule="exact"/>
        <w:ind w:left="850" w:hanging="425"/>
        <w:rPr>
          <w:rFonts w:cs="Lucida Sans Unicode"/>
          <w:b/>
          <w:bCs/>
          <w:position w:val="0"/>
          <w:sz w:val="20"/>
          <w:szCs w:val="20"/>
        </w:rPr>
      </w:pPr>
      <w:bookmarkStart w:id="0" w:name="_GoBack"/>
      <w:r w:rsidRPr="00EF521C">
        <w:rPr>
          <w:rFonts w:cs="Lucida Sans Unicode"/>
          <w:b/>
          <w:bCs/>
          <w:position w:val="0"/>
          <w:sz w:val="20"/>
          <w:szCs w:val="20"/>
        </w:rPr>
        <w:t>Slight organic sales growth to €3.2 billion</w:t>
      </w:r>
    </w:p>
    <w:bookmarkEnd w:id="0"/>
    <w:p w:rsidR="00552E51" w:rsidRPr="00EF521C" w:rsidRDefault="00552E51" w:rsidP="00762908">
      <w:pPr>
        <w:numPr>
          <w:ilvl w:val="0"/>
          <w:numId w:val="14"/>
        </w:numPr>
        <w:tabs>
          <w:tab w:val="clear" w:pos="1425"/>
          <w:tab w:val="num" w:pos="851"/>
        </w:tabs>
        <w:spacing w:line="300" w:lineRule="exact"/>
        <w:ind w:left="850" w:hanging="425"/>
        <w:rPr>
          <w:rFonts w:cs="Lucida Sans Unicode"/>
          <w:b/>
          <w:bCs/>
          <w:position w:val="0"/>
          <w:sz w:val="20"/>
          <w:szCs w:val="20"/>
        </w:rPr>
      </w:pPr>
      <w:r w:rsidRPr="00EF521C">
        <w:rPr>
          <w:rFonts w:cs="Lucida Sans Unicode"/>
          <w:b/>
          <w:bCs/>
          <w:position w:val="0"/>
          <w:sz w:val="20"/>
          <w:szCs w:val="20"/>
        </w:rPr>
        <w:t>Adjusted EBITDA at a solid level but well below the very good prior-year figure</w:t>
      </w:r>
    </w:p>
    <w:p w:rsidR="00552E51" w:rsidRPr="00EF521C" w:rsidRDefault="00552E51" w:rsidP="00762908">
      <w:pPr>
        <w:numPr>
          <w:ilvl w:val="0"/>
          <w:numId w:val="14"/>
        </w:numPr>
        <w:tabs>
          <w:tab w:val="clear" w:pos="1425"/>
          <w:tab w:val="num" w:pos="851"/>
        </w:tabs>
        <w:spacing w:line="300" w:lineRule="exact"/>
        <w:ind w:left="850" w:hanging="425"/>
        <w:rPr>
          <w:rFonts w:cs="Lucida Sans Unicode"/>
          <w:b/>
          <w:bCs/>
          <w:position w:val="0"/>
          <w:sz w:val="20"/>
          <w:szCs w:val="20"/>
        </w:rPr>
      </w:pPr>
      <w:r w:rsidRPr="00EF521C">
        <w:rPr>
          <w:rFonts w:cs="Lucida Sans Unicode"/>
          <w:b/>
          <w:bCs/>
          <w:position w:val="0"/>
          <w:sz w:val="20"/>
          <w:szCs w:val="20"/>
        </w:rPr>
        <w:t xml:space="preserve">Adjusted EBITDA margin 14.5 percent </w:t>
      </w:r>
    </w:p>
    <w:p w:rsidR="00552E51" w:rsidRPr="00EF521C" w:rsidRDefault="00552E51" w:rsidP="00EF521C">
      <w:pPr>
        <w:numPr>
          <w:ilvl w:val="0"/>
          <w:numId w:val="14"/>
        </w:numPr>
        <w:tabs>
          <w:tab w:val="clear" w:pos="1425"/>
          <w:tab w:val="num" w:pos="340"/>
        </w:tabs>
        <w:spacing w:line="300" w:lineRule="exact"/>
        <w:ind w:left="340" w:hanging="198"/>
        <w:rPr>
          <w:rFonts w:cs="Lucida Sans Unicode"/>
          <w:b/>
          <w:bCs/>
          <w:position w:val="0"/>
          <w:sz w:val="20"/>
          <w:szCs w:val="20"/>
        </w:rPr>
      </w:pPr>
      <w:r w:rsidRPr="00EF521C">
        <w:rPr>
          <w:rFonts w:cs="Lucida Sans Unicode"/>
          <w:b/>
          <w:bCs/>
          <w:position w:val="0"/>
          <w:sz w:val="20"/>
          <w:szCs w:val="20"/>
        </w:rPr>
        <w:t>Cash flow from operating activities increased considerably to €315 million</w:t>
      </w:r>
    </w:p>
    <w:p w:rsidR="00552E51" w:rsidRPr="00EF521C" w:rsidRDefault="00552E51" w:rsidP="00EF521C">
      <w:pPr>
        <w:numPr>
          <w:ilvl w:val="0"/>
          <w:numId w:val="14"/>
        </w:numPr>
        <w:tabs>
          <w:tab w:val="clear" w:pos="1425"/>
          <w:tab w:val="num" w:pos="340"/>
        </w:tabs>
        <w:spacing w:line="300" w:lineRule="exact"/>
        <w:ind w:left="340" w:hanging="198"/>
        <w:rPr>
          <w:rFonts w:cs="Lucida Sans Unicode"/>
          <w:b/>
          <w:bCs/>
          <w:position w:val="0"/>
          <w:sz w:val="20"/>
          <w:szCs w:val="20"/>
        </w:rPr>
      </w:pPr>
      <w:r w:rsidRPr="00EF521C">
        <w:rPr>
          <w:rFonts w:cs="Lucida Sans Unicode"/>
          <w:b/>
          <w:bCs/>
          <w:position w:val="0"/>
          <w:sz w:val="20"/>
          <w:szCs w:val="20"/>
        </w:rPr>
        <w:t xml:space="preserve">Adjusted net income dropped 39 percent to €187 million </w:t>
      </w:r>
    </w:p>
    <w:p w:rsidR="00552E51" w:rsidRPr="00EF521C" w:rsidRDefault="00552E51" w:rsidP="00EF521C">
      <w:pPr>
        <w:numPr>
          <w:ilvl w:val="0"/>
          <w:numId w:val="14"/>
        </w:numPr>
        <w:tabs>
          <w:tab w:val="clear" w:pos="1425"/>
          <w:tab w:val="num" w:pos="340"/>
        </w:tabs>
        <w:spacing w:line="300" w:lineRule="exact"/>
        <w:ind w:left="340" w:hanging="198"/>
        <w:rPr>
          <w:rFonts w:cs="Lucida Sans Unicode"/>
          <w:b/>
          <w:bCs/>
          <w:position w:val="0"/>
          <w:sz w:val="20"/>
          <w:szCs w:val="20"/>
        </w:rPr>
      </w:pPr>
      <w:r w:rsidRPr="00EF521C">
        <w:rPr>
          <w:rFonts w:cs="Lucida Sans Unicode"/>
          <w:b/>
          <w:bCs/>
          <w:position w:val="0"/>
          <w:sz w:val="20"/>
          <w:szCs w:val="20"/>
        </w:rPr>
        <w:t xml:space="preserve">Capital expenditures increased by 17 percent </w:t>
      </w:r>
    </w:p>
    <w:p w:rsidR="00552E51" w:rsidRPr="00EF521C" w:rsidRDefault="00552E51" w:rsidP="00EF521C">
      <w:pPr>
        <w:numPr>
          <w:ilvl w:val="0"/>
          <w:numId w:val="14"/>
        </w:numPr>
        <w:tabs>
          <w:tab w:val="clear" w:pos="1425"/>
          <w:tab w:val="num" w:pos="340"/>
        </w:tabs>
        <w:spacing w:line="300" w:lineRule="exact"/>
        <w:ind w:left="340" w:hanging="198"/>
        <w:rPr>
          <w:rFonts w:cs="Lucida Sans Unicode"/>
          <w:b/>
          <w:bCs/>
          <w:position w:val="0"/>
          <w:sz w:val="20"/>
          <w:szCs w:val="20"/>
        </w:rPr>
      </w:pPr>
      <w:r w:rsidRPr="00EF521C">
        <w:rPr>
          <w:rFonts w:cs="Lucida Sans Unicode"/>
          <w:b/>
          <w:bCs/>
          <w:position w:val="0"/>
          <w:sz w:val="20"/>
          <w:szCs w:val="20"/>
        </w:rPr>
        <w:t xml:space="preserve">R&amp;D </w:t>
      </w:r>
      <w:r w:rsidR="00841FF0" w:rsidRPr="00EF521C">
        <w:rPr>
          <w:rFonts w:cs="Lucida Sans Unicode"/>
          <w:b/>
          <w:bCs/>
          <w:position w:val="0"/>
          <w:sz w:val="20"/>
          <w:szCs w:val="20"/>
        </w:rPr>
        <w:t xml:space="preserve">expenses </w:t>
      </w:r>
      <w:r w:rsidRPr="00EF521C">
        <w:rPr>
          <w:rFonts w:cs="Lucida Sans Unicode"/>
          <w:b/>
          <w:bCs/>
          <w:position w:val="0"/>
          <w:sz w:val="20"/>
          <w:szCs w:val="20"/>
        </w:rPr>
        <w:t xml:space="preserve">rose 7 percent </w:t>
      </w:r>
    </w:p>
    <w:p w:rsidR="00552E51" w:rsidRPr="00EF521C" w:rsidRDefault="00552E51" w:rsidP="00EF521C">
      <w:pPr>
        <w:numPr>
          <w:ilvl w:val="0"/>
          <w:numId w:val="14"/>
        </w:numPr>
        <w:tabs>
          <w:tab w:val="clear" w:pos="1425"/>
          <w:tab w:val="num" w:pos="340"/>
        </w:tabs>
        <w:spacing w:line="300" w:lineRule="exact"/>
        <w:ind w:left="340" w:hanging="198"/>
        <w:rPr>
          <w:rFonts w:cs="Lucida Sans Unicode"/>
          <w:b/>
          <w:bCs/>
          <w:position w:val="0"/>
          <w:sz w:val="20"/>
          <w:szCs w:val="20"/>
        </w:rPr>
      </w:pPr>
      <w:r w:rsidRPr="00EF521C">
        <w:rPr>
          <w:rFonts w:cs="Lucida Sans Unicode"/>
          <w:b/>
          <w:bCs/>
          <w:position w:val="0"/>
          <w:sz w:val="20"/>
          <w:szCs w:val="20"/>
        </w:rPr>
        <w:t>Outlook for 2014 reiterated: Sales expected to rise slightly (2013: €12.7 billion1)); adjusted EBITDA expected to be between €1.8 billion and €2.1 billion (2013: €2.0 billion).</w:t>
      </w:r>
      <w:r w:rsidRPr="00EF521C">
        <w:rPr>
          <w:rFonts w:cs="Lucida Sans Unicode"/>
          <w:b/>
          <w:bCs/>
          <w:position w:val="0"/>
          <w:sz w:val="20"/>
          <w:szCs w:val="20"/>
        </w:rPr>
        <w:br/>
      </w:r>
    </w:p>
    <w:p w:rsidR="00552E51" w:rsidRPr="00552E51" w:rsidRDefault="00552E51" w:rsidP="00EF521C">
      <w:pPr>
        <w:spacing w:line="300" w:lineRule="exact"/>
        <w:rPr>
          <w:sz w:val="20"/>
          <w:szCs w:val="20"/>
          <w:lang w:val="en-US"/>
        </w:rPr>
      </w:pPr>
      <w:r w:rsidRPr="00552E51">
        <w:rPr>
          <w:sz w:val="20"/>
          <w:szCs w:val="20"/>
          <w:lang w:val="en-US"/>
        </w:rPr>
        <w:t xml:space="preserve">Essen. "Evonik made a slow start to 2014 compared with the first quarter of 2013, which was by far the best quarter of the year," said Klaus Engel, </w:t>
      </w:r>
      <w:proofErr w:type="gramStart"/>
      <w:r w:rsidRPr="00552E51">
        <w:rPr>
          <w:sz w:val="20"/>
          <w:szCs w:val="20"/>
          <w:lang w:val="en-US"/>
        </w:rPr>
        <w:t>Chairman of the Executive Board of Evonik Industries AG today, when the Group published its key financial figures for the first quarter of 2014.</w:t>
      </w:r>
      <w:proofErr w:type="gramEnd"/>
      <w:r w:rsidRPr="00552E51">
        <w:rPr>
          <w:sz w:val="20"/>
          <w:szCs w:val="20"/>
          <w:lang w:val="en-US"/>
        </w:rPr>
        <w:t xml:space="preserve"> "The renewed strong growth in demand was pleasing, but selling prices for some important products were well below the year-back level due to the challenging market conditions. However, they were slightly better than at year-end 2013," reported Engel. While sales were virtually unchanged, Evonik achieved solid adjusted EBITDA, although it was considerably lower than in the strong prior-year period. </w:t>
      </w:r>
    </w:p>
    <w:p w:rsidR="00552E51" w:rsidRPr="00552E51" w:rsidRDefault="00552E51" w:rsidP="00EF521C">
      <w:pPr>
        <w:spacing w:line="300" w:lineRule="exact"/>
        <w:rPr>
          <w:sz w:val="20"/>
          <w:szCs w:val="20"/>
          <w:lang w:val="en-US"/>
        </w:rPr>
      </w:pPr>
    </w:p>
    <w:p w:rsidR="00552E51" w:rsidRPr="00552E51" w:rsidRDefault="00552E51" w:rsidP="00EF521C">
      <w:pPr>
        <w:spacing w:line="300" w:lineRule="exact"/>
        <w:rPr>
          <w:sz w:val="20"/>
          <w:szCs w:val="20"/>
          <w:lang w:val="en-US"/>
        </w:rPr>
      </w:pPr>
      <w:r w:rsidRPr="00552E51">
        <w:rPr>
          <w:sz w:val="20"/>
          <w:szCs w:val="20"/>
          <w:lang w:val="en-US"/>
        </w:rPr>
        <w:t xml:space="preserve">The Group is confirming its outlook for 2014 as a whole and still expects to report slightly higher sales and adjusted EBITDA of between €1.8 billion and €2.1 billion. </w:t>
      </w:r>
    </w:p>
    <w:p w:rsidR="00552E51" w:rsidRPr="00552E51" w:rsidRDefault="00552E51" w:rsidP="00EF521C">
      <w:pPr>
        <w:spacing w:line="300" w:lineRule="atLeast"/>
        <w:rPr>
          <w:rFonts w:cs="Lucida Sans Unicode"/>
          <w:b/>
          <w:sz w:val="20"/>
          <w:szCs w:val="20"/>
          <w:lang w:val="en-US"/>
        </w:rPr>
      </w:pPr>
    </w:p>
    <w:p w:rsidR="00552E51" w:rsidRPr="00552E51" w:rsidRDefault="00552E51" w:rsidP="00EF521C">
      <w:pPr>
        <w:spacing w:line="300" w:lineRule="atLeast"/>
        <w:rPr>
          <w:rFonts w:cs="Lucida Sans Unicode"/>
          <w:b/>
          <w:sz w:val="20"/>
          <w:szCs w:val="20"/>
          <w:lang w:val="en-US"/>
        </w:rPr>
      </w:pPr>
    </w:p>
    <w:p w:rsidR="00552E51" w:rsidRPr="00552E51" w:rsidRDefault="00552E51" w:rsidP="00EF521C">
      <w:pPr>
        <w:spacing w:line="300" w:lineRule="atLeast"/>
        <w:rPr>
          <w:b/>
          <w:sz w:val="20"/>
          <w:lang w:val="en-US"/>
        </w:rPr>
      </w:pPr>
    </w:p>
    <w:p w:rsidR="00552E51" w:rsidRPr="00552E51" w:rsidRDefault="00552E51" w:rsidP="00EF521C">
      <w:pPr>
        <w:spacing w:line="300" w:lineRule="atLeast"/>
        <w:rPr>
          <w:b/>
          <w:bCs/>
          <w:sz w:val="22"/>
          <w:szCs w:val="22"/>
          <w:lang w:val="en-US"/>
        </w:rPr>
      </w:pPr>
      <w:r w:rsidRPr="000D4BBD">
        <w:rPr>
          <w:rFonts w:cs="Lucida Sans Unicode"/>
          <w:b/>
          <w:noProof/>
          <w:sz w:val="20"/>
          <w:szCs w:val="20"/>
        </w:rPr>
        <mc:AlternateContent>
          <mc:Choice Requires="wps">
            <w:drawing>
              <wp:anchor distT="0" distB="0" distL="114300" distR="114300" simplePos="0" relativeHeight="251659264" behindDoc="0" locked="0" layoutInCell="1" allowOverlap="1" wp14:anchorId="7CD06BB4" wp14:editId="62C0D140">
                <wp:simplePos x="0" y="0"/>
                <wp:positionH relativeFrom="column">
                  <wp:posOffset>-228600</wp:posOffset>
                </wp:positionH>
                <wp:positionV relativeFrom="paragraph">
                  <wp:posOffset>520700</wp:posOffset>
                </wp:positionV>
                <wp:extent cx="4260215" cy="430530"/>
                <wp:effectExtent l="0" t="0" r="6985" b="762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430530"/>
                        </a:xfrm>
                        <a:prstGeom prst="rect">
                          <a:avLst/>
                        </a:prstGeom>
                        <a:solidFill>
                          <a:srgbClr val="FFFFFF"/>
                        </a:solidFill>
                        <a:ln w="9525">
                          <a:noFill/>
                          <a:miter lim="800000"/>
                          <a:headEnd/>
                          <a:tailEnd/>
                        </a:ln>
                      </wps:spPr>
                      <wps:txbx>
                        <w:txbxContent>
                          <w:p w:rsidR="00552E51" w:rsidRPr="00552E51" w:rsidRDefault="00552E51" w:rsidP="00552E51">
                            <w:pPr>
                              <w:rPr>
                                <w:lang w:val="en-US"/>
                              </w:rPr>
                            </w:pPr>
                            <w:r w:rsidRPr="00552E51">
                              <w:rPr>
                                <w:vertAlign w:val="superscript"/>
                                <w:lang w:val="en-US"/>
                              </w:rPr>
                              <w:t>1)</w:t>
                            </w:r>
                            <w:r w:rsidRPr="00552E51">
                              <w:rPr>
                                <w:lang w:val="en-US"/>
                              </w:rPr>
                              <w:tab/>
                            </w:r>
                            <w:r w:rsidRPr="00552E51">
                              <w:rPr>
                                <w:sz w:val="16"/>
                                <w:szCs w:val="16"/>
                                <w:lang w:val="en-US"/>
                              </w:rPr>
                              <w:t>Prior-year figure restated due to first-time application of IFRS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8pt;margin-top:41pt;width:335.45pt;height:3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" stroked="f">
                <v:textbox>
                  <w:txbxContent>
                    <w:p w:rsidR="00552E51" w:rsidRPr="00552E51" w:rsidRDefault="00552E51" w:rsidP="00552E51">
                      <w:pPr>
                        <w:rPr>
                          <w:lang w:val="en-US"/>
                        </w:rPr>
                      </w:pPr>
                      <w:r w:rsidRPr="00552E51">
                        <w:rPr>
                          <w:vertAlign w:val="superscript"/>
                          <w:lang w:val="en-US"/>
                        </w:rPr>
                        <w:t>1)</w:t>
                      </w:r>
                      <w:r w:rsidRPr="00552E51">
                        <w:rPr>
                          <w:lang w:val="en-US"/>
                        </w:rPr>
                        <w:tab/>
                      </w:r>
                      <w:r w:rsidRPr="00552E51">
                        <w:rPr>
                          <w:sz w:val="16"/>
                          <w:szCs w:val="16"/>
                          <w:lang w:val="en-US"/>
                        </w:rPr>
                        <w:t>Prior-year figure restated due to first-time application of IFRS 11</w:t>
                      </w:r>
                    </w:p>
                  </w:txbxContent>
                </v:textbox>
              </v:shape>
            </w:pict>
          </mc:Fallback>
        </mc:AlternateContent>
      </w:r>
      <w:r w:rsidRPr="00552E51">
        <w:rPr>
          <w:b/>
          <w:sz w:val="20"/>
          <w:lang w:val="en-US"/>
        </w:rPr>
        <w:br w:type="page"/>
      </w:r>
      <w:r w:rsidRPr="00552E51">
        <w:rPr>
          <w:b/>
          <w:sz w:val="20"/>
          <w:lang w:val="en-US"/>
        </w:rPr>
        <w:lastRenderedPageBreak/>
        <w:t>Business performance in Q1 2014</w:t>
      </w:r>
    </w:p>
    <w:p w:rsidR="00552E51" w:rsidRPr="00552E51" w:rsidRDefault="00552E51" w:rsidP="00EF521C">
      <w:pPr>
        <w:rPr>
          <w:sz w:val="20"/>
          <w:szCs w:val="20"/>
          <w:lang w:val="en-US"/>
        </w:rPr>
      </w:pPr>
    </w:p>
    <w:p w:rsidR="00552E51" w:rsidRPr="00A02C86" w:rsidRDefault="00552E51" w:rsidP="00EF521C">
      <w:pPr>
        <w:pStyle w:val="ErsteZeile"/>
        <w:ind w:left="85"/>
      </w:pPr>
      <w:r>
        <w:t xml:space="preserve">The Evonik Group achieved slight organic </w:t>
      </w:r>
      <w:r>
        <w:rPr>
          <w:b/>
        </w:rPr>
        <w:t>sales</w:t>
      </w:r>
      <w:r>
        <w:t xml:space="preserve"> growth of 1 percent year-on-year as higher volumes (5 percentage points) countered the drop in selling prices (-4 percentage points). Adverse currency effects clipped sales by 1 percentage point. Overall, sales were €3,201 million, close to the prior-period level of €3,212 million. </w:t>
      </w:r>
    </w:p>
    <w:p w:rsidR="00552E51" w:rsidRPr="00552E51" w:rsidRDefault="00552E51" w:rsidP="00EF521C">
      <w:pPr>
        <w:spacing w:line="300" w:lineRule="exact"/>
        <w:rPr>
          <w:bCs/>
          <w:lang w:val="en-US"/>
        </w:rPr>
      </w:pPr>
    </w:p>
    <w:p w:rsidR="00552E51" w:rsidRPr="00D941D1" w:rsidRDefault="00552E51" w:rsidP="00EF521C">
      <w:pPr>
        <w:pStyle w:val="ErsteZeile"/>
        <w:ind w:left="85"/>
        <w:rPr>
          <w:b/>
        </w:rPr>
      </w:pPr>
      <w:r>
        <w:t xml:space="preserve">Adjusted </w:t>
      </w:r>
      <w:r>
        <w:rPr>
          <w:b/>
        </w:rPr>
        <w:t>EBITDA</w:t>
      </w:r>
      <w:r>
        <w:t xml:space="preserve"> fell short of the very good prior-period level in the first quarter of 2014, mainly due to lower selling prices for some important products. It slipped 24 percent year-on-year to €463 million (Q1 2013: €606 million). The adjusted </w:t>
      </w:r>
      <w:r>
        <w:rPr>
          <w:b/>
        </w:rPr>
        <w:t>EBITDA margin</w:t>
      </w:r>
      <w:r>
        <w:t xml:space="preserve"> therefore declined from 18.9 percent to 14.5 percent. </w:t>
      </w:r>
    </w:p>
    <w:p w:rsidR="00552E51" w:rsidRPr="00552E51" w:rsidRDefault="00552E51" w:rsidP="00EF521C">
      <w:pPr>
        <w:spacing w:line="300" w:lineRule="atLeast"/>
        <w:rPr>
          <w:rFonts w:cs="Lucida Sans Unicode"/>
          <w:bCs/>
          <w:lang w:val="en-US"/>
        </w:rPr>
      </w:pPr>
    </w:p>
    <w:p w:rsidR="00552E51" w:rsidRPr="00D941D1" w:rsidRDefault="00552E51" w:rsidP="00EF521C">
      <w:pPr>
        <w:pStyle w:val="ErsteZeile"/>
        <w:ind w:left="85"/>
        <w:rPr>
          <w:b/>
        </w:rPr>
      </w:pPr>
      <w:r>
        <w:t xml:space="preserve">The </w:t>
      </w:r>
      <w:r>
        <w:rPr>
          <w:b/>
        </w:rPr>
        <w:t>adjustments</w:t>
      </w:r>
      <w:r>
        <w:t xml:space="preserve"> of minus €28 million mainly comprised restructuring expenses and expenses in connection with changes in the valuation of the remaining shares in STEAG GmbH. The prior-year figure of minus €30 million principally comprised expenses in connection with recognition of the put </w:t>
      </w:r>
      <w:r w:rsidR="00F8236F">
        <w:t xml:space="preserve">option </w:t>
      </w:r>
      <w:r>
        <w:t xml:space="preserve">and </w:t>
      </w:r>
      <w:r w:rsidR="0067540D">
        <w:t xml:space="preserve">the </w:t>
      </w:r>
      <w:r>
        <w:t>call option for the STEAG shares.</w:t>
      </w:r>
    </w:p>
    <w:p w:rsidR="00552E51" w:rsidRPr="00552E51" w:rsidRDefault="00552E51" w:rsidP="00EF521C">
      <w:pPr>
        <w:spacing w:line="300" w:lineRule="exact"/>
        <w:rPr>
          <w:bCs/>
          <w:lang w:val="en-US"/>
        </w:rPr>
      </w:pPr>
    </w:p>
    <w:p w:rsidR="00552E51" w:rsidRPr="00552E51" w:rsidRDefault="00552E51" w:rsidP="00EF521C">
      <w:pPr>
        <w:spacing w:line="300" w:lineRule="exact"/>
        <w:rPr>
          <w:rFonts w:cs="Lucida Sans Unicode"/>
          <w:bCs/>
          <w:sz w:val="20"/>
          <w:szCs w:val="20"/>
          <w:lang w:val="en-US"/>
        </w:rPr>
      </w:pPr>
      <w:r w:rsidRPr="00552E51">
        <w:rPr>
          <w:b/>
          <w:sz w:val="20"/>
          <w:lang w:val="en-US"/>
        </w:rPr>
        <w:t>Income before income taxes, continuing operations</w:t>
      </w:r>
      <w:r w:rsidRPr="00552E51">
        <w:rPr>
          <w:sz w:val="20"/>
          <w:lang w:val="en-US"/>
        </w:rPr>
        <w:t xml:space="preserve"> declined 42 percent to €212 million (Q1 2013: €368 million). The income after taxes, discontinued operations amounting to €21 million related to the lithium-ion business, and was mainly connected with the divestment agreement concluded with Daimler AG at the end of March 2014. </w:t>
      </w:r>
    </w:p>
    <w:p w:rsidR="00552E51" w:rsidRPr="00552E51" w:rsidRDefault="00552E51" w:rsidP="00EF521C">
      <w:pPr>
        <w:spacing w:line="300" w:lineRule="exact"/>
        <w:rPr>
          <w:bCs/>
          <w:lang w:val="en-US"/>
        </w:rPr>
      </w:pPr>
    </w:p>
    <w:p w:rsidR="00552E51" w:rsidRPr="00552E51" w:rsidRDefault="00552E51" w:rsidP="00EF521C">
      <w:pPr>
        <w:spacing w:line="300" w:lineRule="exact"/>
        <w:rPr>
          <w:bCs/>
          <w:sz w:val="20"/>
          <w:szCs w:val="20"/>
          <w:lang w:val="en-US"/>
        </w:rPr>
      </w:pPr>
      <w:r w:rsidRPr="00552E51">
        <w:rPr>
          <w:sz w:val="20"/>
          <w:lang w:val="en-US"/>
        </w:rPr>
        <w:t xml:space="preserve">Overall, the </w:t>
      </w:r>
      <w:r w:rsidRPr="00552E51">
        <w:rPr>
          <w:b/>
          <w:sz w:val="20"/>
          <w:lang w:val="en-US"/>
        </w:rPr>
        <w:t>net income</w:t>
      </w:r>
      <w:r w:rsidRPr="00552E51">
        <w:rPr>
          <w:sz w:val="20"/>
          <w:lang w:val="en-US"/>
        </w:rPr>
        <w:t xml:space="preserve"> of the Evonik Group dropped 43 percent to €166 million (Q1 2103: €293 million) as a result of the weaker operating performance and the impact of one-off factors. </w:t>
      </w:r>
    </w:p>
    <w:p w:rsidR="00552E51" w:rsidRPr="00552E51" w:rsidRDefault="00552E51" w:rsidP="00EF521C">
      <w:pPr>
        <w:spacing w:line="300" w:lineRule="exact"/>
        <w:rPr>
          <w:bCs/>
          <w:sz w:val="20"/>
          <w:szCs w:val="20"/>
          <w:lang w:val="en-US"/>
        </w:rPr>
      </w:pPr>
    </w:p>
    <w:p w:rsidR="00552E51" w:rsidRPr="00552E51" w:rsidRDefault="00552E51" w:rsidP="00EF521C">
      <w:pPr>
        <w:spacing w:line="300" w:lineRule="exact"/>
        <w:rPr>
          <w:rFonts w:cs="Lucida Sans Unicode"/>
          <w:bCs/>
          <w:sz w:val="20"/>
          <w:szCs w:val="20"/>
          <w:lang w:val="en-US"/>
        </w:rPr>
      </w:pPr>
      <w:r w:rsidRPr="00552E51">
        <w:rPr>
          <w:b/>
          <w:sz w:val="20"/>
          <w:lang w:val="en-US"/>
        </w:rPr>
        <w:t>Adjusted net income</w:t>
      </w:r>
      <w:r w:rsidRPr="00552E51">
        <w:rPr>
          <w:sz w:val="20"/>
          <w:lang w:val="en-US"/>
        </w:rPr>
        <w:t>, which reflects the operating performance</w:t>
      </w:r>
      <w:r w:rsidR="00BC3F95">
        <w:rPr>
          <w:sz w:val="20"/>
          <w:lang w:val="en-US"/>
        </w:rPr>
        <w:t xml:space="preserve"> of the continuing operations, </w:t>
      </w:r>
      <w:r w:rsidRPr="00552E51">
        <w:rPr>
          <w:sz w:val="20"/>
          <w:lang w:val="en-US"/>
        </w:rPr>
        <w:t xml:space="preserve">declined by 39 percent to €187 million (Q1 2013: €305 million). </w:t>
      </w:r>
      <w:r w:rsidRPr="00552E51">
        <w:rPr>
          <w:b/>
          <w:sz w:val="20"/>
          <w:lang w:val="en-US"/>
        </w:rPr>
        <w:t>Adjusted earnings per share</w:t>
      </w:r>
      <w:r w:rsidRPr="00552E51">
        <w:rPr>
          <w:sz w:val="20"/>
          <w:lang w:val="en-US"/>
        </w:rPr>
        <w:t xml:space="preserve"> decreased from €0.65 to €0.40. </w:t>
      </w:r>
    </w:p>
    <w:p w:rsidR="00552E51" w:rsidRPr="00552E51" w:rsidRDefault="00552E51" w:rsidP="00EF521C">
      <w:pPr>
        <w:spacing w:line="300" w:lineRule="exact"/>
        <w:rPr>
          <w:rFonts w:cs="Lucida Sans Unicode"/>
          <w:bCs/>
          <w:sz w:val="20"/>
          <w:szCs w:val="20"/>
          <w:lang w:val="en-US"/>
        </w:rPr>
      </w:pPr>
    </w:p>
    <w:p w:rsidR="00552E51" w:rsidRPr="00552E51" w:rsidRDefault="00552E51" w:rsidP="00EF521C">
      <w:pPr>
        <w:spacing w:line="300" w:lineRule="exact"/>
        <w:rPr>
          <w:rFonts w:cs="Lucida Sans Unicode"/>
          <w:bCs/>
          <w:sz w:val="20"/>
          <w:szCs w:val="20"/>
          <w:lang w:val="en-US"/>
        </w:rPr>
      </w:pPr>
      <w:r w:rsidRPr="00552E51">
        <w:rPr>
          <w:sz w:val="20"/>
          <w:lang w:val="en-US"/>
        </w:rPr>
        <w:t xml:space="preserve">The </w:t>
      </w:r>
      <w:r w:rsidRPr="00552E51">
        <w:rPr>
          <w:b/>
          <w:sz w:val="20"/>
          <w:lang w:val="en-US"/>
        </w:rPr>
        <w:t>cash flow from operating activities, continuing operation</w:t>
      </w:r>
      <w:r w:rsidRPr="00552E51">
        <w:rPr>
          <w:sz w:val="20"/>
          <w:lang w:val="en-US"/>
        </w:rPr>
        <w:t xml:space="preserve">s increased by €138 million to €322 million in the first quarter of 2014, mainly due to a slower growth in net working capital and lower income tax payments. Including the cash flow from discontinued operations, the </w:t>
      </w:r>
      <w:r w:rsidRPr="00552E51">
        <w:rPr>
          <w:b/>
          <w:sz w:val="20"/>
          <w:lang w:val="en-US"/>
        </w:rPr>
        <w:t>cash flow from operating activities</w:t>
      </w:r>
      <w:r w:rsidRPr="00552E51">
        <w:rPr>
          <w:sz w:val="20"/>
          <w:lang w:val="en-US"/>
        </w:rPr>
        <w:t xml:space="preserve"> </w:t>
      </w:r>
      <w:r w:rsidR="0067540D">
        <w:rPr>
          <w:sz w:val="20"/>
          <w:lang w:val="en-US"/>
        </w:rPr>
        <w:t xml:space="preserve">rose </w:t>
      </w:r>
      <w:r w:rsidRPr="00552E51">
        <w:rPr>
          <w:sz w:val="20"/>
          <w:lang w:val="en-US"/>
        </w:rPr>
        <w:t>by €127 million to €315 million.</w:t>
      </w:r>
    </w:p>
    <w:p w:rsidR="00552E51" w:rsidRPr="00552E51" w:rsidRDefault="00552E51" w:rsidP="00EF521C">
      <w:pPr>
        <w:rPr>
          <w:bCs/>
          <w:lang w:val="en-US"/>
        </w:rPr>
      </w:pPr>
    </w:p>
    <w:p w:rsidR="00552E51" w:rsidRPr="00552E51" w:rsidRDefault="00552E51" w:rsidP="00EF521C">
      <w:pPr>
        <w:spacing w:line="300" w:lineRule="exact"/>
        <w:rPr>
          <w:rFonts w:cs="Lucida Sans Unicode"/>
          <w:bCs/>
          <w:sz w:val="20"/>
          <w:szCs w:val="20"/>
          <w:lang w:val="en-US"/>
        </w:rPr>
      </w:pPr>
      <w:r w:rsidRPr="00552E51">
        <w:rPr>
          <w:b/>
          <w:sz w:val="20"/>
          <w:lang w:val="en-US"/>
        </w:rPr>
        <w:lastRenderedPageBreak/>
        <w:t>Capital expenditures</w:t>
      </w:r>
      <w:r w:rsidRPr="00552E51">
        <w:rPr>
          <w:sz w:val="20"/>
          <w:lang w:val="en-US"/>
        </w:rPr>
        <w:t xml:space="preserve"> increased 17 percent to €209 million (Q1 2013: €178 million). 39 percent of capital expenditures were allocated to the Consumer, Health &amp; Nutrition segment, 27 percent to the Specialty Materials segment, and 21 percent to the Resource Efficiency segment. </w:t>
      </w:r>
    </w:p>
    <w:p w:rsidR="00552E51" w:rsidRPr="00552E51" w:rsidRDefault="00552E51" w:rsidP="00EF521C">
      <w:pPr>
        <w:spacing w:line="300" w:lineRule="exact"/>
        <w:rPr>
          <w:rFonts w:cs="Lucida Sans Unicode"/>
          <w:bCs/>
          <w:sz w:val="20"/>
          <w:szCs w:val="20"/>
          <w:lang w:val="en-US"/>
        </w:rPr>
      </w:pPr>
    </w:p>
    <w:p w:rsidR="00552E51" w:rsidRPr="00552E51" w:rsidRDefault="00552E51" w:rsidP="00EF521C">
      <w:pPr>
        <w:spacing w:line="300" w:lineRule="exact"/>
        <w:rPr>
          <w:rFonts w:cs="Lucida Sans Unicode"/>
          <w:bCs/>
          <w:sz w:val="20"/>
          <w:szCs w:val="20"/>
          <w:lang w:val="en-US"/>
        </w:rPr>
      </w:pPr>
      <w:r w:rsidRPr="00552E51">
        <w:rPr>
          <w:sz w:val="20"/>
          <w:lang w:val="en-US"/>
        </w:rPr>
        <w:t xml:space="preserve">New production facilities for </w:t>
      </w:r>
      <w:proofErr w:type="spellStart"/>
      <w:r w:rsidRPr="00552E51">
        <w:rPr>
          <w:sz w:val="20"/>
          <w:lang w:val="en-US"/>
        </w:rPr>
        <w:t>isophorone</w:t>
      </w:r>
      <w:proofErr w:type="spellEnd"/>
      <w:r w:rsidRPr="00552E51">
        <w:rPr>
          <w:sz w:val="20"/>
          <w:lang w:val="en-US"/>
        </w:rPr>
        <w:t xml:space="preserve"> and </w:t>
      </w:r>
      <w:proofErr w:type="spellStart"/>
      <w:r w:rsidRPr="00552E51">
        <w:rPr>
          <w:sz w:val="20"/>
          <w:lang w:val="en-US"/>
        </w:rPr>
        <w:t>isophorone</w:t>
      </w:r>
      <w:proofErr w:type="spellEnd"/>
      <w:r w:rsidRPr="00552E51">
        <w:rPr>
          <w:sz w:val="20"/>
          <w:lang w:val="en-US"/>
        </w:rPr>
        <w:t xml:space="preserve"> </w:t>
      </w:r>
      <w:proofErr w:type="spellStart"/>
      <w:r w:rsidRPr="00552E51">
        <w:rPr>
          <w:sz w:val="20"/>
          <w:lang w:val="en-US"/>
        </w:rPr>
        <w:t>diamine</w:t>
      </w:r>
      <w:proofErr w:type="spellEnd"/>
      <w:r w:rsidRPr="00552E51">
        <w:rPr>
          <w:sz w:val="20"/>
          <w:lang w:val="en-US"/>
        </w:rPr>
        <w:t xml:space="preserve"> are being completed in Shanghai (China). Investment in these plants amounts to more than €100 million. </w:t>
      </w:r>
      <w:proofErr w:type="spellStart"/>
      <w:r w:rsidRPr="00552E51">
        <w:rPr>
          <w:sz w:val="20"/>
          <w:lang w:val="en-US"/>
        </w:rPr>
        <w:t>Isophorone</w:t>
      </w:r>
      <w:proofErr w:type="spellEnd"/>
      <w:r w:rsidRPr="00552E51">
        <w:rPr>
          <w:sz w:val="20"/>
          <w:lang w:val="en-US"/>
        </w:rPr>
        <w:t xml:space="preserve"> chemicals increase the lifecycle of, for example, heavy-duty surfaces, and also facilitate environment-friendly coating technologies. </w:t>
      </w:r>
    </w:p>
    <w:p w:rsidR="00552E51" w:rsidRPr="00552E51" w:rsidRDefault="00552E51" w:rsidP="00EF521C">
      <w:pPr>
        <w:spacing w:line="300" w:lineRule="exact"/>
        <w:rPr>
          <w:rFonts w:cs="Lucida Sans Unicode"/>
          <w:bCs/>
          <w:sz w:val="20"/>
          <w:szCs w:val="20"/>
          <w:lang w:val="en-US"/>
        </w:rPr>
      </w:pPr>
      <w:r w:rsidRPr="00552E51">
        <w:rPr>
          <w:sz w:val="20"/>
          <w:lang w:val="en-US"/>
        </w:rPr>
        <w:t xml:space="preserve">Evonik has been raising global capacity for precipitated silicas since 2010 and opened an extended production facility in </w:t>
      </w:r>
      <w:proofErr w:type="spellStart"/>
      <w:r w:rsidRPr="00552E51">
        <w:rPr>
          <w:sz w:val="20"/>
          <w:lang w:val="en-US"/>
        </w:rPr>
        <w:t>Rayong</w:t>
      </w:r>
      <w:proofErr w:type="spellEnd"/>
      <w:r w:rsidRPr="00552E51">
        <w:rPr>
          <w:sz w:val="20"/>
          <w:lang w:val="en-US"/>
        </w:rPr>
        <w:t xml:space="preserve"> (Thailand) in March 2014</w:t>
      </w:r>
      <w:r w:rsidR="00BC3F95">
        <w:rPr>
          <w:sz w:val="20"/>
          <w:lang w:val="en-US"/>
        </w:rPr>
        <w:t>.</w:t>
      </w:r>
      <w:r w:rsidRPr="00552E51">
        <w:rPr>
          <w:sz w:val="20"/>
          <w:lang w:val="en-US"/>
        </w:rPr>
        <w:t xml:space="preserve"> Growth in South-East Asia is driven principally by </w:t>
      </w:r>
      <w:r w:rsidR="00841FF0">
        <w:rPr>
          <w:sz w:val="20"/>
          <w:lang w:val="en-US"/>
        </w:rPr>
        <w:t xml:space="preserve">fuel-saving </w:t>
      </w:r>
      <w:r w:rsidRPr="00552E51">
        <w:rPr>
          <w:sz w:val="20"/>
          <w:lang w:val="en-US"/>
        </w:rPr>
        <w:t xml:space="preserve">tires and life-science applications. </w:t>
      </w:r>
    </w:p>
    <w:p w:rsidR="00552E51" w:rsidRPr="00552E51" w:rsidRDefault="00552E51" w:rsidP="00EF521C">
      <w:pPr>
        <w:spacing w:line="300" w:lineRule="exact"/>
        <w:rPr>
          <w:rFonts w:cs="Lucida Sans Unicode"/>
          <w:bCs/>
          <w:sz w:val="20"/>
          <w:szCs w:val="20"/>
          <w:lang w:val="en-US"/>
        </w:rPr>
      </w:pPr>
    </w:p>
    <w:p w:rsidR="00552E51" w:rsidRPr="00552E51" w:rsidRDefault="00552E51" w:rsidP="00EF521C">
      <w:pPr>
        <w:spacing w:line="300" w:lineRule="exact"/>
        <w:rPr>
          <w:rFonts w:cs="Lucida Sans Unicode"/>
          <w:bCs/>
          <w:sz w:val="20"/>
          <w:szCs w:val="20"/>
          <w:lang w:val="en-US"/>
        </w:rPr>
      </w:pPr>
      <w:r w:rsidRPr="00552E51">
        <w:rPr>
          <w:sz w:val="20"/>
          <w:lang w:val="en-US"/>
        </w:rPr>
        <w:t xml:space="preserve">Evonik has further improved its net financial position. As of end-March 2014, it had </w:t>
      </w:r>
      <w:r w:rsidRPr="00552E51">
        <w:rPr>
          <w:b/>
          <w:sz w:val="20"/>
          <w:lang w:val="en-US"/>
        </w:rPr>
        <w:t>net financial assets</w:t>
      </w:r>
      <w:r w:rsidRPr="00552E51">
        <w:rPr>
          <w:sz w:val="20"/>
          <w:lang w:val="en-US"/>
        </w:rPr>
        <w:t xml:space="preserve"> of €583 million, €12 million more than at year-end 2013 (€571 million). </w:t>
      </w: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b/>
          <w:sz w:val="20"/>
          <w:szCs w:val="20"/>
          <w:lang w:val="en-US"/>
        </w:rPr>
      </w:pPr>
      <w:r w:rsidRPr="00552E51">
        <w:rPr>
          <w:b/>
          <w:sz w:val="20"/>
          <w:lang w:val="en-US"/>
        </w:rPr>
        <w:t>Efficiency enhancements driven forward</w:t>
      </w: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sz w:val="20"/>
          <w:szCs w:val="20"/>
          <w:lang w:val="en-US"/>
        </w:rPr>
      </w:pPr>
      <w:r w:rsidRPr="00552E51">
        <w:rPr>
          <w:sz w:val="20"/>
          <w:lang w:val="en-US"/>
        </w:rPr>
        <w:t xml:space="preserve">Systematic implementation of the </w:t>
      </w:r>
      <w:r w:rsidRPr="00552E51">
        <w:rPr>
          <w:b/>
          <w:sz w:val="20"/>
          <w:lang w:val="en-US"/>
        </w:rPr>
        <w:t>On Track 2.0</w:t>
      </w:r>
      <w:r w:rsidRPr="00552E51">
        <w:rPr>
          <w:sz w:val="20"/>
          <w:lang w:val="en-US"/>
        </w:rPr>
        <w:t xml:space="preserve"> efficiency enhancement program introduced in 2012 is proceeding well. Measures with annual savings potential of around €300 million out of the target of €500 million set for year-end 2016 are </w:t>
      </w:r>
      <w:r w:rsidR="0067540D">
        <w:rPr>
          <w:sz w:val="20"/>
          <w:lang w:val="en-US"/>
        </w:rPr>
        <w:t>already</w:t>
      </w:r>
      <w:r w:rsidRPr="00552E51">
        <w:rPr>
          <w:sz w:val="20"/>
          <w:lang w:val="en-US"/>
        </w:rPr>
        <w:t xml:space="preserve"> being implemented. The </w:t>
      </w:r>
      <w:r w:rsidRPr="00552E51">
        <w:rPr>
          <w:b/>
          <w:sz w:val="20"/>
          <w:lang w:val="en-US"/>
        </w:rPr>
        <w:t>Administration Excellence</w:t>
      </w:r>
      <w:r w:rsidRPr="00552E51">
        <w:rPr>
          <w:sz w:val="20"/>
          <w:lang w:val="en-US"/>
        </w:rPr>
        <w:t xml:space="preserve"> program launched in fall 2013 to optimize the quality of Group-wide administration processes is also on schedule. This program should leverage savings of up to €250 million a year by the end of 2016. Initial organizational changes were made in 2013 and further optimization is currently being worked out in detail. Implementation of these measures will start in the second half of 2014, and the majority will be implemented in 2015 and 2016.</w:t>
      </w: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b/>
          <w:sz w:val="20"/>
          <w:szCs w:val="20"/>
          <w:lang w:val="en-US"/>
        </w:rPr>
      </w:pPr>
      <w:r w:rsidRPr="00552E51">
        <w:rPr>
          <w:b/>
          <w:sz w:val="20"/>
          <w:lang w:val="en-US"/>
        </w:rPr>
        <w:t xml:space="preserve">Research and development stepped up further </w:t>
      </w: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sz w:val="20"/>
          <w:szCs w:val="20"/>
          <w:lang w:val="en-US"/>
        </w:rPr>
      </w:pPr>
      <w:r w:rsidRPr="00552E51">
        <w:rPr>
          <w:sz w:val="20"/>
          <w:lang w:val="en-US"/>
        </w:rPr>
        <w:t xml:space="preserve">The company continued its intensive research and development endeavors in the first quarter of 2014, and R&amp;D expenses increased 7 percent to €98 million. Examples of the most recent highlights are CYROLITE® Protect 2, the second product in the range of PMMA molding compounds with antimicrobial properties to be placed on the market. </w:t>
      </w:r>
      <w:r w:rsidRPr="00552E51">
        <w:rPr>
          <w:sz w:val="20"/>
          <w:lang w:val="en-US"/>
        </w:rPr>
        <w:lastRenderedPageBreak/>
        <w:t xml:space="preserve">Products from the CYROLITE® Protect product line are used in medical devices. For example, they can prevent hospital-acquired infections. </w:t>
      </w:r>
    </w:p>
    <w:p w:rsidR="00552E51" w:rsidRPr="00552E51" w:rsidRDefault="00552E51" w:rsidP="00EF521C">
      <w:pPr>
        <w:spacing w:line="300" w:lineRule="exact"/>
        <w:rPr>
          <w:sz w:val="20"/>
          <w:szCs w:val="20"/>
          <w:lang w:val="en-US"/>
        </w:rPr>
      </w:pPr>
    </w:p>
    <w:p w:rsidR="00552E51" w:rsidRPr="00552E51" w:rsidRDefault="00552E51" w:rsidP="00EF521C">
      <w:pPr>
        <w:spacing w:line="300" w:lineRule="exact"/>
        <w:rPr>
          <w:sz w:val="20"/>
          <w:szCs w:val="20"/>
          <w:lang w:val="en-US"/>
        </w:rPr>
      </w:pPr>
      <w:r w:rsidRPr="00552E51">
        <w:rPr>
          <w:sz w:val="20"/>
          <w:lang w:val="en-US"/>
        </w:rPr>
        <w:t xml:space="preserve">In recent years, Evonik has been working on a new source of methionine specifically for shrimp and crustaceans. This innovation is now being scaled up for industrial production: In Antwerp (Belgium), Evonik is building the world's first production plant for AQUAVI® Met-Met, a feed additive used in aquaculture. The plant should be completed </w:t>
      </w:r>
      <w:r w:rsidR="0067540D">
        <w:rPr>
          <w:sz w:val="20"/>
          <w:lang w:val="en-US"/>
        </w:rPr>
        <w:t>by the end of</w:t>
      </w:r>
      <w:r w:rsidRPr="00552E51">
        <w:rPr>
          <w:sz w:val="20"/>
          <w:lang w:val="en-US"/>
        </w:rPr>
        <w:t xml:space="preserve"> 2015. Evonik is already the global market leader in amino additives for fish feed. AQUAVI® Met-Met gives the company access to the attractive growth market for shrimp and crustaceans. Over the past ten years there has been double-digit growth in market volume and further dynamic growth is expected in the future.</w:t>
      </w:r>
    </w:p>
    <w:p w:rsidR="00552E51" w:rsidRDefault="00552E51" w:rsidP="00EF521C">
      <w:pPr>
        <w:spacing w:line="300" w:lineRule="exact"/>
        <w:rPr>
          <w:b/>
          <w:sz w:val="20"/>
          <w:szCs w:val="20"/>
          <w:lang w:val="en-US"/>
        </w:rPr>
      </w:pP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b/>
          <w:sz w:val="20"/>
          <w:szCs w:val="20"/>
          <w:lang w:val="en-US"/>
        </w:rPr>
      </w:pPr>
      <w:r w:rsidRPr="00552E51">
        <w:rPr>
          <w:b/>
          <w:sz w:val="20"/>
          <w:lang w:val="en-US"/>
        </w:rPr>
        <w:t>Performance of the segments in the first quarter of 2014</w:t>
      </w:r>
    </w:p>
    <w:p w:rsidR="00552E51" w:rsidRPr="00552E51" w:rsidRDefault="00552E51" w:rsidP="00EF521C">
      <w:pPr>
        <w:rPr>
          <w:bCs/>
          <w:lang w:val="en-US"/>
        </w:rPr>
      </w:pPr>
    </w:p>
    <w:p w:rsidR="00552E51" w:rsidRPr="00552E51" w:rsidRDefault="00552E51" w:rsidP="00EF521C">
      <w:pPr>
        <w:spacing w:line="300" w:lineRule="exact"/>
        <w:rPr>
          <w:rFonts w:cs="Lucida Sans Unicode"/>
          <w:b/>
          <w:sz w:val="20"/>
          <w:szCs w:val="20"/>
          <w:lang w:val="en-US"/>
        </w:rPr>
      </w:pPr>
    </w:p>
    <w:p w:rsidR="00552E51" w:rsidRPr="00D941D1" w:rsidRDefault="00552E51" w:rsidP="00EF521C">
      <w:pPr>
        <w:keepNext/>
        <w:keepLines/>
        <w:spacing w:line="300" w:lineRule="exact"/>
        <w:rPr>
          <w:rFonts w:cs="Lucida Sans Unicode"/>
          <w:b/>
          <w:sz w:val="20"/>
          <w:szCs w:val="20"/>
        </w:rPr>
      </w:pPr>
      <w:r>
        <w:rPr>
          <w:b/>
          <w:sz w:val="20"/>
        </w:rPr>
        <w:t xml:space="preserve">Consumer, </w:t>
      </w:r>
      <w:proofErr w:type="spellStart"/>
      <w:r>
        <w:rPr>
          <w:b/>
          <w:sz w:val="20"/>
        </w:rPr>
        <w:t>Health</w:t>
      </w:r>
      <w:proofErr w:type="spellEnd"/>
      <w:r>
        <w:rPr>
          <w:b/>
          <w:sz w:val="20"/>
        </w:rPr>
        <w:t xml:space="preserve"> &amp; Nutrition</w:t>
      </w:r>
    </w:p>
    <w:p w:rsidR="00552E51" w:rsidRDefault="00552E51" w:rsidP="00EF521C">
      <w:pPr>
        <w:spacing w:line="300" w:lineRule="exact"/>
        <w:rPr>
          <w:rFonts w:cs="Lucida Sans Unicode"/>
          <w:bCs/>
          <w:sz w:val="20"/>
          <w:szCs w:val="20"/>
        </w:rPr>
      </w:pP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Higher volumes, lower selling prices</w:t>
      </w: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Adjusted EBITDA below the high prior-</w:t>
      </w:r>
      <w:r w:rsidR="00841FF0" w:rsidRPr="00D93F4B">
        <w:rPr>
          <w:rFonts w:cs="Lucida Sans Unicode"/>
          <w:bCs/>
          <w:sz w:val="20"/>
          <w:szCs w:val="20"/>
          <w:lang w:val="de-DE" w:eastAsia="de-DE"/>
        </w:rPr>
        <w:t>year</w:t>
      </w:r>
      <w:r w:rsidRPr="00D93F4B">
        <w:rPr>
          <w:rFonts w:cs="Lucida Sans Unicode"/>
          <w:bCs/>
          <w:sz w:val="20"/>
          <w:szCs w:val="20"/>
          <w:lang w:val="de-DE" w:eastAsia="de-DE"/>
        </w:rPr>
        <w:t xml:space="preserve"> level</w:t>
      </w: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Adjusted EBITDA margin 19.1 percent, below the very good prior-period figure</w:t>
      </w:r>
    </w:p>
    <w:p w:rsidR="00552E51" w:rsidRPr="00552E51" w:rsidRDefault="00552E51" w:rsidP="00EF521C">
      <w:pPr>
        <w:spacing w:line="300" w:lineRule="exact"/>
        <w:rPr>
          <w:rFonts w:cs="Lucida Sans Unicode"/>
          <w:bCs/>
          <w:sz w:val="20"/>
          <w:szCs w:val="20"/>
          <w:lang w:val="en-US"/>
        </w:rPr>
      </w:pPr>
    </w:p>
    <w:p w:rsidR="00552E51" w:rsidRDefault="00552E51" w:rsidP="00EF521C">
      <w:pPr>
        <w:pStyle w:val="ErsteZeile"/>
        <w:ind w:left="85"/>
      </w:pPr>
      <w:r>
        <w:t xml:space="preserve">The </w:t>
      </w:r>
      <w:r>
        <w:rPr>
          <w:b/>
        </w:rPr>
        <w:t>Consumer, Health &amp; Nutrition</w:t>
      </w:r>
      <w:r>
        <w:t xml:space="preserve"> segment produces specialty chemicals, principally for applications in the consumer goods, animal nutrition and healthcare sectors. It comprises the Consumer Specialties and Health &amp; Nutrition Business Units.</w:t>
      </w:r>
    </w:p>
    <w:p w:rsidR="00552E51" w:rsidRPr="00552E51" w:rsidRDefault="00552E51" w:rsidP="00EF521C">
      <w:pPr>
        <w:spacing w:line="300" w:lineRule="exact"/>
        <w:rPr>
          <w:lang w:val="en-US"/>
        </w:rPr>
      </w:pPr>
    </w:p>
    <w:p w:rsidR="00552E51" w:rsidRPr="00552E51" w:rsidRDefault="00552E51" w:rsidP="00EF521C">
      <w:pPr>
        <w:spacing w:line="300" w:lineRule="exact"/>
        <w:rPr>
          <w:rFonts w:cs="Lucida Sans Unicode"/>
          <w:bCs/>
          <w:position w:val="0"/>
          <w:sz w:val="20"/>
          <w:szCs w:val="20"/>
          <w:lang w:val="en-US"/>
        </w:rPr>
      </w:pPr>
      <w:r w:rsidRPr="00552E51">
        <w:rPr>
          <w:b/>
          <w:position w:val="0"/>
          <w:sz w:val="20"/>
          <w:lang w:val="en-US"/>
        </w:rPr>
        <w:t>Sales</w:t>
      </w:r>
      <w:r w:rsidRPr="00552E51">
        <w:rPr>
          <w:position w:val="0"/>
          <w:sz w:val="20"/>
          <w:lang w:val="en-US"/>
        </w:rPr>
        <w:t xml:space="preserve"> dropped by 5 percent to €978 million (Q1 2013: €1,027 million). Excluding negative exchange rate effects, this segment only posted a slight organic sales drop. Despite higher volumes, this was caused by a reduction in selling prices, especially for amino acids for animal nutrition. Selling prices for the most important amino acid, methionine, stabilized compared with the previous quarter. Business with products for the healthcare sector was impaired by the postponement of development projects. By contrast, demand for ingredients for personal care products developed very well. Adjusted </w:t>
      </w:r>
      <w:r w:rsidRPr="00552E51">
        <w:rPr>
          <w:b/>
          <w:position w:val="0"/>
          <w:sz w:val="20"/>
          <w:lang w:val="en-US"/>
        </w:rPr>
        <w:t xml:space="preserve">EBITDA </w:t>
      </w:r>
      <w:r w:rsidRPr="00552E51">
        <w:rPr>
          <w:position w:val="0"/>
          <w:sz w:val="20"/>
          <w:lang w:val="en-US"/>
        </w:rPr>
        <w:t xml:space="preserve">was 33 percent below the high prior-period level at €187 million (Q1 2013: €281 million) due to lower selling prices and </w:t>
      </w:r>
      <w:r w:rsidR="00841FF0">
        <w:rPr>
          <w:position w:val="0"/>
          <w:sz w:val="20"/>
          <w:lang w:val="en-US"/>
        </w:rPr>
        <w:t>ramp</w:t>
      </w:r>
      <w:r w:rsidRPr="00552E51">
        <w:rPr>
          <w:position w:val="0"/>
          <w:sz w:val="20"/>
          <w:lang w:val="en-US"/>
        </w:rPr>
        <w:t xml:space="preserve">-up expenses for new </w:t>
      </w:r>
      <w:r w:rsidR="00BC3F95">
        <w:rPr>
          <w:position w:val="0"/>
          <w:sz w:val="20"/>
          <w:lang w:val="en-US"/>
        </w:rPr>
        <w:lastRenderedPageBreak/>
        <w:t xml:space="preserve">production capacity. </w:t>
      </w:r>
      <w:r w:rsidRPr="00552E51">
        <w:rPr>
          <w:position w:val="0"/>
          <w:sz w:val="20"/>
          <w:lang w:val="en-US"/>
        </w:rPr>
        <w:t xml:space="preserve">The adjusted </w:t>
      </w:r>
      <w:r w:rsidRPr="00552E51">
        <w:rPr>
          <w:b/>
          <w:position w:val="0"/>
          <w:sz w:val="20"/>
          <w:lang w:val="en-US"/>
        </w:rPr>
        <w:t>EBITDA margin</w:t>
      </w:r>
      <w:r w:rsidRPr="00552E51">
        <w:rPr>
          <w:position w:val="0"/>
          <w:sz w:val="20"/>
          <w:lang w:val="en-US"/>
        </w:rPr>
        <w:t xml:space="preserve"> was 19.1 percent, down from the previous year's very good level of 27.3 percent.</w:t>
      </w:r>
    </w:p>
    <w:p w:rsidR="00552E51" w:rsidRPr="00552E51" w:rsidRDefault="00552E51" w:rsidP="00EF521C">
      <w:pPr>
        <w:spacing w:line="300" w:lineRule="exact"/>
        <w:rPr>
          <w:rFonts w:cs="Lucida Sans Unicode"/>
          <w:bCs/>
          <w:position w:val="0"/>
          <w:sz w:val="20"/>
          <w:szCs w:val="20"/>
          <w:lang w:val="en-US"/>
        </w:rPr>
      </w:pPr>
    </w:p>
    <w:p w:rsidR="00552E51" w:rsidRDefault="00552E51" w:rsidP="00EF521C">
      <w:pPr>
        <w:spacing w:line="300" w:lineRule="exact"/>
        <w:rPr>
          <w:rFonts w:cs="Lucida Sans Unicode"/>
          <w:b/>
          <w:sz w:val="20"/>
          <w:szCs w:val="20"/>
        </w:rPr>
      </w:pPr>
      <w:r>
        <w:rPr>
          <w:b/>
          <w:sz w:val="20"/>
        </w:rPr>
        <w:t>Resource Efficiency</w:t>
      </w:r>
    </w:p>
    <w:p w:rsidR="00552E51" w:rsidRPr="00D3248A" w:rsidRDefault="00552E51" w:rsidP="00EF521C">
      <w:pPr>
        <w:spacing w:line="300" w:lineRule="exact"/>
        <w:rPr>
          <w:rFonts w:cs="Lucida Sans Unicode"/>
          <w:sz w:val="20"/>
          <w:szCs w:val="20"/>
        </w:rPr>
      </w:pP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Rising demand and virtually stable selling prices</w:t>
      </w: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Higher adjusted EBITDA</w:t>
      </w: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Adjusted EBITDA margin improved to a very good 23.5 percent</w:t>
      </w:r>
    </w:p>
    <w:p w:rsidR="00552E51" w:rsidRPr="00552E51" w:rsidRDefault="00552E51" w:rsidP="00EF521C">
      <w:pPr>
        <w:spacing w:line="300" w:lineRule="exact"/>
        <w:rPr>
          <w:sz w:val="20"/>
          <w:szCs w:val="20"/>
          <w:lang w:val="en-US"/>
        </w:rPr>
      </w:pPr>
    </w:p>
    <w:p w:rsidR="00552E51" w:rsidRPr="00552E51" w:rsidRDefault="00552E51" w:rsidP="00EF521C">
      <w:pPr>
        <w:spacing w:line="300" w:lineRule="exact"/>
        <w:rPr>
          <w:sz w:val="20"/>
          <w:szCs w:val="20"/>
          <w:lang w:val="en-US"/>
        </w:rPr>
      </w:pPr>
      <w:r w:rsidRPr="00552E51">
        <w:rPr>
          <w:sz w:val="20"/>
          <w:lang w:val="en-US"/>
        </w:rPr>
        <w:t xml:space="preserve">The </w:t>
      </w:r>
      <w:r w:rsidRPr="00552E51">
        <w:rPr>
          <w:b/>
          <w:sz w:val="20"/>
          <w:lang w:val="en-US"/>
        </w:rPr>
        <w:t>Resource Efficiency</w:t>
      </w:r>
      <w:r w:rsidRPr="00552E51">
        <w:rPr>
          <w:sz w:val="20"/>
          <w:lang w:val="en-US"/>
        </w:rPr>
        <w:t xml:space="preserve"> segment provides environment-friendly and energy-efficient system solutions. It comprises the Inorganic Materials and Coatings &amp; Additives Business Units.</w:t>
      </w:r>
    </w:p>
    <w:p w:rsidR="00552E51" w:rsidRPr="00552E51" w:rsidRDefault="00552E51" w:rsidP="00EF521C">
      <w:pPr>
        <w:spacing w:line="300" w:lineRule="exact"/>
        <w:rPr>
          <w:sz w:val="20"/>
          <w:szCs w:val="20"/>
          <w:lang w:val="en-US"/>
        </w:rPr>
      </w:pPr>
    </w:p>
    <w:p w:rsidR="00552E51" w:rsidRPr="00552E51" w:rsidRDefault="00552E51" w:rsidP="00EF521C">
      <w:pPr>
        <w:spacing w:line="300" w:lineRule="exact"/>
        <w:rPr>
          <w:sz w:val="20"/>
          <w:szCs w:val="20"/>
          <w:lang w:val="en-US"/>
        </w:rPr>
      </w:pPr>
      <w:r w:rsidRPr="00552E51">
        <w:rPr>
          <w:b/>
          <w:sz w:val="20"/>
          <w:lang w:val="en-US"/>
        </w:rPr>
        <w:t>Sales</w:t>
      </w:r>
      <w:r w:rsidRPr="00552E51">
        <w:rPr>
          <w:sz w:val="20"/>
          <w:lang w:val="en-US"/>
        </w:rPr>
        <w:t xml:space="preserve"> grew 4 percent to €805 million (Q1 2013: €771 million). Virtually stable selling prices and a substantial hike in volumes led to clear organic sales growth, but this was reduced by negative currency effects. In particular, the silica and </w:t>
      </w:r>
      <w:proofErr w:type="spellStart"/>
      <w:r w:rsidRPr="00552E51">
        <w:rPr>
          <w:sz w:val="20"/>
          <w:lang w:val="en-US"/>
        </w:rPr>
        <w:t>silanes</w:t>
      </w:r>
      <w:proofErr w:type="spellEnd"/>
      <w:r w:rsidRPr="00552E51">
        <w:rPr>
          <w:sz w:val="20"/>
          <w:lang w:val="en-US"/>
        </w:rPr>
        <w:t xml:space="preserve"> business benefited from strong demand from the tire industry. Matting agents for paints and coatings also did well. </w:t>
      </w:r>
      <w:proofErr w:type="spellStart"/>
      <w:r w:rsidRPr="00552E51">
        <w:rPr>
          <w:sz w:val="20"/>
          <w:lang w:val="en-US"/>
        </w:rPr>
        <w:t>Crosslinkers</w:t>
      </w:r>
      <w:proofErr w:type="spellEnd"/>
      <w:r w:rsidRPr="00552E51">
        <w:rPr>
          <w:sz w:val="20"/>
          <w:lang w:val="en-US"/>
        </w:rPr>
        <w:t xml:space="preserve"> and oil additives registered a substantial hike in demand from the automotive, coatings and construction industries. Adjusted</w:t>
      </w:r>
      <w:r w:rsidRPr="00552E51">
        <w:rPr>
          <w:b/>
          <w:sz w:val="20"/>
          <w:lang w:val="en-US"/>
        </w:rPr>
        <w:t xml:space="preserve"> EBITDA</w:t>
      </w:r>
      <w:r w:rsidRPr="00552E51">
        <w:rPr>
          <w:sz w:val="20"/>
          <w:lang w:val="en-US"/>
        </w:rPr>
        <w:t xml:space="preserve"> rose 10 percent to €189 million (Q1 2013: €172 million).  The adjusted </w:t>
      </w:r>
      <w:r w:rsidRPr="00552E51">
        <w:rPr>
          <w:b/>
          <w:sz w:val="20"/>
          <w:lang w:val="en-US"/>
        </w:rPr>
        <w:t>EBITDA margin</w:t>
      </w:r>
      <w:r w:rsidRPr="00552E51">
        <w:rPr>
          <w:sz w:val="20"/>
          <w:lang w:val="en-US"/>
        </w:rPr>
        <w:t xml:space="preserve"> improved from 22.3 percent to 23.5 percent.</w:t>
      </w:r>
    </w:p>
    <w:p w:rsidR="00552E51" w:rsidRPr="00552E51" w:rsidRDefault="00552E51" w:rsidP="00EF521C">
      <w:pPr>
        <w:spacing w:line="300" w:lineRule="exact"/>
        <w:rPr>
          <w:bCs/>
          <w:lang w:val="en-US"/>
        </w:rPr>
      </w:pPr>
    </w:p>
    <w:p w:rsidR="00552E51" w:rsidRPr="00BC3F95" w:rsidRDefault="00552E51" w:rsidP="00EF521C">
      <w:pPr>
        <w:spacing w:line="300" w:lineRule="exact"/>
        <w:rPr>
          <w:b/>
          <w:sz w:val="20"/>
          <w:lang w:val="en-US"/>
        </w:rPr>
      </w:pPr>
    </w:p>
    <w:p w:rsidR="00552E51" w:rsidRPr="00D941D1" w:rsidRDefault="00552E51" w:rsidP="00EF521C">
      <w:pPr>
        <w:spacing w:line="300" w:lineRule="exact"/>
        <w:rPr>
          <w:b/>
          <w:sz w:val="20"/>
          <w:szCs w:val="20"/>
        </w:rPr>
      </w:pPr>
      <w:r>
        <w:rPr>
          <w:b/>
          <w:sz w:val="20"/>
        </w:rPr>
        <w:t>Specialty Materials</w:t>
      </w:r>
    </w:p>
    <w:p w:rsidR="00552E51" w:rsidRDefault="00552E51" w:rsidP="00EF521C">
      <w:pPr>
        <w:rPr>
          <w:bCs/>
          <w:sz w:val="20"/>
          <w:szCs w:val="20"/>
        </w:rPr>
      </w:pP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Higher volumes, lower selling prices</w:t>
      </w: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Adjusted EBITDA well below the good prior-period level</w:t>
      </w:r>
    </w:p>
    <w:p w:rsidR="00552E51" w:rsidRPr="00D93F4B" w:rsidRDefault="00552E51" w:rsidP="00D93F4B">
      <w:pPr>
        <w:pStyle w:val="Listenabsatz"/>
        <w:numPr>
          <w:ilvl w:val="0"/>
          <w:numId w:val="16"/>
        </w:numPr>
        <w:spacing w:line="300" w:lineRule="exact"/>
        <w:rPr>
          <w:rFonts w:cs="Lucida Sans Unicode"/>
          <w:bCs/>
          <w:sz w:val="20"/>
          <w:szCs w:val="20"/>
          <w:lang w:val="de-DE" w:eastAsia="de-DE"/>
        </w:rPr>
      </w:pPr>
      <w:r w:rsidRPr="00D93F4B">
        <w:rPr>
          <w:rFonts w:cs="Lucida Sans Unicode"/>
          <w:bCs/>
          <w:sz w:val="20"/>
          <w:szCs w:val="20"/>
          <w:lang w:val="de-DE" w:eastAsia="de-DE"/>
        </w:rPr>
        <w:t>Adjusted EBITDA margin slipped to 9.4 percent</w:t>
      </w:r>
    </w:p>
    <w:p w:rsidR="00552E51" w:rsidRDefault="00552E51" w:rsidP="00EF521C">
      <w:pPr>
        <w:spacing w:line="300" w:lineRule="exact"/>
        <w:rPr>
          <w:lang w:val="en-US"/>
        </w:rPr>
      </w:pPr>
    </w:p>
    <w:p w:rsidR="00552E51" w:rsidRDefault="00552E51" w:rsidP="00EF521C">
      <w:pPr>
        <w:spacing w:line="300" w:lineRule="exact"/>
        <w:rPr>
          <w:sz w:val="20"/>
          <w:lang w:val="en-US"/>
        </w:rPr>
      </w:pPr>
      <w:r w:rsidRPr="00552E51">
        <w:rPr>
          <w:sz w:val="20"/>
          <w:lang w:val="en-US"/>
        </w:rPr>
        <w:t xml:space="preserve">The heart of the </w:t>
      </w:r>
      <w:r w:rsidRPr="00552E51">
        <w:rPr>
          <w:b/>
          <w:sz w:val="20"/>
          <w:lang w:val="en-US"/>
        </w:rPr>
        <w:t>Specialty Materials</w:t>
      </w:r>
      <w:r w:rsidRPr="00552E51">
        <w:rPr>
          <w:sz w:val="20"/>
          <w:lang w:val="en-US"/>
        </w:rPr>
        <w:t xml:space="preserve"> segment is the production of polymer materials and intermediates, mainly for the rubber and plastics industries. It comprises the Performance Polymers and Advanced Intermediates Business Units.</w:t>
      </w:r>
    </w:p>
    <w:p w:rsidR="00552E51" w:rsidRDefault="00552E51" w:rsidP="00EF521C">
      <w:pPr>
        <w:spacing w:line="300" w:lineRule="exact"/>
        <w:rPr>
          <w:sz w:val="20"/>
          <w:lang w:val="en-US"/>
        </w:rPr>
      </w:pPr>
    </w:p>
    <w:p w:rsidR="00552E51" w:rsidRPr="00BC3F95" w:rsidRDefault="00552E51" w:rsidP="00EF521C">
      <w:pPr>
        <w:spacing w:line="300" w:lineRule="exact"/>
        <w:rPr>
          <w:rFonts w:cs="Lucida Sans Unicode"/>
          <w:bCs/>
          <w:sz w:val="20"/>
          <w:lang w:val="en-US"/>
        </w:rPr>
      </w:pPr>
      <w:r w:rsidRPr="00552E51">
        <w:rPr>
          <w:b/>
          <w:sz w:val="20"/>
          <w:lang w:val="en-US"/>
        </w:rPr>
        <w:t>Sales</w:t>
      </w:r>
      <w:r w:rsidRPr="00552E51">
        <w:rPr>
          <w:sz w:val="20"/>
          <w:lang w:val="en-US"/>
        </w:rPr>
        <w:t xml:space="preserve"> increased by 1 percent to €1,177 million (Q1 2013: €1,170 million). </w:t>
      </w:r>
      <w:r w:rsidRPr="00BC3F95">
        <w:rPr>
          <w:sz w:val="20"/>
          <w:lang w:val="en-US"/>
        </w:rPr>
        <w:t>Excluding exchange rate effects, the segment achieved slight organic sales growth. There was a pleasing increase in volumes but a considerable drop in selling prices, especially for butadiene. An increase in demand was registered for almost all C</w:t>
      </w:r>
      <w:r w:rsidRPr="00BC3F95">
        <w:rPr>
          <w:sz w:val="20"/>
          <w:vertAlign w:val="subscript"/>
          <w:lang w:val="en-US"/>
        </w:rPr>
        <w:t>4</w:t>
      </w:r>
      <w:r w:rsidR="00841FF0">
        <w:rPr>
          <w:sz w:val="20"/>
          <w:lang w:val="en-US"/>
        </w:rPr>
        <w:t xml:space="preserve"> c</w:t>
      </w:r>
      <w:r w:rsidRPr="00BC3F95">
        <w:rPr>
          <w:sz w:val="20"/>
          <w:lang w:val="en-US"/>
        </w:rPr>
        <w:t xml:space="preserve">hemistry and polyamide 12 products. Volume sales of </w:t>
      </w:r>
      <w:proofErr w:type="spellStart"/>
      <w:r w:rsidRPr="00BC3F95">
        <w:rPr>
          <w:sz w:val="20"/>
          <w:lang w:val="en-US"/>
        </w:rPr>
        <w:t>methacrylates</w:t>
      </w:r>
      <w:proofErr w:type="spellEnd"/>
      <w:r w:rsidRPr="00BC3F95">
        <w:rPr>
          <w:sz w:val="20"/>
          <w:lang w:val="en-US"/>
        </w:rPr>
        <w:t xml:space="preserve"> were stable. Adjusted</w:t>
      </w:r>
      <w:r w:rsidRPr="00BC3F95">
        <w:rPr>
          <w:b/>
          <w:sz w:val="20"/>
          <w:lang w:val="en-US"/>
        </w:rPr>
        <w:t xml:space="preserve"> EBITDA </w:t>
      </w:r>
      <w:r w:rsidRPr="00BC3F95">
        <w:rPr>
          <w:sz w:val="20"/>
          <w:lang w:val="en-US"/>
        </w:rPr>
        <w:lastRenderedPageBreak/>
        <w:t xml:space="preserve">was €111 million, 39 percent below the high year-back figure (€182 million), mainly due to lower selling prices and higher raw material costs. The adjusted </w:t>
      </w:r>
      <w:r w:rsidRPr="00BC3F95">
        <w:rPr>
          <w:b/>
          <w:sz w:val="20"/>
          <w:lang w:val="en-US"/>
        </w:rPr>
        <w:t>EBITDA margin</w:t>
      </w:r>
      <w:r w:rsidRPr="00BC3F95">
        <w:rPr>
          <w:sz w:val="20"/>
          <w:lang w:val="en-US"/>
        </w:rPr>
        <w:t xml:space="preserve"> was 9.4 percent, down from 15.6 percent in the first quarter of 2013.</w:t>
      </w: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b/>
          <w:sz w:val="20"/>
          <w:szCs w:val="20"/>
          <w:lang w:val="en-US"/>
        </w:rPr>
      </w:pPr>
      <w:r w:rsidRPr="00552E51">
        <w:rPr>
          <w:b/>
          <w:sz w:val="20"/>
          <w:lang w:val="en-US"/>
        </w:rPr>
        <w:t>Services</w:t>
      </w:r>
    </w:p>
    <w:p w:rsidR="00552E51" w:rsidRPr="00552E51" w:rsidRDefault="00552E51" w:rsidP="00EF521C">
      <w:pPr>
        <w:spacing w:line="300" w:lineRule="exact"/>
        <w:rPr>
          <w:b/>
          <w:sz w:val="20"/>
          <w:szCs w:val="20"/>
          <w:lang w:val="en-US"/>
        </w:rPr>
      </w:pPr>
    </w:p>
    <w:p w:rsidR="00552E51" w:rsidRPr="00552E51" w:rsidRDefault="00552E51" w:rsidP="00EF521C">
      <w:pPr>
        <w:spacing w:line="300" w:lineRule="exact"/>
        <w:rPr>
          <w:rFonts w:cs="Lucida Sans Unicode"/>
          <w:bCs/>
          <w:sz w:val="20"/>
          <w:lang w:val="en-US"/>
        </w:rPr>
      </w:pPr>
      <w:r w:rsidRPr="00552E51">
        <w:rPr>
          <w:sz w:val="20"/>
          <w:lang w:val="en-US"/>
        </w:rPr>
        <w:t>The Services segment mainly provides services for the chemicals segments and the Corporate Center, but also serves third parties.</w:t>
      </w:r>
    </w:p>
    <w:p w:rsidR="00552E51" w:rsidRPr="00552E51" w:rsidRDefault="00552E51" w:rsidP="00EF521C">
      <w:pPr>
        <w:spacing w:line="300" w:lineRule="exact"/>
        <w:rPr>
          <w:rFonts w:cs="Lucida Sans Unicode"/>
          <w:bCs/>
          <w:sz w:val="20"/>
          <w:lang w:val="en-US"/>
        </w:rPr>
      </w:pPr>
    </w:p>
    <w:p w:rsidR="00552E51" w:rsidRPr="00D941D1" w:rsidRDefault="00552E51" w:rsidP="00EF521C">
      <w:pPr>
        <w:pStyle w:val="EvonikStandard"/>
        <w:keepNext/>
        <w:keepLines/>
        <w:spacing w:line="300" w:lineRule="exact"/>
        <w:ind w:left="85" w:right="85" w:firstLine="0"/>
        <w:rPr>
          <w:rFonts w:cs="Lucida Sans Unicode"/>
          <w:bCs/>
          <w:sz w:val="20"/>
        </w:rPr>
      </w:pPr>
      <w:r>
        <w:rPr>
          <w:sz w:val="20"/>
        </w:rPr>
        <w:t xml:space="preserve">The Services segment's </w:t>
      </w:r>
      <w:r>
        <w:rPr>
          <w:b/>
          <w:sz w:val="20"/>
        </w:rPr>
        <w:t>sales totaled</w:t>
      </w:r>
      <w:r>
        <w:rPr>
          <w:sz w:val="20"/>
        </w:rPr>
        <w:t xml:space="preserve"> €651 million. Internal sales accounted for €444 million of the total. External sales were up slightly year-on-year at €207 million (Q1 2013: €204 million). Adjusted </w:t>
      </w:r>
      <w:r>
        <w:rPr>
          <w:b/>
          <w:sz w:val="20"/>
        </w:rPr>
        <w:t>EBITDA</w:t>
      </w:r>
      <w:r>
        <w:rPr>
          <w:sz w:val="20"/>
        </w:rPr>
        <w:t xml:space="preserve"> slipped 6 percent year-on-year to €51 million (Q1 2013: €54 million). This was partly due to scheduled maintenance work at a power plant in Marl (Germany).</w:t>
      </w:r>
    </w:p>
    <w:p w:rsidR="00552E51" w:rsidRDefault="00552E51" w:rsidP="00EF521C">
      <w:pPr>
        <w:pStyle w:val="EvonikStandard"/>
        <w:spacing w:line="300" w:lineRule="exact"/>
        <w:ind w:left="85" w:firstLine="0"/>
        <w:rPr>
          <w:rFonts w:ascii="Times New Roman" w:hAnsi="Times New Roman"/>
          <w:bCs/>
          <w:sz w:val="24"/>
          <w:szCs w:val="24"/>
        </w:rPr>
      </w:pPr>
    </w:p>
    <w:p w:rsidR="00552E51" w:rsidRPr="00B13E9A" w:rsidRDefault="00552E51" w:rsidP="00EF521C">
      <w:pPr>
        <w:pStyle w:val="EvonikStandard"/>
        <w:spacing w:line="300" w:lineRule="exact"/>
        <w:ind w:left="85" w:firstLine="0"/>
        <w:rPr>
          <w:rFonts w:ascii="Times New Roman" w:hAnsi="Times New Roman"/>
          <w:bCs/>
          <w:sz w:val="24"/>
          <w:szCs w:val="24"/>
        </w:rPr>
      </w:pPr>
    </w:p>
    <w:p w:rsidR="00552E51" w:rsidRDefault="00552E51" w:rsidP="00EF521C">
      <w:pPr>
        <w:spacing w:line="300" w:lineRule="exact"/>
        <w:rPr>
          <w:b/>
          <w:sz w:val="20"/>
          <w:lang w:val="en-US"/>
        </w:rPr>
      </w:pPr>
      <w:r w:rsidRPr="00552E51">
        <w:rPr>
          <w:b/>
          <w:sz w:val="20"/>
          <w:lang w:val="en-US"/>
        </w:rPr>
        <w:t>Outlook for 2014 confirmed</w:t>
      </w:r>
    </w:p>
    <w:p w:rsidR="00552E51" w:rsidRDefault="00552E51" w:rsidP="00EF521C">
      <w:pPr>
        <w:spacing w:line="300" w:lineRule="exact"/>
        <w:rPr>
          <w:b/>
          <w:sz w:val="20"/>
          <w:lang w:val="en-US"/>
        </w:rPr>
      </w:pPr>
    </w:p>
    <w:p w:rsidR="00552E51" w:rsidRDefault="00552E51" w:rsidP="00EF521C">
      <w:pPr>
        <w:spacing w:line="300" w:lineRule="exact"/>
        <w:rPr>
          <w:sz w:val="20"/>
          <w:lang w:val="en-US"/>
        </w:rPr>
      </w:pPr>
      <w:r w:rsidRPr="00552E51">
        <w:rPr>
          <w:sz w:val="20"/>
          <w:lang w:val="en-US"/>
        </w:rPr>
        <w:t xml:space="preserve">Looking at the global economic background, Evonik still expects global growth to be </w:t>
      </w:r>
      <w:r w:rsidR="0067540D">
        <w:rPr>
          <w:sz w:val="20"/>
          <w:lang w:val="en-US"/>
        </w:rPr>
        <w:t xml:space="preserve">slightly </w:t>
      </w:r>
      <w:r w:rsidRPr="00552E51">
        <w:rPr>
          <w:sz w:val="20"/>
          <w:lang w:val="en-US"/>
        </w:rPr>
        <w:t xml:space="preserve">higher in 2014 than in 2013. Alongside the stepwise recovery in Europe, there are some challenges, especially in the emerging markets, and increasing risk comes from geopolitical tension, above all in the Ukraine. </w:t>
      </w:r>
    </w:p>
    <w:p w:rsidR="00552E51" w:rsidRDefault="00552E51" w:rsidP="00EF521C">
      <w:pPr>
        <w:spacing w:line="300" w:lineRule="exact"/>
        <w:rPr>
          <w:sz w:val="20"/>
          <w:lang w:val="en-US"/>
        </w:rPr>
      </w:pPr>
    </w:p>
    <w:p w:rsidR="00552E51" w:rsidRDefault="00552E51" w:rsidP="00EF521C">
      <w:pPr>
        <w:spacing w:line="300" w:lineRule="exact"/>
        <w:rPr>
          <w:sz w:val="20"/>
          <w:lang w:val="en-US"/>
        </w:rPr>
      </w:pPr>
      <w:r w:rsidRPr="00552E51">
        <w:rPr>
          <w:sz w:val="20"/>
          <w:lang w:val="en-US"/>
        </w:rPr>
        <w:t xml:space="preserve">Evonik is sticking to the forecast made at the start of this year with regard to global economic conditions in 2014 as a whole and is confirming its guidance: The company anticipates that </w:t>
      </w:r>
      <w:r w:rsidRPr="00552E51">
        <w:rPr>
          <w:b/>
          <w:sz w:val="20"/>
          <w:lang w:val="en-US"/>
        </w:rPr>
        <w:t>sales</w:t>
      </w:r>
      <w:r w:rsidRPr="00552E51">
        <w:rPr>
          <w:sz w:val="20"/>
          <w:lang w:val="en-US"/>
        </w:rPr>
        <w:t xml:space="preserve"> will rise slightly year-on-year in 2014 (2013: </w:t>
      </w:r>
      <w:r w:rsidR="00841FF0">
        <w:rPr>
          <w:sz w:val="20"/>
          <w:lang w:val="en-US"/>
        </w:rPr>
        <w:t>€</w:t>
      </w:r>
      <w:r w:rsidRPr="00552E51">
        <w:rPr>
          <w:sz w:val="20"/>
          <w:lang w:val="en-US"/>
        </w:rPr>
        <w:t>12.7 billion</w:t>
      </w:r>
      <w:r w:rsidR="00841FF0" w:rsidRPr="00841FF0">
        <w:rPr>
          <w:sz w:val="20"/>
          <w:vertAlign w:val="superscript"/>
          <w:lang w:val="en-US"/>
        </w:rPr>
        <w:t>1)</w:t>
      </w:r>
      <w:r w:rsidRPr="00552E51">
        <w:rPr>
          <w:sz w:val="20"/>
          <w:lang w:val="en-US"/>
        </w:rPr>
        <w:t xml:space="preserve">), and still expects adjusted </w:t>
      </w:r>
      <w:r w:rsidRPr="00552E51">
        <w:rPr>
          <w:b/>
          <w:sz w:val="20"/>
          <w:lang w:val="en-US"/>
        </w:rPr>
        <w:t>EBITDA</w:t>
      </w:r>
      <w:r w:rsidRPr="00552E51">
        <w:rPr>
          <w:sz w:val="20"/>
          <w:lang w:val="en-US"/>
        </w:rPr>
        <w:t xml:space="preserve"> to be between €1.8 billion and €2.1 billion (2013: €2.0 billion). </w:t>
      </w:r>
    </w:p>
    <w:p w:rsidR="00552E51" w:rsidRDefault="00552E51" w:rsidP="00EF521C">
      <w:pPr>
        <w:spacing w:line="300" w:lineRule="exact"/>
        <w:rPr>
          <w:sz w:val="20"/>
          <w:lang w:val="en-US"/>
        </w:rPr>
      </w:pPr>
    </w:p>
    <w:p w:rsidR="00552E51" w:rsidRPr="00394C88" w:rsidRDefault="00841FF0" w:rsidP="00EF521C">
      <w:pPr>
        <w:spacing w:line="300" w:lineRule="exact"/>
        <w:rPr>
          <w:rFonts w:cs="Lucida Sans Unicode"/>
          <w:bCs/>
          <w:sz w:val="20"/>
          <w:lang w:val="en-US"/>
        </w:rPr>
      </w:pPr>
      <w:r w:rsidRPr="000D4BBD">
        <w:rPr>
          <w:rFonts w:cs="Lucida Sans Unicode"/>
          <w:b/>
          <w:noProof/>
          <w:sz w:val="20"/>
          <w:szCs w:val="20"/>
        </w:rPr>
        <mc:AlternateContent>
          <mc:Choice Requires="wps">
            <w:drawing>
              <wp:anchor distT="0" distB="0" distL="114300" distR="114300" simplePos="0" relativeHeight="251661312" behindDoc="0" locked="0" layoutInCell="1" allowOverlap="1" wp14:anchorId="1A285DA4" wp14:editId="199D2ACE">
                <wp:simplePos x="0" y="0"/>
                <wp:positionH relativeFrom="column">
                  <wp:posOffset>-203835</wp:posOffset>
                </wp:positionH>
                <wp:positionV relativeFrom="paragraph">
                  <wp:posOffset>1211580</wp:posOffset>
                </wp:positionV>
                <wp:extent cx="4260215" cy="323850"/>
                <wp:effectExtent l="0" t="0" r="6985"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215" cy="323850"/>
                        </a:xfrm>
                        <a:prstGeom prst="rect">
                          <a:avLst/>
                        </a:prstGeom>
                        <a:solidFill>
                          <a:srgbClr val="FFFFFF"/>
                        </a:solidFill>
                        <a:ln w="9525">
                          <a:noFill/>
                          <a:miter lim="800000"/>
                          <a:headEnd/>
                          <a:tailEnd/>
                        </a:ln>
                      </wps:spPr>
                      <wps:txbx>
                        <w:txbxContent>
                          <w:p w:rsidR="00841FF0" w:rsidRPr="00552E51" w:rsidRDefault="00841FF0" w:rsidP="00841FF0">
                            <w:pPr>
                              <w:rPr>
                                <w:lang w:val="en-US"/>
                              </w:rPr>
                            </w:pPr>
                            <w:r w:rsidRPr="00552E51">
                              <w:rPr>
                                <w:vertAlign w:val="superscript"/>
                                <w:lang w:val="en-US"/>
                              </w:rPr>
                              <w:t>1)</w:t>
                            </w:r>
                            <w:r w:rsidRPr="00552E51">
                              <w:rPr>
                                <w:lang w:val="en-US"/>
                              </w:rPr>
                              <w:tab/>
                            </w:r>
                            <w:r w:rsidRPr="00552E51">
                              <w:rPr>
                                <w:sz w:val="16"/>
                                <w:szCs w:val="16"/>
                                <w:lang w:val="en-US"/>
                              </w:rPr>
                              <w:t>Prior-year figure restated due to first-time application of IFRS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6.05pt;margin-top:95.4pt;width:335.4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" stroked="f">
                <v:textbox>
                  <w:txbxContent>
                    <w:p w:rsidR="00841FF0" w:rsidRPr="00552E51" w:rsidRDefault="00841FF0" w:rsidP="00841FF0">
                      <w:pPr>
                        <w:rPr>
                          <w:lang w:val="en-US"/>
                        </w:rPr>
                      </w:pPr>
                      <w:bookmarkStart w:id="1" w:name="_GoBack"/>
                      <w:r w:rsidRPr="00552E51">
                        <w:rPr>
                          <w:vertAlign w:val="superscript"/>
                          <w:lang w:val="en-US"/>
                        </w:rPr>
                        <w:t>1)</w:t>
                      </w:r>
                      <w:r w:rsidRPr="00552E51">
                        <w:rPr>
                          <w:lang w:val="en-US"/>
                        </w:rPr>
                        <w:tab/>
                      </w:r>
                      <w:r w:rsidRPr="00552E51">
                        <w:rPr>
                          <w:sz w:val="16"/>
                          <w:szCs w:val="16"/>
                          <w:lang w:val="en-US"/>
                        </w:rPr>
                        <w:t>Prior-year figure restated due to first-time application of IFRS 11</w:t>
                      </w:r>
                      <w:bookmarkEnd w:id="1"/>
                    </w:p>
                  </w:txbxContent>
                </v:textbox>
              </v:shape>
            </w:pict>
          </mc:Fallback>
        </mc:AlternateContent>
      </w:r>
      <w:r w:rsidR="00552E51" w:rsidRPr="00552E51">
        <w:rPr>
          <w:sz w:val="20"/>
          <w:lang w:val="en-US"/>
        </w:rPr>
        <w:t xml:space="preserve">The positive volume trend should continue, driven by the completion of the first growth investments. </w:t>
      </w:r>
      <w:r w:rsidR="00552E51" w:rsidRPr="00394C88">
        <w:rPr>
          <w:sz w:val="20"/>
          <w:lang w:val="en-US"/>
        </w:rPr>
        <w:t xml:space="preserve">For some major business activities the company </w:t>
      </w:r>
      <w:r>
        <w:rPr>
          <w:sz w:val="20"/>
          <w:lang w:val="en-US"/>
        </w:rPr>
        <w:t xml:space="preserve">still </w:t>
      </w:r>
      <w:r w:rsidR="00552E51" w:rsidRPr="00394C88">
        <w:rPr>
          <w:sz w:val="20"/>
          <w:lang w:val="en-US"/>
        </w:rPr>
        <w:t xml:space="preserve">assumes that in 2014 selling prices will be below the average for 2013 as price levels were </w:t>
      </w:r>
      <w:r w:rsidR="0067540D">
        <w:rPr>
          <w:sz w:val="20"/>
          <w:lang w:val="en-US"/>
        </w:rPr>
        <w:t xml:space="preserve">positively influenced by </w:t>
      </w:r>
      <w:r w:rsidR="00552E51" w:rsidRPr="00394C88">
        <w:rPr>
          <w:sz w:val="20"/>
          <w:lang w:val="en-US"/>
        </w:rPr>
        <w:t xml:space="preserve">higher </w:t>
      </w:r>
      <w:r w:rsidR="0067540D">
        <w:rPr>
          <w:sz w:val="20"/>
          <w:lang w:val="en-US"/>
        </w:rPr>
        <w:t xml:space="preserve">prices </w:t>
      </w:r>
      <w:r w:rsidR="00552E51" w:rsidRPr="00394C88">
        <w:rPr>
          <w:sz w:val="20"/>
          <w:lang w:val="en-US"/>
        </w:rPr>
        <w:t>in the first six months of 2013.</w:t>
      </w:r>
      <w:r w:rsidRPr="00841FF0">
        <w:rPr>
          <w:rFonts w:cs="Lucida Sans Unicode"/>
          <w:b/>
          <w:noProof/>
          <w:sz w:val="20"/>
          <w:szCs w:val="20"/>
          <w:lang w:val="en-US"/>
        </w:rPr>
        <w:t xml:space="preserve"> </w:t>
      </w:r>
    </w:p>
    <w:p w:rsidR="00552E51" w:rsidRDefault="00552E51" w:rsidP="00EF521C">
      <w:pPr>
        <w:pStyle w:val="EvonikStandard"/>
        <w:keepNext/>
        <w:keepLines/>
        <w:spacing w:line="300" w:lineRule="exact"/>
        <w:ind w:left="85" w:right="85" w:firstLine="0"/>
        <w:rPr>
          <w:rFonts w:cs="Lucida Sans Unicode"/>
          <w:bCs/>
          <w:sz w:val="20"/>
        </w:rPr>
      </w:pPr>
      <w:r>
        <w:rPr>
          <w:sz w:val="20"/>
        </w:rPr>
        <w:lastRenderedPageBreak/>
        <w:t xml:space="preserve">Further relief on the cost front should come from the On Track 2.0 efficiency enhancement program. In addition, Evonik expects to see the first positive effects of the new Administration Excellence </w:t>
      </w:r>
      <w:r w:rsidR="000434B6">
        <w:rPr>
          <w:sz w:val="20"/>
        </w:rPr>
        <w:t>program</w:t>
      </w:r>
      <w:r>
        <w:rPr>
          <w:sz w:val="20"/>
        </w:rPr>
        <w:t xml:space="preserve"> to optimize administrative structures. </w:t>
      </w:r>
      <w:r w:rsidR="0067540D">
        <w:rPr>
          <w:sz w:val="20"/>
        </w:rPr>
        <w:t xml:space="preserve">Downside factors </w:t>
      </w:r>
      <w:r>
        <w:rPr>
          <w:sz w:val="20"/>
        </w:rPr>
        <w:t xml:space="preserve">could </w:t>
      </w:r>
      <w:r w:rsidR="0067540D">
        <w:rPr>
          <w:sz w:val="20"/>
        </w:rPr>
        <w:t>result from ramp-up</w:t>
      </w:r>
      <w:r>
        <w:rPr>
          <w:sz w:val="20"/>
        </w:rPr>
        <w:t xml:space="preserve"> expenses for growth investments and </w:t>
      </w:r>
      <w:r w:rsidR="0067540D">
        <w:rPr>
          <w:sz w:val="20"/>
        </w:rPr>
        <w:t>negative</w:t>
      </w:r>
      <w:r>
        <w:rPr>
          <w:sz w:val="20"/>
        </w:rPr>
        <w:t xml:space="preserve"> currency effects.</w:t>
      </w:r>
    </w:p>
    <w:p w:rsidR="00552E51" w:rsidRPr="00552E51" w:rsidRDefault="00552E51" w:rsidP="00EF521C">
      <w:pPr>
        <w:rPr>
          <w:bCs/>
          <w:lang w:val="en-US"/>
        </w:rPr>
      </w:pPr>
    </w:p>
    <w:p w:rsidR="00552E51" w:rsidRPr="00552E51" w:rsidRDefault="00552E51" w:rsidP="00EF521C">
      <w:pPr>
        <w:spacing w:after="120"/>
        <w:rPr>
          <w:b/>
          <w:bCs/>
          <w:lang w:val="en-US"/>
        </w:rPr>
      </w:pPr>
      <w:r w:rsidRPr="00552E51">
        <w:rPr>
          <w:lang w:val="en-US"/>
        </w:rPr>
        <w:br w:type="page"/>
      </w:r>
      <w:r w:rsidRPr="00552E51">
        <w:rPr>
          <w:b/>
          <w:lang w:val="en-US"/>
        </w:rPr>
        <w:lastRenderedPageBreak/>
        <w:t>Evonik Group: Excerpt from the income statement</w:t>
      </w:r>
    </w:p>
    <w:tbl>
      <w:tblPr>
        <w:tblW w:w="93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254"/>
        <w:gridCol w:w="1304"/>
        <w:gridCol w:w="1383"/>
      </w:tblGrid>
      <w:tr w:rsidR="00552E51" w:rsidRPr="00D941D1" w:rsidTr="00F5291B">
        <w:trPr>
          <w:trHeight w:val="504"/>
        </w:trPr>
        <w:tc>
          <w:tcPr>
            <w:tcW w:w="5387" w:type="dxa"/>
          </w:tcPr>
          <w:p w:rsidR="00552E51" w:rsidRPr="00D941D1" w:rsidRDefault="00552E51" w:rsidP="00EF521C">
            <w:pPr>
              <w:rPr>
                <w:b/>
                <w:bCs/>
              </w:rPr>
            </w:pPr>
            <w:r>
              <w:rPr>
                <w:b/>
              </w:rPr>
              <w:t xml:space="preserve">(in € </w:t>
            </w:r>
            <w:proofErr w:type="spellStart"/>
            <w:r>
              <w:rPr>
                <w:b/>
              </w:rPr>
              <w:t>million</w:t>
            </w:r>
            <w:proofErr w:type="spellEnd"/>
            <w:r>
              <w:rPr>
                <w:b/>
              </w:rPr>
              <w:t>)</w:t>
            </w:r>
          </w:p>
        </w:tc>
        <w:tc>
          <w:tcPr>
            <w:tcW w:w="1254" w:type="dxa"/>
            <w:shd w:val="clear" w:color="auto" w:fill="C0C0C0"/>
          </w:tcPr>
          <w:p w:rsidR="00552E51" w:rsidRPr="00D941D1" w:rsidRDefault="00552E51" w:rsidP="00EF521C">
            <w:pPr>
              <w:jc w:val="center"/>
              <w:rPr>
                <w:b/>
                <w:bCs/>
              </w:rPr>
            </w:pPr>
            <w:r>
              <w:rPr>
                <w:b/>
              </w:rPr>
              <w:t>Q1 2014</w:t>
            </w:r>
          </w:p>
        </w:tc>
        <w:tc>
          <w:tcPr>
            <w:tcW w:w="1304" w:type="dxa"/>
          </w:tcPr>
          <w:p w:rsidR="00552E51" w:rsidRPr="00D941D1" w:rsidRDefault="00552E51" w:rsidP="00EF521C">
            <w:pPr>
              <w:jc w:val="center"/>
              <w:rPr>
                <w:b/>
                <w:bCs/>
              </w:rPr>
            </w:pPr>
            <w:r>
              <w:rPr>
                <w:b/>
              </w:rPr>
              <w:t>Q1 2013</w:t>
            </w:r>
          </w:p>
        </w:tc>
        <w:tc>
          <w:tcPr>
            <w:tcW w:w="1383" w:type="dxa"/>
          </w:tcPr>
          <w:p w:rsidR="00552E51" w:rsidRPr="00D941D1" w:rsidRDefault="00552E51" w:rsidP="00EF521C">
            <w:pPr>
              <w:jc w:val="center"/>
              <w:rPr>
                <w:b/>
                <w:bCs/>
              </w:rPr>
            </w:pPr>
            <w:r>
              <w:rPr>
                <w:b/>
              </w:rPr>
              <w:t>Change</w:t>
            </w:r>
          </w:p>
          <w:p w:rsidR="00552E51" w:rsidRPr="00D941D1" w:rsidRDefault="00552E51" w:rsidP="00EF521C">
            <w:pPr>
              <w:jc w:val="center"/>
              <w:rPr>
                <w:b/>
                <w:bCs/>
              </w:rPr>
            </w:pPr>
            <w:r>
              <w:rPr>
                <w:b/>
              </w:rPr>
              <w:t>in %</w:t>
            </w:r>
          </w:p>
        </w:tc>
      </w:tr>
      <w:tr w:rsidR="00552E51" w:rsidRPr="00B13E9A" w:rsidTr="00F5291B">
        <w:tc>
          <w:tcPr>
            <w:tcW w:w="5387" w:type="dxa"/>
          </w:tcPr>
          <w:p w:rsidR="00552E51" w:rsidRPr="00B13E9A" w:rsidRDefault="00552E51" w:rsidP="00EF521C">
            <w:pPr>
              <w:rPr>
                <w:bCs/>
              </w:rPr>
            </w:pPr>
            <w:proofErr w:type="spellStart"/>
            <w:r>
              <w:t>Sales</w:t>
            </w:r>
            <w:proofErr w:type="spellEnd"/>
          </w:p>
        </w:tc>
        <w:tc>
          <w:tcPr>
            <w:tcW w:w="1254" w:type="dxa"/>
            <w:shd w:val="clear" w:color="auto" w:fill="C0C0C0"/>
          </w:tcPr>
          <w:p w:rsidR="00552E51" w:rsidRPr="00B13E9A" w:rsidRDefault="00552E51" w:rsidP="00EF521C">
            <w:pPr>
              <w:jc w:val="right"/>
              <w:rPr>
                <w:bCs/>
              </w:rPr>
            </w:pPr>
            <w:r>
              <w:t>3,201</w:t>
            </w:r>
          </w:p>
        </w:tc>
        <w:tc>
          <w:tcPr>
            <w:tcW w:w="1304" w:type="dxa"/>
          </w:tcPr>
          <w:p w:rsidR="00552E51" w:rsidRPr="00B13E9A" w:rsidRDefault="00552E51" w:rsidP="00EF521C">
            <w:pPr>
              <w:ind w:right="120"/>
              <w:jc w:val="right"/>
              <w:rPr>
                <w:bCs/>
              </w:rPr>
            </w:pPr>
            <w:r>
              <w:t>3,212</w:t>
            </w:r>
          </w:p>
        </w:tc>
        <w:tc>
          <w:tcPr>
            <w:tcW w:w="1383" w:type="dxa"/>
          </w:tcPr>
          <w:p w:rsidR="00552E51" w:rsidRPr="00B13E9A" w:rsidRDefault="00552E51" w:rsidP="00EF521C">
            <w:pPr>
              <w:jc w:val="right"/>
              <w:rPr>
                <w:bCs/>
              </w:rPr>
            </w:pPr>
            <w:r>
              <w:t>0</w:t>
            </w:r>
          </w:p>
        </w:tc>
      </w:tr>
      <w:tr w:rsidR="00552E51" w:rsidRPr="00B13E9A" w:rsidTr="00F5291B">
        <w:tc>
          <w:tcPr>
            <w:tcW w:w="5387" w:type="dxa"/>
          </w:tcPr>
          <w:p w:rsidR="00552E51" w:rsidRPr="00B13E9A" w:rsidRDefault="00552E51" w:rsidP="00EF521C">
            <w:pPr>
              <w:rPr>
                <w:bCs/>
              </w:rPr>
            </w:pPr>
            <w:proofErr w:type="spellStart"/>
            <w:r>
              <w:t>Adjusted</w:t>
            </w:r>
            <w:proofErr w:type="spellEnd"/>
            <w:r>
              <w:t xml:space="preserve"> EBITDA</w:t>
            </w:r>
          </w:p>
        </w:tc>
        <w:tc>
          <w:tcPr>
            <w:tcW w:w="1254" w:type="dxa"/>
            <w:shd w:val="clear" w:color="auto" w:fill="C0C0C0"/>
          </w:tcPr>
          <w:p w:rsidR="00552E51" w:rsidRPr="00B13E9A" w:rsidRDefault="00552E51" w:rsidP="00EF521C">
            <w:pPr>
              <w:jc w:val="right"/>
              <w:rPr>
                <w:bCs/>
              </w:rPr>
            </w:pPr>
            <w:r>
              <w:t>463</w:t>
            </w:r>
          </w:p>
        </w:tc>
        <w:tc>
          <w:tcPr>
            <w:tcW w:w="1304" w:type="dxa"/>
          </w:tcPr>
          <w:p w:rsidR="00552E51" w:rsidRPr="00B13E9A" w:rsidRDefault="00552E51" w:rsidP="00EF521C">
            <w:pPr>
              <w:ind w:right="120"/>
              <w:jc w:val="right"/>
              <w:rPr>
                <w:bCs/>
              </w:rPr>
            </w:pPr>
            <w:r>
              <w:t>606</w:t>
            </w:r>
          </w:p>
        </w:tc>
        <w:tc>
          <w:tcPr>
            <w:tcW w:w="1383" w:type="dxa"/>
          </w:tcPr>
          <w:p w:rsidR="00552E51" w:rsidRPr="00B13E9A" w:rsidRDefault="00552E51" w:rsidP="00EF521C">
            <w:pPr>
              <w:jc w:val="right"/>
              <w:rPr>
                <w:bCs/>
              </w:rPr>
            </w:pPr>
            <w:r>
              <w:t>-24</w:t>
            </w:r>
          </w:p>
        </w:tc>
      </w:tr>
      <w:tr w:rsidR="00552E51" w:rsidRPr="00B13E9A" w:rsidTr="00F5291B">
        <w:tc>
          <w:tcPr>
            <w:tcW w:w="5387" w:type="dxa"/>
          </w:tcPr>
          <w:p w:rsidR="00552E51" w:rsidRPr="00B13E9A" w:rsidRDefault="00552E51" w:rsidP="00EF521C">
            <w:pPr>
              <w:rPr>
                <w:bCs/>
              </w:rPr>
            </w:pPr>
            <w:proofErr w:type="spellStart"/>
            <w:r>
              <w:t>Adjusted</w:t>
            </w:r>
            <w:proofErr w:type="spellEnd"/>
            <w:r>
              <w:t xml:space="preserve"> EBIT</w:t>
            </w:r>
          </w:p>
        </w:tc>
        <w:tc>
          <w:tcPr>
            <w:tcW w:w="1254" w:type="dxa"/>
            <w:shd w:val="clear" w:color="auto" w:fill="C0C0C0"/>
          </w:tcPr>
          <w:p w:rsidR="00552E51" w:rsidRPr="00B13E9A" w:rsidRDefault="00552E51" w:rsidP="00EF521C">
            <w:pPr>
              <w:jc w:val="right"/>
              <w:rPr>
                <w:bCs/>
              </w:rPr>
            </w:pPr>
            <w:r>
              <w:t>316</w:t>
            </w:r>
          </w:p>
        </w:tc>
        <w:tc>
          <w:tcPr>
            <w:tcW w:w="1304" w:type="dxa"/>
          </w:tcPr>
          <w:p w:rsidR="00552E51" w:rsidRPr="00B13E9A" w:rsidRDefault="00552E51" w:rsidP="00EF521C">
            <w:pPr>
              <w:ind w:right="120"/>
              <w:jc w:val="right"/>
              <w:rPr>
                <w:bCs/>
              </w:rPr>
            </w:pPr>
            <w:r>
              <w:t>464</w:t>
            </w:r>
          </w:p>
        </w:tc>
        <w:tc>
          <w:tcPr>
            <w:tcW w:w="1383" w:type="dxa"/>
          </w:tcPr>
          <w:p w:rsidR="00552E51" w:rsidRPr="00B13E9A" w:rsidRDefault="00552E51" w:rsidP="00EF521C">
            <w:pPr>
              <w:jc w:val="right"/>
              <w:rPr>
                <w:bCs/>
              </w:rPr>
            </w:pPr>
            <w:r>
              <w:t>-32</w:t>
            </w:r>
          </w:p>
        </w:tc>
      </w:tr>
      <w:tr w:rsidR="00552E51" w:rsidRPr="00B13E9A" w:rsidTr="00F5291B">
        <w:tc>
          <w:tcPr>
            <w:tcW w:w="5387" w:type="dxa"/>
          </w:tcPr>
          <w:p w:rsidR="00552E51" w:rsidRPr="00B13E9A" w:rsidRDefault="00552E51" w:rsidP="00EF521C">
            <w:pPr>
              <w:rPr>
                <w:bCs/>
              </w:rPr>
            </w:pPr>
            <w:proofErr w:type="spellStart"/>
            <w:r>
              <w:t>Adjustments</w:t>
            </w:r>
            <w:proofErr w:type="spellEnd"/>
          </w:p>
        </w:tc>
        <w:tc>
          <w:tcPr>
            <w:tcW w:w="1254" w:type="dxa"/>
            <w:shd w:val="clear" w:color="auto" w:fill="C0C0C0"/>
          </w:tcPr>
          <w:p w:rsidR="00552E51" w:rsidRPr="00B13E9A" w:rsidRDefault="00552E51" w:rsidP="00EF521C">
            <w:pPr>
              <w:jc w:val="right"/>
              <w:rPr>
                <w:bCs/>
              </w:rPr>
            </w:pPr>
            <w:r>
              <w:t>-28</w:t>
            </w:r>
          </w:p>
        </w:tc>
        <w:tc>
          <w:tcPr>
            <w:tcW w:w="1304" w:type="dxa"/>
          </w:tcPr>
          <w:p w:rsidR="00552E51" w:rsidRPr="00B13E9A" w:rsidRDefault="00552E51" w:rsidP="00EF521C">
            <w:pPr>
              <w:ind w:right="120"/>
              <w:jc w:val="right"/>
              <w:rPr>
                <w:bCs/>
              </w:rPr>
            </w:pPr>
            <w:r>
              <w:t>-30</w:t>
            </w:r>
          </w:p>
        </w:tc>
        <w:tc>
          <w:tcPr>
            <w:tcW w:w="1383" w:type="dxa"/>
          </w:tcPr>
          <w:p w:rsidR="00552E51" w:rsidRPr="00B13E9A" w:rsidRDefault="00552E51" w:rsidP="00EF521C">
            <w:pPr>
              <w:jc w:val="right"/>
              <w:rPr>
                <w:bCs/>
              </w:rPr>
            </w:pPr>
          </w:p>
        </w:tc>
      </w:tr>
      <w:tr w:rsidR="00552E51" w:rsidRPr="00B13E9A" w:rsidTr="00F5291B">
        <w:tc>
          <w:tcPr>
            <w:tcW w:w="5387" w:type="dxa"/>
          </w:tcPr>
          <w:p w:rsidR="00552E51" w:rsidRPr="00B13E9A" w:rsidRDefault="00552E51" w:rsidP="00EF521C">
            <w:pPr>
              <w:rPr>
                <w:bCs/>
              </w:rPr>
            </w:pPr>
            <w:r>
              <w:t xml:space="preserve">Net </w:t>
            </w:r>
            <w:proofErr w:type="spellStart"/>
            <w:r>
              <w:t>interest</w:t>
            </w:r>
            <w:proofErr w:type="spellEnd"/>
            <w:r>
              <w:t xml:space="preserve"> </w:t>
            </w:r>
            <w:proofErr w:type="spellStart"/>
            <w:r>
              <w:t>expense</w:t>
            </w:r>
            <w:proofErr w:type="spellEnd"/>
          </w:p>
        </w:tc>
        <w:tc>
          <w:tcPr>
            <w:tcW w:w="1254" w:type="dxa"/>
            <w:shd w:val="clear" w:color="auto" w:fill="C0C0C0"/>
          </w:tcPr>
          <w:p w:rsidR="00552E51" w:rsidRPr="00B13E9A" w:rsidRDefault="00552E51" w:rsidP="00EF521C">
            <w:pPr>
              <w:jc w:val="right"/>
              <w:rPr>
                <w:bCs/>
              </w:rPr>
            </w:pPr>
            <w:r>
              <w:t>-76</w:t>
            </w:r>
          </w:p>
        </w:tc>
        <w:tc>
          <w:tcPr>
            <w:tcW w:w="1304" w:type="dxa"/>
          </w:tcPr>
          <w:p w:rsidR="00552E51" w:rsidRPr="00B13E9A" w:rsidRDefault="00552E51" w:rsidP="00EF521C">
            <w:pPr>
              <w:ind w:right="120"/>
              <w:jc w:val="right"/>
              <w:rPr>
                <w:bCs/>
              </w:rPr>
            </w:pPr>
            <w:r>
              <w:t>-66</w:t>
            </w:r>
          </w:p>
        </w:tc>
        <w:tc>
          <w:tcPr>
            <w:tcW w:w="1383" w:type="dxa"/>
          </w:tcPr>
          <w:p w:rsidR="00552E51" w:rsidRPr="00B13E9A" w:rsidRDefault="00552E51" w:rsidP="00EF521C">
            <w:pPr>
              <w:jc w:val="right"/>
              <w:rPr>
                <w:bCs/>
              </w:rPr>
            </w:pPr>
          </w:p>
        </w:tc>
      </w:tr>
      <w:tr w:rsidR="00552E51" w:rsidRPr="00B13E9A" w:rsidTr="00F5291B">
        <w:tc>
          <w:tcPr>
            <w:tcW w:w="5387" w:type="dxa"/>
          </w:tcPr>
          <w:p w:rsidR="00552E51" w:rsidRPr="00552E51" w:rsidRDefault="00552E51" w:rsidP="00EF521C">
            <w:pPr>
              <w:rPr>
                <w:bCs/>
                <w:lang w:val="en-US"/>
              </w:rPr>
            </w:pPr>
            <w:r w:rsidRPr="00552E51">
              <w:rPr>
                <w:lang w:val="en-US"/>
              </w:rPr>
              <w:t>Income before income taxes, continuing operations</w:t>
            </w:r>
          </w:p>
        </w:tc>
        <w:tc>
          <w:tcPr>
            <w:tcW w:w="1254" w:type="dxa"/>
            <w:shd w:val="clear" w:color="auto" w:fill="C0C0C0"/>
          </w:tcPr>
          <w:p w:rsidR="00552E51" w:rsidRPr="00B13E9A" w:rsidRDefault="00552E51" w:rsidP="00EF521C">
            <w:pPr>
              <w:jc w:val="right"/>
              <w:rPr>
                <w:bCs/>
              </w:rPr>
            </w:pPr>
            <w:r>
              <w:t>212</w:t>
            </w:r>
          </w:p>
        </w:tc>
        <w:tc>
          <w:tcPr>
            <w:tcW w:w="1304" w:type="dxa"/>
          </w:tcPr>
          <w:p w:rsidR="00552E51" w:rsidRPr="00B13E9A" w:rsidRDefault="00552E51" w:rsidP="00EF521C">
            <w:pPr>
              <w:ind w:right="120"/>
              <w:jc w:val="right"/>
              <w:rPr>
                <w:bCs/>
              </w:rPr>
            </w:pPr>
            <w:r>
              <w:t>368</w:t>
            </w:r>
          </w:p>
        </w:tc>
        <w:tc>
          <w:tcPr>
            <w:tcW w:w="1383" w:type="dxa"/>
          </w:tcPr>
          <w:p w:rsidR="00552E51" w:rsidRPr="00B13E9A" w:rsidRDefault="00552E51" w:rsidP="00EF521C">
            <w:pPr>
              <w:jc w:val="right"/>
              <w:rPr>
                <w:bCs/>
              </w:rPr>
            </w:pPr>
            <w:r>
              <w:t>-42</w:t>
            </w:r>
          </w:p>
        </w:tc>
      </w:tr>
      <w:tr w:rsidR="00552E51" w:rsidRPr="00B13E9A" w:rsidTr="00F5291B">
        <w:tc>
          <w:tcPr>
            <w:tcW w:w="5387" w:type="dxa"/>
          </w:tcPr>
          <w:p w:rsidR="00552E51" w:rsidRPr="00B13E9A" w:rsidRDefault="00552E51" w:rsidP="00EF521C">
            <w:pPr>
              <w:jc w:val="both"/>
              <w:rPr>
                <w:bCs/>
              </w:rPr>
            </w:pPr>
            <w:r>
              <w:t xml:space="preserve">Income </w:t>
            </w:r>
            <w:proofErr w:type="spellStart"/>
            <w:r>
              <w:t>taxes</w:t>
            </w:r>
            <w:proofErr w:type="spellEnd"/>
          </w:p>
        </w:tc>
        <w:tc>
          <w:tcPr>
            <w:tcW w:w="1254" w:type="dxa"/>
            <w:shd w:val="clear" w:color="auto" w:fill="C0C0C0"/>
          </w:tcPr>
          <w:p w:rsidR="00552E51" w:rsidRPr="00B13E9A" w:rsidRDefault="00552E51" w:rsidP="00EF521C">
            <w:pPr>
              <w:jc w:val="right"/>
              <w:rPr>
                <w:bCs/>
              </w:rPr>
            </w:pPr>
            <w:r>
              <w:t>-63</w:t>
            </w:r>
          </w:p>
        </w:tc>
        <w:tc>
          <w:tcPr>
            <w:tcW w:w="1304" w:type="dxa"/>
          </w:tcPr>
          <w:p w:rsidR="00552E51" w:rsidRPr="00B13E9A" w:rsidRDefault="00552E51" w:rsidP="00EF521C">
            <w:pPr>
              <w:ind w:right="120"/>
              <w:jc w:val="right"/>
              <w:rPr>
                <w:bCs/>
              </w:rPr>
            </w:pPr>
            <w:r>
              <w:t>-85</w:t>
            </w:r>
          </w:p>
        </w:tc>
        <w:tc>
          <w:tcPr>
            <w:tcW w:w="1383" w:type="dxa"/>
          </w:tcPr>
          <w:p w:rsidR="00552E51" w:rsidRPr="00B13E9A" w:rsidRDefault="00552E51" w:rsidP="00EF521C">
            <w:pPr>
              <w:jc w:val="right"/>
              <w:rPr>
                <w:bCs/>
              </w:rPr>
            </w:pPr>
          </w:p>
        </w:tc>
      </w:tr>
      <w:tr w:rsidR="00552E51" w:rsidRPr="00B13E9A" w:rsidTr="00F5291B">
        <w:tc>
          <w:tcPr>
            <w:tcW w:w="5387" w:type="dxa"/>
          </w:tcPr>
          <w:p w:rsidR="00552E51" w:rsidRPr="00552E51" w:rsidRDefault="00552E51" w:rsidP="00EF521C">
            <w:pPr>
              <w:rPr>
                <w:bCs/>
                <w:lang w:val="en-US"/>
              </w:rPr>
            </w:pPr>
            <w:r w:rsidRPr="00552E51">
              <w:rPr>
                <w:lang w:val="en-US"/>
              </w:rPr>
              <w:t>Income after taxes, continuing operations</w:t>
            </w:r>
          </w:p>
        </w:tc>
        <w:tc>
          <w:tcPr>
            <w:tcW w:w="1254" w:type="dxa"/>
            <w:shd w:val="clear" w:color="auto" w:fill="C0C0C0"/>
          </w:tcPr>
          <w:p w:rsidR="00552E51" w:rsidRDefault="00552E51" w:rsidP="00EF521C">
            <w:pPr>
              <w:jc w:val="right"/>
              <w:rPr>
                <w:bCs/>
              </w:rPr>
            </w:pPr>
            <w:r>
              <w:t>149</w:t>
            </w:r>
          </w:p>
        </w:tc>
        <w:tc>
          <w:tcPr>
            <w:tcW w:w="1304" w:type="dxa"/>
          </w:tcPr>
          <w:p w:rsidR="00552E51" w:rsidRDefault="00552E51" w:rsidP="00EF521C">
            <w:pPr>
              <w:ind w:right="120"/>
              <w:jc w:val="right"/>
              <w:rPr>
                <w:bCs/>
              </w:rPr>
            </w:pPr>
            <w:r>
              <w:t>283</w:t>
            </w:r>
          </w:p>
        </w:tc>
        <w:tc>
          <w:tcPr>
            <w:tcW w:w="1383" w:type="dxa"/>
          </w:tcPr>
          <w:p w:rsidR="00552E51" w:rsidRPr="00B13E9A" w:rsidRDefault="00552E51" w:rsidP="00EF521C">
            <w:pPr>
              <w:jc w:val="right"/>
              <w:rPr>
                <w:bCs/>
              </w:rPr>
            </w:pPr>
            <w:r>
              <w:t>-47</w:t>
            </w:r>
          </w:p>
        </w:tc>
      </w:tr>
      <w:tr w:rsidR="00552E51" w:rsidRPr="00B13E9A" w:rsidTr="00F5291B">
        <w:tc>
          <w:tcPr>
            <w:tcW w:w="5387" w:type="dxa"/>
          </w:tcPr>
          <w:p w:rsidR="00552E51" w:rsidRPr="00552E51" w:rsidRDefault="00552E51" w:rsidP="00EF521C">
            <w:pPr>
              <w:rPr>
                <w:bCs/>
                <w:lang w:val="en-US"/>
              </w:rPr>
            </w:pPr>
            <w:r w:rsidRPr="00552E51">
              <w:rPr>
                <w:lang w:val="en-US"/>
              </w:rPr>
              <w:t>Income after taxes, discontinued operations</w:t>
            </w:r>
          </w:p>
        </w:tc>
        <w:tc>
          <w:tcPr>
            <w:tcW w:w="1254" w:type="dxa"/>
            <w:shd w:val="clear" w:color="auto" w:fill="C0C0C0"/>
          </w:tcPr>
          <w:p w:rsidR="00552E51" w:rsidRPr="00B13E9A" w:rsidRDefault="00552E51" w:rsidP="00EF521C">
            <w:pPr>
              <w:jc w:val="right"/>
              <w:rPr>
                <w:bCs/>
              </w:rPr>
            </w:pPr>
            <w:r>
              <w:t>21</w:t>
            </w:r>
          </w:p>
        </w:tc>
        <w:tc>
          <w:tcPr>
            <w:tcW w:w="1304" w:type="dxa"/>
          </w:tcPr>
          <w:p w:rsidR="00552E51" w:rsidRPr="00B13E9A" w:rsidRDefault="00552E51" w:rsidP="00EF521C">
            <w:pPr>
              <w:ind w:right="120"/>
              <w:jc w:val="right"/>
              <w:rPr>
                <w:bCs/>
              </w:rPr>
            </w:pPr>
            <w:r>
              <w:t>7</w:t>
            </w:r>
          </w:p>
        </w:tc>
        <w:tc>
          <w:tcPr>
            <w:tcW w:w="1383" w:type="dxa"/>
          </w:tcPr>
          <w:p w:rsidR="00552E51" w:rsidRPr="00B13E9A" w:rsidRDefault="00552E51" w:rsidP="00EF521C">
            <w:pPr>
              <w:jc w:val="right"/>
              <w:rPr>
                <w:bCs/>
              </w:rPr>
            </w:pPr>
          </w:p>
        </w:tc>
      </w:tr>
      <w:tr w:rsidR="00552E51" w:rsidRPr="00B13E9A" w:rsidTr="00F5291B">
        <w:tc>
          <w:tcPr>
            <w:tcW w:w="5387" w:type="dxa"/>
          </w:tcPr>
          <w:p w:rsidR="00552E51" w:rsidRPr="00B13E9A" w:rsidRDefault="00552E51" w:rsidP="00EF521C">
            <w:pPr>
              <w:jc w:val="both"/>
              <w:rPr>
                <w:bCs/>
              </w:rPr>
            </w:pPr>
            <w:r>
              <w:t xml:space="preserve">Income after </w:t>
            </w:r>
            <w:proofErr w:type="spellStart"/>
            <w:r>
              <w:t>taxes</w:t>
            </w:r>
            <w:proofErr w:type="spellEnd"/>
          </w:p>
        </w:tc>
        <w:tc>
          <w:tcPr>
            <w:tcW w:w="1254" w:type="dxa"/>
            <w:shd w:val="clear" w:color="auto" w:fill="C0C0C0"/>
          </w:tcPr>
          <w:p w:rsidR="00552E51" w:rsidRPr="00B13E9A" w:rsidRDefault="00552E51" w:rsidP="00EF521C">
            <w:pPr>
              <w:jc w:val="right"/>
              <w:rPr>
                <w:bCs/>
              </w:rPr>
            </w:pPr>
            <w:r>
              <w:t>170</w:t>
            </w:r>
          </w:p>
        </w:tc>
        <w:tc>
          <w:tcPr>
            <w:tcW w:w="1304" w:type="dxa"/>
          </w:tcPr>
          <w:p w:rsidR="00552E51" w:rsidRPr="00B13E9A" w:rsidRDefault="00552E51" w:rsidP="00EF521C">
            <w:pPr>
              <w:ind w:right="120"/>
              <w:jc w:val="right"/>
              <w:rPr>
                <w:bCs/>
              </w:rPr>
            </w:pPr>
            <w:r>
              <w:t>290</w:t>
            </w:r>
          </w:p>
        </w:tc>
        <w:tc>
          <w:tcPr>
            <w:tcW w:w="1383" w:type="dxa"/>
          </w:tcPr>
          <w:p w:rsidR="00552E51" w:rsidRPr="00B13E9A" w:rsidRDefault="00552E51" w:rsidP="00EF521C">
            <w:pPr>
              <w:jc w:val="right"/>
              <w:rPr>
                <w:bCs/>
              </w:rPr>
            </w:pPr>
            <w:r>
              <w:t>-41</w:t>
            </w:r>
          </w:p>
        </w:tc>
      </w:tr>
      <w:tr w:rsidR="00552E51" w:rsidRPr="00B13E9A" w:rsidTr="00F5291B">
        <w:tc>
          <w:tcPr>
            <w:tcW w:w="5387" w:type="dxa"/>
          </w:tcPr>
          <w:p w:rsidR="00552E51" w:rsidRPr="00552E51" w:rsidRDefault="00552E51" w:rsidP="00EF521C">
            <w:pPr>
              <w:jc w:val="both"/>
              <w:rPr>
                <w:bCs/>
                <w:lang w:val="en-US"/>
              </w:rPr>
            </w:pPr>
            <w:r w:rsidRPr="00552E51">
              <w:rPr>
                <w:lang w:val="en-US"/>
              </w:rPr>
              <w:t>thereof attributable to non-controlling interests</w:t>
            </w:r>
          </w:p>
        </w:tc>
        <w:tc>
          <w:tcPr>
            <w:tcW w:w="1254" w:type="dxa"/>
            <w:shd w:val="clear" w:color="auto" w:fill="C0C0C0"/>
          </w:tcPr>
          <w:p w:rsidR="00552E51" w:rsidRPr="00B13E9A" w:rsidRDefault="00552E51" w:rsidP="00EF521C">
            <w:pPr>
              <w:jc w:val="right"/>
              <w:rPr>
                <w:bCs/>
              </w:rPr>
            </w:pPr>
            <w:r>
              <w:t>4</w:t>
            </w:r>
          </w:p>
        </w:tc>
        <w:tc>
          <w:tcPr>
            <w:tcW w:w="1304" w:type="dxa"/>
          </w:tcPr>
          <w:p w:rsidR="00552E51" w:rsidRPr="00B13E9A" w:rsidRDefault="00552E51" w:rsidP="00EF521C">
            <w:pPr>
              <w:ind w:right="120"/>
              <w:jc w:val="right"/>
              <w:rPr>
                <w:bCs/>
              </w:rPr>
            </w:pPr>
            <w:r>
              <w:t>-3</w:t>
            </w:r>
          </w:p>
        </w:tc>
        <w:tc>
          <w:tcPr>
            <w:tcW w:w="1383" w:type="dxa"/>
          </w:tcPr>
          <w:p w:rsidR="00552E51" w:rsidRPr="00B13E9A" w:rsidRDefault="00552E51" w:rsidP="00EF521C">
            <w:pPr>
              <w:jc w:val="right"/>
              <w:rPr>
                <w:bCs/>
              </w:rPr>
            </w:pPr>
          </w:p>
        </w:tc>
      </w:tr>
      <w:tr w:rsidR="00552E51" w:rsidRPr="00B13E9A" w:rsidTr="00F5291B">
        <w:tc>
          <w:tcPr>
            <w:tcW w:w="5387" w:type="dxa"/>
          </w:tcPr>
          <w:p w:rsidR="00552E51" w:rsidRPr="00AF2A30" w:rsidRDefault="00552E51" w:rsidP="00EF521C">
            <w:pPr>
              <w:jc w:val="both"/>
              <w:rPr>
                <w:b/>
                <w:bCs/>
              </w:rPr>
            </w:pPr>
            <w:r>
              <w:rPr>
                <w:b/>
              </w:rPr>
              <w:t xml:space="preserve">Net </w:t>
            </w:r>
            <w:proofErr w:type="spellStart"/>
            <w:r>
              <w:rPr>
                <w:b/>
              </w:rPr>
              <w:t>income</w:t>
            </w:r>
            <w:proofErr w:type="spellEnd"/>
          </w:p>
        </w:tc>
        <w:tc>
          <w:tcPr>
            <w:tcW w:w="1254" w:type="dxa"/>
            <w:shd w:val="clear" w:color="auto" w:fill="C0C0C0"/>
          </w:tcPr>
          <w:p w:rsidR="00552E51" w:rsidRPr="00B13E9A" w:rsidRDefault="00552E51" w:rsidP="00EF521C">
            <w:pPr>
              <w:jc w:val="right"/>
              <w:rPr>
                <w:bCs/>
              </w:rPr>
            </w:pPr>
            <w:r>
              <w:t>166</w:t>
            </w:r>
          </w:p>
        </w:tc>
        <w:tc>
          <w:tcPr>
            <w:tcW w:w="1304" w:type="dxa"/>
          </w:tcPr>
          <w:p w:rsidR="00552E51" w:rsidRPr="00B13E9A" w:rsidRDefault="00552E51" w:rsidP="00EF521C">
            <w:pPr>
              <w:ind w:right="120"/>
              <w:jc w:val="right"/>
              <w:rPr>
                <w:bCs/>
              </w:rPr>
            </w:pPr>
            <w:r>
              <w:t>293</w:t>
            </w:r>
          </w:p>
        </w:tc>
        <w:tc>
          <w:tcPr>
            <w:tcW w:w="1383" w:type="dxa"/>
          </w:tcPr>
          <w:p w:rsidR="00552E51" w:rsidRPr="00B13E9A" w:rsidRDefault="00552E51" w:rsidP="00EF521C">
            <w:pPr>
              <w:jc w:val="right"/>
              <w:rPr>
                <w:bCs/>
              </w:rPr>
            </w:pPr>
            <w:r>
              <w:t>-43</w:t>
            </w:r>
          </w:p>
        </w:tc>
      </w:tr>
      <w:tr w:rsidR="00552E51" w:rsidRPr="00B13E9A" w:rsidTr="00F5291B">
        <w:tc>
          <w:tcPr>
            <w:tcW w:w="5387" w:type="dxa"/>
          </w:tcPr>
          <w:p w:rsidR="00552E51" w:rsidRPr="00AF2A30" w:rsidRDefault="00552E51" w:rsidP="00EF521C">
            <w:pPr>
              <w:jc w:val="both"/>
              <w:rPr>
                <w:b/>
                <w:bCs/>
              </w:rPr>
            </w:pPr>
            <w:proofErr w:type="spellStart"/>
            <w:r>
              <w:rPr>
                <w:b/>
              </w:rPr>
              <w:t>Adjusted</w:t>
            </w:r>
            <w:proofErr w:type="spellEnd"/>
            <w:r>
              <w:rPr>
                <w:b/>
              </w:rPr>
              <w:t xml:space="preserve"> </w:t>
            </w:r>
            <w:proofErr w:type="spellStart"/>
            <w:r>
              <w:rPr>
                <w:b/>
              </w:rPr>
              <w:t>net</w:t>
            </w:r>
            <w:proofErr w:type="spellEnd"/>
            <w:r>
              <w:rPr>
                <w:b/>
              </w:rPr>
              <w:t xml:space="preserve"> </w:t>
            </w:r>
            <w:proofErr w:type="spellStart"/>
            <w:r>
              <w:rPr>
                <w:b/>
              </w:rPr>
              <w:t>income</w:t>
            </w:r>
            <w:proofErr w:type="spellEnd"/>
          </w:p>
        </w:tc>
        <w:tc>
          <w:tcPr>
            <w:tcW w:w="1254" w:type="dxa"/>
            <w:shd w:val="clear" w:color="auto" w:fill="C0C0C0"/>
          </w:tcPr>
          <w:p w:rsidR="00552E51" w:rsidRPr="00B13E9A" w:rsidRDefault="00552E51" w:rsidP="00EF521C">
            <w:pPr>
              <w:jc w:val="right"/>
              <w:rPr>
                <w:bCs/>
              </w:rPr>
            </w:pPr>
            <w:r>
              <w:t>187</w:t>
            </w:r>
          </w:p>
        </w:tc>
        <w:tc>
          <w:tcPr>
            <w:tcW w:w="1304" w:type="dxa"/>
          </w:tcPr>
          <w:p w:rsidR="00552E51" w:rsidRPr="00B13E9A" w:rsidRDefault="00552E51" w:rsidP="00EF521C">
            <w:pPr>
              <w:ind w:right="120"/>
              <w:jc w:val="right"/>
              <w:rPr>
                <w:bCs/>
              </w:rPr>
            </w:pPr>
            <w:r>
              <w:t>305</w:t>
            </w:r>
          </w:p>
        </w:tc>
        <w:tc>
          <w:tcPr>
            <w:tcW w:w="1383" w:type="dxa"/>
          </w:tcPr>
          <w:p w:rsidR="00552E51" w:rsidRPr="00B13E9A" w:rsidRDefault="00552E51" w:rsidP="00EF521C">
            <w:pPr>
              <w:jc w:val="right"/>
              <w:rPr>
                <w:bCs/>
              </w:rPr>
            </w:pPr>
            <w:r>
              <w:t>-39</w:t>
            </w:r>
          </w:p>
        </w:tc>
      </w:tr>
    </w:tbl>
    <w:p w:rsidR="00552E51" w:rsidRPr="00B13E9A" w:rsidRDefault="00552E51" w:rsidP="00EF521C">
      <w:pPr>
        <w:rPr>
          <w:bCs/>
        </w:rPr>
      </w:pPr>
      <w:r>
        <w:t>Prior-</w:t>
      </w:r>
      <w:proofErr w:type="spellStart"/>
      <w:r>
        <w:t>year</w:t>
      </w:r>
      <w:proofErr w:type="spellEnd"/>
      <w:r>
        <w:t xml:space="preserve"> </w:t>
      </w:r>
      <w:proofErr w:type="spellStart"/>
      <w:r>
        <w:t>figures</w:t>
      </w:r>
      <w:proofErr w:type="spellEnd"/>
      <w:r>
        <w:t xml:space="preserve"> </w:t>
      </w:r>
      <w:proofErr w:type="spellStart"/>
      <w:r>
        <w:t>restated</w:t>
      </w:r>
      <w:proofErr w:type="spellEnd"/>
    </w:p>
    <w:p w:rsidR="00552E51" w:rsidRPr="00B13E9A" w:rsidRDefault="00552E51" w:rsidP="00EF521C">
      <w:pPr>
        <w:rPr>
          <w:bCs/>
        </w:rPr>
      </w:pPr>
    </w:p>
    <w:p w:rsidR="00552E51" w:rsidRPr="00D941D1" w:rsidRDefault="00552E51" w:rsidP="00EF521C">
      <w:pPr>
        <w:spacing w:after="120"/>
        <w:rPr>
          <w:b/>
          <w:bCs/>
        </w:rPr>
      </w:pPr>
      <w:r>
        <w:rPr>
          <w:b/>
        </w:rPr>
        <w:t xml:space="preserve">Segment </w:t>
      </w:r>
      <w:proofErr w:type="spellStart"/>
      <w:r>
        <w:rPr>
          <w:b/>
        </w:rPr>
        <w:t>performance</w:t>
      </w:r>
      <w:proofErr w:type="spellEnd"/>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2"/>
        <w:gridCol w:w="1231"/>
        <w:gridCol w:w="1134"/>
        <w:gridCol w:w="1134"/>
        <w:gridCol w:w="1276"/>
        <w:gridCol w:w="1275"/>
        <w:gridCol w:w="993"/>
      </w:tblGrid>
      <w:tr w:rsidR="00552E51" w:rsidRPr="00B13E9A" w:rsidTr="00F5291B">
        <w:tc>
          <w:tcPr>
            <w:tcW w:w="3022" w:type="dxa"/>
            <w:vMerge w:val="restart"/>
          </w:tcPr>
          <w:p w:rsidR="00552E51" w:rsidRPr="00B13E9A" w:rsidRDefault="00552E51" w:rsidP="00EF521C">
            <w:pPr>
              <w:rPr>
                <w:bCs/>
              </w:rPr>
            </w:pPr>
          </w:p>
        </w:tc>
        <w:tc>
          <w:tcPr>
            <w:tcW w:w="3499" w:type="dxa"/>
            <w:gridSpan w:val="3"/>
          </w:tcPr>
          <w:p w:rsidR="00552E51" w:rsidRPr="00BE5DBC" w:rsidRDefault="00552E51" w:rsidP="00EF521C">
            <w:pPr>
              <w:jc w:val="center"/>
              <w:rPr>
                <w:b/>
                <w:bCs/>
              </w:rPr>
            </w:pPr>
            <w:proofErr w:type="spellStart"/>
            <w:r>
              <w:rPr>
                <w:b/>
              </w:rPr>
              <w:t>Sales</w:t>
            </w:r>
            <w:proofErr w:type="spellEnd"/>
          </w:p>
        </w:tc>
        <w:tc>
          <w:tcPr>
            <w:tcW w:w="3544" w:type="dxa"/>
            <w:gridSpan w:val="3"/>
          </w:tcPr>
          <w:p w:rsidR="00552E51" w:rsidRPr="00BE5DBC" w:rsidRDefault="00552E51" w:rsidP="00EF521C">
            <w:pPr>
              <w:jc w:val="center"/>
              <w:rPr>
                <w:b/>
                <w:bCs/>
              </w:rPr>
            </w:pPr>
            <w:proofErr w:type="spellStart"/>
            <w:r>
              <w:rPr>
                <w:b/>
              </w:rPr>
              <w:t>Adjusted</w:t>
            </w:r>
            <w:proofErr w:type="spellEnd"/>
            <w:r>
              <w:rPr>
                <w:b/>
              </w:rPr>
              <w:t xml:space="preserve"> EBITDA</w:t>
            </w:r>
          </w:p>
        </w:tc>
      </w:tr>
      <w:tr w:rsidR="00552E51" w:rsidRPr="00B13E9A" w:rsidTr="00F5291B">
        <w:tc>
          <w:tcPr>
            <w:tcW w:w="3022" w:type="dxa"/>
            <w:vMerge/>
          </w:tcPr>
          <w:p w:rsidR="00552E51" w:rsidRPr="00B13E9A" w:rsidRDefault="00552E51" w:rsidP="00EF521C">
            <w:pPr>
              <w:rPr>
                <w:bCs/>
              </w:rPr>
            </w:pPr>
          </w:p>
        </w:tc>
        <w:tc>
          <w:tcPr>
            <w:tcW w:w="1231" w:type="dxa"/>
            <w:shd w:val="clear" w:color="auto" w:fill="C0C0C0"/>
          </w:tcPr>
          <w:p w:rsidR="00552E51" w:rsidRPr="00BE5DBC" w:rsidRDefault="00552E51" w:rsidP="00EF521C">
            <w:pPr>
              <w:jc w:val="center"/>
              <w:rPr>
                <w:b/>
                <w:bCs/>
                <w:sz w:val="16"/>
                <w:szCs w:val="16"/>
              </w:rPr>
            </w:pPr>
            <w:r>
              <w:rPr>
                <w:b/>
                <w:sz w:val="16"/>
              </w:rPr>
              <w:t>Q1 2014</w:t>
            </w:r>
            <w:r>
              <w:rPr>
                <w:b/>
                <w:bCs/>
                <w:sz w:val="16"/>
                <w:szCs w:val="16"/>
              </w:rPr>
              <w:br/>
            </w:r>
            <w:r>
              <w:rPr>
                <w:b/>
                <w:sz w:val="16"/>
              </w:rPr>
              <w:t xml:space="preserve">in € </w:t>
            </w:r>
            <w:proofErr w:type="spellStart"/>
            <w:r>
              <w:rPr>
                <w:b/>
                <w:sz w:val="16"/>
              </w:rPr>
              <w:t>million</w:t>
            </w:r>
            <w:proofErr w:type="spellEnd"/>
          </w:p>
        </w:tc>
        <w:tc>
          <w:tcPr>
            <w:tcW w:w="1134" w:type="dxa"/>
          </w:tcPr>
          <w:p w:rsidR="00552E51" w:rsidRPr="00BE5DBC" w:rsidRDefault="00552E51" w:rsidP="00EF521C">
            <w:pPr>
              <w:jc w:val="center"/>
              <w:rPr>
                <w:b/>
                <w:bCs/>
                <w:sz w:val="16"/>
                <w:szCs w:val="16"/>
              </w:rPr>
            </w:pPr>
            <w:r>
              <w:rPr>
                <w:b/>
                <w:sz w:val="16"/>
              </w:rPr>
              <w:t>Q1 2013</w:t>
            </w:r>
            <w:r>
              <w:rPr>
                <w:b/>
                <w:bCs/>
                <w:sz w:val="16"/>
                <w:szCs w:val="16"/>
              </w:rPr>
              <w:br/>
            </w:r>
            <w:r>
              <w:rPr>
                <w:b/>
                <w:sz w:val="16"/>
              </w:rPr>
              <w:t xml:space="preserve">in € </w:t>
            </w:r>
            <w:proofErr w:type="spellStart"/>
            <w:r>
              <w:rPr>
                <w:b/>
                <w:sz w:val="16"/>
              </w:rPr>
              <w:t>million</w:t>
            </w:r>
            <w:proofErr w:type="spellEnd"/>
          </w:p>
        </w:tc>
        <w:tc>
          <w:tcPr>
            <w:tcW w:w="1134" w:type="dxa"/>
          </w:tcPr>
          <w:p w:rsidR="00552E51" w:rsidRPr="00BE5DBC" w:rsidRDefault="00552E51" w:rsidP="00EF521C">
            <w:pPr>
              <w:jc w:val="center"/>
              <w:rPr>
                <w:b/>
                <w:bCs/>
                <w:sz w:val="16"/>
                <w:szCs w:val="16"/>
              </w:rPr>
            </w:pPr>
            <w:r>
              <w:rPr>
                <w:b/>
                <w:sz w:val="16"/>
              </w:rPr>
              <w:t xml:space="preserve">Change </w:t>
            </w:r>
            <w:r>
              <w:rPr>
                <w:b/>
                <w:bCs/>
                <w:sz w:val="16"/>
                <w:szCs w:val="16"/>
              </w:rPr>
              <w:br/>
            </w:r>
            <w:r>
              <w:rPr>
                <w:b/>
                <w:sz w:val="16"/>
              </w:rPr>
              <w:t>in %</w:t>
            </w:r>
          </w:p>
        </w:tc>
        <w:tc>
          <w:tcPr>
            <w:tcW w:w="1276" w:type="dxa"/>
            <w:shd w:val="clear" w:color="auto" w:fill="C0C0C0"/>
          </w:tcPr>
          <w:p w:rsidR="00552E51" w:rsidRPr="00BE5DBC" w:rsidRDefault="00552E51" w:rsidP="00EF521C">
            <w:pPr>
              <w:jc w:val="center"/>
              <w:rPr>
                <w:b/>
                <w:bCs/>
                <w:sz w:val="16"/>
                <w:szCs w:val="16"/>
              </w:rPr>
            </w:pPr>
            <w:r>
              <w:rPr>
                <w:b/>
                <w:sz w:val="16"/>
              </w:rPr>
              <w:t>Q1 2014</w:t>
            </w:r>
            <w:r>
              <w:rPr>
                <w:b/>
                <w:bCs/>
                <w:sz w:val="16"/>
                <w:szCs w:val="16"/>
              </w:rPr>
              <w:br/>
            </w:r>
            <w:r>
              <w:rPr>
                <w:b/>
                <w:sz w:val="16"/>
              </w:rPr>
              <w:t xml:space="preserve">in € </w:t>
            </w:r>
            <w:proofErr w:type="spellStart"/>
            <w:r>
              <w:rPr>
                <w:b/>
                <w:sz w:val="16"/>
              </w:rPr>
              <w:t>million</w:t>
            </w:r>
            <w:proofErr w:type="spellEnd"/>
          </w:p>
        </w:tc>
        <w:tc>
          <w:tcPr>
            <w:tcW w:w="1275" w:type="dxa"/>
          </w:tcPr>
          <w:p w:rsidR="00552E51" w:rsidRPr="00BE5DBC" w:rsidRDefault="00552E51" w:rsidP="00EF521C">
            <w:pPr>
              <w:jc w:val="center"/>
              <w:rPr>
                <w:b/>
                <w:bCs/>
                <w:sz w:val="16"/>
                <w:szCs w:val="16"/>
              </w:rPr>
            </w:pPr>
            <w:r>
              <w:rPr>
                <w:b/>
                <w:sz w:val="16"/>
              </w:rPr>
              <w:t>Q1 2013</w:t>
            </w:r>
            <w:r>
              <w:rPr>
                <w:b/>
                <w:bCs/>
                <w:sz w:val="16"/>
                <w:szCs w:val="16"/>
              </w:rPr>
              <w:br/>
            </w:r>
            <w:r>
              <w:rPr>
                <w:b/>
                <w:sz w:val="16"/>
              </w:rPr>
              <w:t xml:space="preserve">in € </w:t>
            </w:r>
            <w:proofErr w:type="spellStart"/>
            <w:r>
              <w:rPr>
                <w:b/>
                <w:sz w:val="16"/>
              </w:rPr>
              <w:t>million</w:t>
            </w:r>
            <w:proofErr w:type="spellEnd"/>
          </w:p>
        </w:tc>
        <w:tc>
          <w:tcPr>
            <w:tcW w:w="993" w:type="dxa"/>
          </w:tcPr>
          <w:p w:rsidR="00552E51" w:rsidRPr="00BE5DBC" w:rsidRDefault="00552E51" w:rsidP="00EF521C">
            <w:pPr>
              <w:jc w:val="center"/>
              <w:rPr>
                <w:b/>
                <w:bCs/>
                <w:sz w:val="16"/>
                <w:szCs w:val="16"/>
              </w:rPr>
            </w:pPr>
            <w:r>
              <w:rPr>
                <w:b/>
                <w:sz w:val="16"/>
              </w:rPr>
              <w:t>Change in %</w:t>
            </w:r>
          </w:p>
        </w:tc>
      </w:tr>
      <w:tr w:rsidR="00552E51" w:rsidRPr="008D56C4" w:rsidTr="00F5291B">
        <w:tc>
          <w:tcPr>
            <w:tcW w:w="3022" w:type="dxa"/>
          </w:tcPr>
          <w:p w:rsidR="00552E51" w:rsidRPr="00BE5DBC" w:rsidRDefault="00552E51" w:rsidP="00EF521C">
            <w:pPr>
              <w:rPr>
                <w:bCs/>
              </w:rPr>
            </w:pPr>
            <w:r>
              <w:t xml:space="preserve">Consumer, </w:t>
            </w:r>
            <w:proofErr w:type="spellStart"/>
            <w:r>
              <w:t>Health</w:t>
            </w:r>
            <w:proofErr w:type="spellEnd"/>
            <w:r>
              <w:t xml:space="preserve"> &amp; Nutrition</w:t>
            </w:r>
          </w:p>
        </w:tc>
        <w:tc>
          <w:tcPr>
            <w:tcW w:w="1231" w:type="dxa"/>
            <w:shd w:val="clear" w:color="auto" w:fill="C0C0C0"/>
            <w:vAlign w:val="center"/>
          </w:tcPr>
          <w:p w:rsidR="00552E51" w:rsidRPr="00BE5DBC" w:rsidRDefault="00552E51" w:rsidP="00EF521C">
            <w:pPr>
              <w:jc w:val="right"/>
              <w:rPr>
                <w:bCs/>
              </w:rPr>
            </w:pPr>
            <w:r>
              <w:t>978</w:t>
            </w:r>
          </w:p>
        </w:tc>
        <w:tc>
          <w:tcPr>
            <w:tcW w:w="1134" w:type="dxa"/>
            <w:vAlign w:val="center"/>
          </w:tcPr>
          <w:p w:rsidR="00552E51" w:rsidRPr="00A02C86" w:rsidRDefault="00552E51" w:rsidP="00EF521C">
            <w:pPr>
              <w:jc w:val="right"/>
              <w:rPr>
                <w:bCs/>
              </w:rPr>
            </w:pPr>
            <w:r>
              <w:t>1,027</w:t>
            </w:r>
          </w:p>
        </w:tc>
        <w:tc>
          <w:tcPr>
            <w:tcW w:w="1134" w:type="dxa"/>
            <w:vAlign w:val="center"/>
          </w:tcPr>
          <w:p w:rsidR="00552E51" w:rsidRPr="00A02C86" w:rsidRDefault="00552E51" w:rsidP="00EF521C">
            <w:pPr>
              <w:jc w:val="right"/>
              <w:rPr>
                <w:bCs/>
              </w:rPr>
            </w:pPr>
            <w:r>
              <w:t>-5</w:t>
            </w:r>
          </w:p>
        </w:tc>
        <w:tc>
          <w:tcPr>
            <w:tcW w:w="1276" w:type="dxa"/>
            <w:shd w:val="clear" w:color="auto" w:fill="C0C0C0"/>
            <w:vAlign w:val="center"/>
          </w:tcPr>
          <w:p w:rsidR="00552E51" w:rsidRPr="00A02C86" w:rsidRDefault="00552E51" w:rsidP="00EF521C">
            <w:pPr>
              <w:jc w:val="right"/>
              <w:rPr>
                <w:bCs/>
              </w:rPr>
            </w:pPr>
            <w:r>
              <w:t>187</w:t>
            </w:r>
          </w:p>
        </w:tc>
        <w:tc>
          <w:tcPr>
            <w:tcW w:w="1275" w:type="dxa"/>
            <w:vAlign w:val="center"/>
          </w:tcPr>
          <w:p w:rsidR="00552E51" w:rsidRPr="00A02C86" w:rsidRDefault="00552E51" w:rsidP="00EF521C">
            <w:pPr>
              <w:jc w:val="right"/>
              <w:rPr>
                <w:bCs/>
              </w:rPr>
            </w:pPr>
            <w:r>
              <w:t>281</w:t>
            </w:r>
          </w:p>
        </w:tc>
        <w:tc>
          <w:tcPr>
            <w:tcW w:w="993" w:type="dxa"/>
            <w:vAlign w:val="center"/>
          </w:tcPr>
          <w:p w:rsidR="00552E51" w:rsidRPr="00A02C86" w:rsidRDefault="00552E51" w:rsidP="00EF521C">
            <w:pPr>
              <w:jc w:val="right"/>
              <w:rPr>
                <w:bCs/>
              </w:rPr>
            </w:pPr>
            <w:r>
              <w:t>-33</w:t>
            </w:r>
          </w:p>
        </w:tc>
      </w:tr>
      <w:tr w:rsidR="00552E51" w:rsidRPr="008D56C4" w:rsidTr="00F5291B">
        <w:tc>
          <w:tcPr>
            <w:tcW w:w="3022" w:type="dxa"/>
          </w:tcPr>
          <w:p w:rsidR="00552E51" w:rsidRPr="00A02C86" w:rsidRDefault="00552E51" w:rsidP="00EF521C">
            <w:pPr>
              <w:rPr>
                <w:bCs/>
              </w:rPr>
            </w:pPr>
            <w:r>
              <w:t>Resource Efficiency</w:t>
            </w:r>
          </w:p>
        </w:tc>
        <w:tc>
          <w:tcPr>
            <w:tcW w:w="1231" w:type="dxa"/>
            <w:shd w:val="clear" w:color="auto" w:fill="C0C0C0"/>
            <w:vAlign w:val="center"/>
          </w:tcPr>
          <w:p w:rsidR="00552E51" w:rsidRPr="00A02C86" w:rsidRDefault="00552E51" w:rsidP="00EF521C">
            <w:pPr>
              <w:jc w:val="right"/>
              <w:rPr>
                <w:bCs/>
              </w:rPr>
            </w:pPr>
            <w:r>
              <w:t>805</w:t>
            </w:r>
          </w:p>
        </w:tc>
        <w:tc>
          <w:tcPr>
            <w:tcW w:w="1134" w:type="dxa"/>
            <w:vAlign w:val="center"/>
          </w:tcPr>
          <w:p w:rsidR="00552E51" w:rsidRPr="00A02C86" w:rsidRDefault="00552E51" w:rsidP="00EF521C">
            <w:pPr>
              <w:jc w:val="right"/>
              <w:rPr>
                <w:bCs/>
              </w:rPr>
            </w:pPr>
            <w:r>
              <w:t>771</w:t>
            </w:r>
          </w:p>
        </w:tc>
        <w:tc>
          <w:tcPr>
            <w:tcW w:w="1134" w:type="dxa"/>
            <w:vAlign w:val="center"/>
          </w:tcPr>
          <w:p w:rsidR="00552E51" w:rsidRPr="00A02C86" w:rsidRDefault="00552E51" w:rsidP="00EF521C">
            <w:pPr>
              <w:jc w:val="right"/>
              <w:rPr>
                <w:bCs/>
              </w:rPr>
            </w:pPr>
            <w:r>
              <w:t>4</w:t>
            </w:r>
          </w:p>
        </w:tc>
        <w:tc>
          <w:tcPr>
            <w:tcW w:w="1276" w:type="dxa"/>
            <w:shd w:val="clear" w:color="auto" w:fill="C0C0C0"/>
            <w:vAlign w:val="center"/>
          </w:tcPr>
          <w:p w:rsidR="00552E51" w:rsidRPr="00A02C86" w:rsidRDefault="00552E51" w:rsidP="00EF521C">
            <w:pPr>
              <w:jc w:val="right"/>
              <w:rPr>
                <w:bCs/>
              </w:rPr>
            </w:pPr>
            <w:r>
              <w:t>189</w:t>
            </w:r>
          </w:p>
        </w:tc>
        <w:tc>
          <w:tcPr>
            <w:tcW w:w="1275" w:type="dxa"/>
            <w:vAlign w:val="center"/>
          </w:tcPr>
          <w:p w:rsidR="00552E51" w:rsidRPr="00A02C86" w:rsidRDefault="00552E51" w:rsidP="00EF521C">
            <w:pPr>
              <w:jc w:val="right"/>
              <w:rPr>
                <w:bCs/>
              </w:rPr>
            </w:pPr>
            <w:r>
              <w:t>172</w:t>
            </w:r>
          </w:p>
        </w:tc>
        <w:tc>
          <w:tcPr>
            <w:tcW w:w="993" w:type="dxa"/>
            <w:vAlign w:val="center"/>
          </w:tcPr>
          <w:p w:rsidR="00552E51" w:rsidRPr="00A02C86" w:rsidRDefault="00552E51" w:rsidP="00EF521C">
            <w:pPr>
              <w:jc w:val="right"/>
              <w:rPr>
                <w:bCs/>
              </w:rPr>
            </w:pPr>
            <w:r>
              <w:t>10</w:t>
            </w:r>
          </w:p>
        </w:tc>
      </w:tr>
      <w:tr w:rsidR="00552E51" w:rsidRPr="00B13E9A" w:rsidTr="00F5291B">
        <w:tc>
          <w:tcPr>
            <w:tcW w:w="3022" w:type="dxa"/>
          </w:tcPr>
          <w:p w:rsidR="00552E51" w:rsidRPr="00A02C86" w:rsidRDefault="00552E51" w:rsidP="00EF521C">
            <w:pPr>
              <w:rPr>
                <w:bCs/>
              </w:rPr>
            </w:pPr>
            <w:r>
              <w:t>Specialty Materials</w:t>
            </w:r>
          </w:p>
        </w:tc>
        <w:tc>
          <w:tcPr>
            <w:tcW w:w="1231" w:type="dxa"/>
            <w:shd w:val="clear" w:color="auto" w:fill="C0C0C0"/>
            <w:vAlign w:val="center"/>
          </w:tcPr>
          <w:p w:rsidR="00552E51" w:rsidRPr="00A02C86" w:rsidRDefault="00552E51" w:rsidP="00EF521C">
            <w:pPr>
              <w:jc w:val="right"/>
              <w:rPr>
                <w:bCs/>
              </w:rPr>
            </w:pPr>
            <w:r>
              <w:t>1,177</w:t>
            </w:r>
          </w:p>
        </w:tc>
        <w:tc>
          <w:tcPr>
            <w:tcW w:w="1134" w:type="dxa"/>
            <w:vAlign w:val="center"/>
          </w:tcPr>
          <w:p w:rsidR="00552E51" w:rsidRPr="00A02C86" w:rsidRDefault="00552E51" w:rsidP="00EF521C">
            <w:pPr>
              <w:jc w:val="right"/>
              <w:rPr>
                <w:bCs/>
              </w:rPr>
            </w:pPr>
            <w:r>
              <w:t>1,170</w:t>
            </w:r>
          </w:p>
        </w:tc>
        <w:tc>
          <w:tcPr>
            <w:tcW w:w="1134" w:type="dxa"/>
            <w:vAlign w:val="center"/>
          </w:tcPr>
          <w:p w:rsidR="00552E51" w:rsidRPr="00A02C86" w:rsidRDefault="00552E51" w:rsidP="00EF521C">
            <w:pPr>
              <w:jc w:val="right"/>
              <w:rPr>
                <w:bCs/>
              </w:rPr>
            </w:pPr>
            <w:r>
              <w:t>1</w:t>
            </w:r>
          </w:p>
        </w:tc>
        <w:tc>
          <w:tcPr>
            <w:tcW w:w="1276" w:type="dxa"/>
            <w:shd w:val="clear" w:color="auto" w:fill="C0C0C0"/>
            <w:vAlign w:val="center"/>
          </w:tcPr>
          <w:p w:rsidR="00552E51" w:rsidRPr="00A02C86" w:rsidRDefault="00552E51" w:rsidP="00EF521C">
            <w:pPr>
              <w:jc w:val="right"/>
              <w:rPr>
                <w:bCs/>
              </w:rPr>
            </w:pPr>
            <w:r>
              <w:t>111</w:t>
            </w:r>
          </w:p>
        </w:tc>
        <w:tc>
          <w:tcPr>
            <w:tcW w:w="1275" w:type="dxa"/>
            <w:vAlign w:val="center"/>
          </w:tcPr>
          <w:p w:rsidR="00552E51" w:rsidRPr="00A02C86" w:rsidRDefault="00552E51" w:rsidP="00EF521C">
            <w:pPr>
              <w:jc w:val="right"/>
              <w:rPr>
                <w:bCs/>
              </w:rPr>
            </w:pPr>
            <w:r>
              <w:t>182</w:t>
            </w:r>
          </w:p>
        </w:tc>
        <w:tc>
          <w:tcPr>
            <w:tcW w:w="993" w:type="dxa"/>
            <w:vAlign w:val="center"/>
          </w:tcPr>
          <w:p w:rsidR="00552E51" w:rsidRPr="00B13E9A" w:rsidRDefault="00552E51" w:rsidP="00EF521C">
            <w:pPr>
              <w:jc w:val="right"/>
              <w:rPr>
                <w:bCs/>
              </w:rPr>
            </w:pPr>
            <w:r>
              <w:t>-39</w:t>
            </w:r>
          </w:p>
        </w:tc>
      </w:tr>
      <w:tr w:rsidR="00552E51" w:rsidRPr="00B13E9A" w:rsidTr="00F5291B">
        <w:tc>
          <w:tcPr>
            <w:tcW w:w="3022" w:type="dxa"/>
          </w:tcPr>
          <w:p w:rsidR="00552E51" w:rsidRPr="00B13E9A" w:rsidRDefault="00552E51" w:rsidP="00EF521C">
            <w:pPr>
              <w:rPr>
                <w:bCs/>
              </w:rPr>
            </w:pPr>
            <w:r>
              <w:t>Services</w:t>
            </w:r>
          </w:p>
        </w:tc>
        <w:tc>
          <w:tcPr>
            <w:tcW w:w="1231" w:type="dxa"/>
            <w:shd w:val="clear" w:color="auto" w:fill="C0C0C0"/>
            <w:vAlign w:val="center"/>
          </w:tcPr>
          <w:p w:rsidR="00552E51" w:rsidRPr="00B13E9A" w:rsidRDefault="00552E51" w:rsidP="00EF521C">
            <w:pPr>
              <w:jc w:val="right"/>
              <w:rPr>
                <w:bCs/>
              </w:rPr>
            </w:pPr>
            <w:r>
              <w:t>207</w:t>
            </w:r>
          </w:p>
        </w:tc>
        <w:tc>
          <w:tcPr>
            <w:tcW w:w="1134" w:type="dxa"/>
            <w:vAlign w:val="center"/>
          </w:tcPr>
          <w:p w:rsidR="00552E51" w:rsidRPr="00B13E9A" w:rsidRDefault="00552E51" w:rsidP="00EF521C">
            <w:pPr>
              <w:jc w:val="right"/>
              <w:rPr>
                <w:bCs/>
              </w:rPr>
            </w:pPr>
            <w:r>
              <w:t>204</w:t>
            </w:r>
          </w:p>
        </w:tc>
        <w:tc>
          <w:tcPr>
            <w:tcW w:w="1134" w:type="dxa"/>
            <w:vAlign w:val="center"/>
          </w:tcPr>
          <w:p w:rsidR="00552E51" w:rsidRPr="00B13E9A" w:rsidRDefault="00552E51" w:rsidP="00EF521C">
            <w:pPr>
              <w:jc w:val="right"/>
              <w:rPr>
                <w:bCs/>
              </w:rPr>
            </w:pPr>
            <w:r>
              <w:t>1</w:t>
            </w:r>
          </w:p>
        </w:tc>
        <w:tc>
          <w:tcPr>
            <w:tcW w:w="1276" w:type="dxa"/>
            <w:shd w:val="clear" w:color="auto" w:fill="C0C0C0"/>
            <w:vAlign w:val="center"/>
          </w:tcPr>
          <w:p w:rsidR="00552E51" w:rsidRPr="00B13E9A" w:rsidRDefault="00552E51" w:rsidP="00EF521C">
            <w:pPr>
              <w:jc w:val="right"/>
              <w:rPr>
                <w:bCs/>
              </w:rPr>
            </w:pPr>
            <w:r>
              <w:t>51</w:t>
            </w:r>
          </w:p>
        </w:tc>
        <w:tc>
          <w:tcPr>
            <w:tcW w:w="1275" w:type="dxa"/>
            <w:vAlign w:val="center"/>
          </w:tcPr>
          <w:p w:rsidR="00552E51" w:rsidRPr="00B13E9A" w:rsidRDefault="00552E51" w:rsidP="00EF521C">
            <w:pPr>
              <w:jc w:val="right"/>
              <w:rPr>
                <w:bCs/>
              </w:rPr>
            </w:pPr>
            <w:r>
              <w:t>54</w:t>
            </w:r>
          </w:p>
        </w:tc>
        <w:tc>
          <w:tcPr>
            <w:tcW w:w="993" w:type="dxa"/>
            <w:vAlign w:val="center"/>
          </w:tcPr>
          <w:p w:rsidR="00552E51" w:rsidRPr="00B13E9A" w:rsidRDefault="00552E51" w:rsidP="00EF521C">
            <w:pPr>
              <w:jc w:val="right"/>
              <w:rPr>
                <w:bCs/>
              </w:rPr>
            </w:pPr>
            <w:r>
              <w:t>-6</w:t>
            </w:r>
          </w:p>
        </w:tc>
      </w:tr>
      <w:tr w:rsidR="00552E51" w:rsidRPr="00B13E9A" w:rsidTr="00F5291B">
        <w:tc>
          <w:tcPr>
            <w:tcW w:w="3022" w:type="dxa"/>
          </w:tcPr>
          <w:p w:rsidR="00552E51" w:rsidRPr="00B13E9A" w:rsidRDefault="00552E51" w:rsidP="00EF521C">
            <w:pPr>
              <w:rPr>
                <w:bCs/>
              </w:rPr>
            </w:pPr>
            <w:r>
              <w:t xml:space="preserve">Other </w:t>
            </w:r>
            <w:proofErr w:type="spellStart"/>
            <w:r>
              <w:t>operations</w:t>
            </w:r>
            <w:proofErr w:type="spellEnd"/>
          </w:p>
        </w:tc>
        <w:tc>
          <w:tcPr>
            <w:tcW w:w="1231" w:type="dxa"/>
            <w:shd w:val="clear" w:color="auto" w:fill="C0C0C0"/>
            <w:vAlign w:val="center"/>
          </w:tcPr>
          <w:p w:rsidR="00552E51" w:rsidRPr="00B13E9A" w:rsidRDefault="00552E51" w:rsidP="00EF521C">
            <w:pPr>
              <w:jc w:val="right"/>
              <w:rPr>
                <w:bCs/>
              </w:rPr>
            </w:pPr>
            <w:r>
              <w:t>34</w:t>
            </w:r>
          </w:p>
        </w:tc>
        <w:tc>
          <w:tcPr>
            <w:tcW w:w="1134" w:type="dxa"/>
            <w:vAlign w:val="center"/>
          </w:tcPr>
          <w:p w:rsidR="00552E51" w:rsidRPr="00B13E9A" w:rsidRDefault="00552E51" w:rsidP="00EF521C">
            <w:pPr>
              <w:jc w:val="right"/>
              <w:rPr>
                <w:bCs/>
              </w:rPr>
            </w:pPr>
            <w:r>
              <w:t>40</w:t>
            </w:r>
          </w:p>
        </w:tc>
        <w:tc>
          <w:tcPr>
            <w:tcW w:w="1134" w:type="dxa"/>
            <w:vAlign w:val="center"/>
          </w:tcPr>
          <w:p w:rsidR="00552E51" w:rsidRPr="00B13E9A" w:rsidRDefault="00552E51" w:rsidP="00EF521C">
            <w:pPr>
              <w:jc w:val="right"/>
              <w:rPr>
                <w:bCs/>
              </w:rPr>
            </w:pPr>
            <w:r>
              <w:t>-15</w:t>
            </w:r>
          </w:p>
        </w:tc>
        <w:tc>
          <w:tcPr>
            <w:tcW w:w="1276" w:type="dxa"/>
            <w:shd w:val="clear" w:color="auto" w:fill="C0C0C0"/>
            <w:vAlign w:val="center"/>
          </w:tcPr>
          <w:p w:rsidR="00552E51" w:rsidRPr="00B13E9A" w:rsidRDefault="00552E51" w:rsidP="00EF521C">
            <w:pPr>
              <w:jc w:val="right"/>
              <w:rPr>
                <w:bCs/>
              </w:rPr>
            </w:pPr>
            <w:r>
              <w:t>-75</w:t>
            </w:r>
          </w:p>
        </w:tc>
        <w:tc>
          <w:tcPr>
            <w:tcW w:w="1275" w:type="dxa"/>
            <w:vAlign w:val="center"/>
          </w:tcPr>
          <w:p w:rsidR="00552E51" w:rsidRPr="00B13E9A" w:rsidRDefault="00552E51" w:rsidP="00EF521C">
            <w:pPr>
              <w:jc w:val="right"/>
              <w:rPr>
                <w:bCs/>
              </w:rPr>
            </w:pPr>
            <w:r>
              <w:t>-83</w:t>
            </w:r>
          </w:p>
        </w:tc>
        <w:tc>
          <w:tcPr>
            <w:tcW w:w="993" w:type="dxa"/>
            <w:vAlign w:val="center"/>
          </w:tcPr>
          <w:p w:rsidR="00552E51" w:rsidRPr="00B13E9A" w:rsidRDefault="00552E51" w:rsidP="00EF521C">
            <w:pPr>
              <w:jc w:val="right"/>
              <w:rPr>
                <w:bCs/>
              </w:rPr>
            </w:pPr>
            <w:r>
              <w:t>-10</w:t>
            </w:r>
          </w:p>
        </w:tc>
      </w:tr>
      <w:tr w:rsidR="00552E51" w:rsidRPr="00B13E9A" w:rsidTr="00F5291B">
        <w:tc>
          <w:tcPr>
            <w:tcW w:w="3022" w:type="dxa"/>
          </w:tcPr>
          <w:p w:rsidR="00552E51" w:rsidRPr="00AF2A30" w:rsidRDefault="00552E51" w:rsidP="00EF521C">
            <w:pPr>
              <w:rPr>
                <w:b/>
                <w:bCs/>
              </w:rPr>
            </w:pPr>
            <w:r>
              <w:rPr>
                <w:b/>
              </w:rPr>
              <w:t>Group</w:t>
            </w:r>
          </w:p>
        </w:tc>
        <w:tc>
          <w:tcPr>
            <w:tcW w:w="1231" w:type="dxa"/>
            <w:shd w:val="clear" w:color="auto" w:fill="C0C0C0"/>
            <w:vAlign w:val="center"/>
          </w:tcPr>
          <w:p w:rsidR="00552E51" w:rsidRPr="00B13E9A" w:rsidRDefault="00552E51" w:rsidP="00EF521C">
            <w:pPr>
              <w:jc w:val="right"/>
              <w:rPr>
                <w:bCs/>
              </w:rPr>
            </w:pPr>
            <w:r>
              <w:t>3,201</w:t>
            </w:r>
          </w:p>
        </w:tc>
        <w:tc>
          <w:tcPr>
            <w:tcW w:w="1134" w:type="dxa"/>
            <w:vAlign w:val="center"/>
          </w:tcPr>
          <w:p w:rsidR="00552E51" w:rsidRPr="00B13E9A" w:rsidRDefault="00552E51" w:rsidP="00EF521C">
            <w:pPr>
              <w:jc w:val="right"/>
              <w:rPr>
                <w:bCs/>
              </w:rPr>
            </w:pPr>
            <w:r>
              <w:t>3,212</w:t>
            </w:r>
          </w:p>
        </w:tc>
        <w:tc>
          <w:tcPr>
            <w:tcW w:w="1134" w:type="dxa"/>
            <w:vAlign w:val="center"/>
          </w:tcPr>
          <w:p w:rsidR="00552E51" w:rsidRPr="00B13E9A" w:rsidRDefault="00552E51" w:rsidP="00EF521C">
            <w:pPr>
              <w:jc w:val="right"/>
              <w:rPr>
                <w:bCs/>
              </w:rPr>
            </w:pPr>
            <w:r>
              <w:t>0</w:t>
            </w:r>
          </w:p>
        </w:tc>
        <w:tc>
          <w:tcPr>
            <w:tcW w:w="1276" w:type="dxa"/>
            <w:shd w:val="clear" w:color="auto" w:fill="C0C0C0"/>
            <w:vAlign w:val="center"/>
          </w:tcPr>
          <w:p w:rsidR="00552E51" w:rsidRPr="00B13E9A" w:rsidRDefault="00552E51" w:rsidP="00EF521C">
            <w:pPr>
              <w:jc w:val="right"/>
              <w:rPr>
                <w:bCs/>
              </w:rPr>
            </w:pPr>
            <w:r>
              <w:t>463</w:t>
            </w:r>
          </w:p>
        </w:tc>
        <w:tc>
          <w:tcPr>
            <w:tcW w:w="1275" w:type="dxa"/>
            <w:vAlign w:val="center"/>
          </w:tcPr>
          <w:p w:rsidR="00552E51" w:rsidRPr="00B13E9A" w:rsidRDefault="00552E51" w:rsidP="00EF521C">
            <w:pPr>
              <w:jc w:val="right"/>
              <w:rPr>
                <w:bCs/>
              </w:rPr>
            </w:pPr>
            <w:r>
              <w:t>606</w:t>
            </w:r>
          </w:p>
        </w:tc>
        <w:tc>
          <w:tcPr>
            <w:tcW w:w="993" w:type="dxa"/>
            <w:vAlign w:val="center"/>
          </w:tcPr>
          <w:p w:rsidR="00552E51" w:rsidRPr="00B13E9A" w:rsidRDefault="00552E51" w:rsidP="00EF521C">
            <w:pPr>
              <w:jc w:val="right"/>
              <w:rPr>
                <w:bCs/>
              </w:rPr>
            </w:pPr>
            <w:r>
              <w:t>-24</w:t>
            </w:r>
          </w:p>
        </w:tc>
      </w:tr>
    </w:tbl>
    <w:p w:rsidR="00552E51" w:rsidRDefault="00552E51" w:rsidP="00EF521C">
      <w:pPr>
        <w:rPr>
          <w:bCs/>
        </w:rPr>
      </w:pPr>
      <w:r>
        <w:t>Prior-</w:t>
      </w:r>
      <w:proofErr w:type="spellStart"/>
      <w:r>
        <w:t>year</w:t>
      </w:r>
      <w:proofErr w:type="spellEnd"/>
      <w:r>
        <w:t xml:space="preserve"> </w:t>
      </w:r>
      <w:proofErr w:type="spellStart"/>
      <w:r>
        <w:t>figures</w:t>
      </w:r>
      <w:proofErr w:type="spellEnd"/>
      <w:r>
        <w:t xml:space="preserve"> </w:t>
      </w:r>
      <w:proofErr w:type="spellStart"/>
      <w:r>
        <w:t>restated</w:t>
      </w:r>
      <w:proofErr w:type="spellEnd"/>
    </w:p>
    <w:p w:rsidR="00552E51" w:rsidRDefault="00552E51" w:rsidP="00EF521C">
      <w:pPr>
        <w:rPr>
          <w:bCs/>
        </w:rPr>
      </w:pPr>
    </w:p>
    <w:p w:rsidR="00552E51" w:rsidRPr="00D941D1" w:rsidRDefault="00552E51" w:rsidP="00EF521C">
      <w:pPr>
        <w:spacing w:after="120"/>
        <w:rPr>
          <w:b/>
          <w:bCs/>
        </w:rPr>
      </w:pPr>
      <w:proofErr w:type="spellStart"/>
      <w:r>
        <w:rPr>
          <w:b/>
        </w:rPr>
        <w:t>Employees</w:t>
      </w:r>
      <w:proofErr w:type="spellEnd"/>
      <w:r>
        <w:rPr>
          <w:b/>
        </w:rPr>
        <w:t xml:space="preserve"> </w:t>
      </w:r>
      <w:proofErr w:type="spellStart"/>
      <w:r>
        <w:rPr>
          <w:b/>
        </w:rPr>
        <w:t>by</w:t>
      </w:r>
      <w:proofErr w:type="spellEnd"/>
      <w:r>
        <w:rPr>
          <w:b/>
        </w:rPr>
        <w:t xml:space="preserve"> </w:t>
      </w:r>
      <w:proofErr w:type="spellStart"/>
      <w:r>
        <w:rPr>
          <w:b/>
        </w:rPr>
        <w:t>segment</w:t>
      </w:r>
      <w:proofErr w:type="spellEnd"/>
    </w:p>
    <w:tbl>
      <w:tblPr>
        <w:tblW w:w="8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2"/>
        <w:gridCol w:w="2172"/>
        <w:gridCol w:w="2173"/>
      </w:tblGrid>
      <w:tr w:rsidR="00552E51" w:rsidRPr="00BE5DBC" w:rsidTr="00F5291B">
        <w:tc>
          <w:tcPr>
            <w:tcW w:w="4122" w:type="dxa"/>
          </w:tcPr>
          <w:p w:rsidR="00552E51" w:rsidRPr="00B13E9A" w:rsidRDefault="00552E51" w:rsidP="00EF521C">
            <w:pPr>
              <w:rPr>
                <w:bCs/>
              </w:rPr>
            </w:pPr>
          </w:p>
        </w:tc>
        <w:tc>
          <w:tcPr>
            <w:tcW w:w="2172" w:type="dxa"/>
          </w:tcPr>
          <w:p w:rsidR="00552E51" w:rsidRPr="00BE5DBC" w:rsidRDefault="00552E51" w:rsidP="00EF521C">
            <w:pPr>
              <w:jc w:val="center"/>
              <w:rPr>
                <w:b/>
                <w:bCs/>
              </w:rPr>
            </w:pPr>
            <w:r>
              <w:rPr>
                <w:b/>
              </w:rPr>
              <w:t>Mar. 31, 2014</w:t>
            </w:r>
          </w:p>
        </w:tc>
        <w:tc>
          <w:tcPr>
            <w:tcW w:w="2173" w:type="dxa"/>
          </w:tcPr>
          <w:p w:rsidR="00552E51" w:rsidRPr="00BE5DBC" w:rsidRDefault="00552E51" w:rsidP="00EF521C">
            <w:pPr>
              <w:jc w:val="center"/>
              <w:rPr>
                <w:b/>
                <w:bCs/>
              </w:rPr>
            </w:pPr>
            <w:proofErr w:type="spellStart"/>
            <w:r>
              <w:rPr>
                <w:b/>
              </w:rPr>
              <w:t>Dec</w:t>
            </w:r>
            <w:proofErr w:type="spellEnd"/>
            <w:r>
              <w:rPr>
                <w:b/>
              </w:rPr>
              <w:t>. 31, 2013</w:t>
            </w:r>
          </w:p>
        </w:tc>
      </w:tr>
      <w:tr w:rsidR="00552E51" w:rsidRPr="00A14C8B" w:rsidTr="00F5291B">
        <w:tc>
          <w:tcPr>
            <w:tcW w:w="4122" w:type="dxa"/>
          </w:tcPr>
          <w:p w:rsidR="00552E51" w:rsidRPr="00B13E9A" w:rsidRDefault="00552E51" w:rsidP="00EF521C">
            <w:pPr>
              <w:rPr>
                <w:bCs/>
              </w:rPr>
            </w:pPr>
            <w:r>
              <w:t xml:space="preserve">Consumer, </w:t>
            </w:r>
            <w:proofErr w:type="spellStart"/>
            <w:r>
              <w:t>Health</w:t>
            </w:r>
            <w:proofErr w:type="spellEnd"/>
            <w:r>
              <w:t xml:space="preserve"> &amp; Nutrition</w:t>
            </w:r>
          </w:p>
        </w:tc>
        <w:tc>
          <w:tcPr>
            <w:tcW w:w="2172" w:type="dxa"/>
          </w:tcPr>
          <w:p w:rsidR="00552E51" w:rsidRPr="00A14C8B" w:rsidRDefault="00552E51" w:rsidP="00EF521C">
            <w:pPr>
              <w:jc w:val="right"/>
              <w:rPr>
                <w:bCs/>
              </w:rPr>
            </w:pPr>
            <w:r>
              <w:t>7,144</w:t>
            </w:r>
          </w:p>
        </w:tc>
        <w:tc>
          <w:tcPr>
            <w:tcW w:w="2173" w:type="dxa"/>
          </w:tcPr>
          <w:p w:rsidR="00552E51" w:rsidRPr="00A14C8B" w:rsidRDefault="00552E51" w:rsidP="00EF521C">
            <w:pPr>
              <w:jc w:val="right"/>
              <w:rPr>
                <w:bCs/>
              </w:rPr>
            </w:pPr>
            <w:r>
              <w:t>7,150</w:t>
            </w:r>
          </w:p>
        </w:tc>
      </w:tr>
      <w:tr w:rsidR="00552E51" w:rsidRPr="00A14C8B" w:rsidTr="00F5291B">
        <w:tc>
          <w:tcPr>
            <w:tcW w:w="4122" w:type="dxa"/>
          </w:tcPr>
          <w:p w:rsidR="00552E51" w:rsidRPr="00A14C8B" w:rsidRDefault="00552E51" w:rsidP="00EF521C">
            <w:pPr>
              <w:rPr>
                <w:bCs/>
              </w:rPr>
            </w:pPr>
            <w:r>
              <w:t>Resource Efficiency</w:t>
            </w:r>
          </w:p>
        </w:tc>
        <w:tc>
          <w:tcPr>
            <w:tcW w:w="2172" w:type="dxa"/>
          </w:tcPr>
          <w:p w:rsidR="00552E51" w:rsidRPr="00A14C8B" w:rsidRDefault="00552E51" w:rsidP="00EF521C">
            <w:pPr>
              <w:jc w:val="right"/>
              <w:rPr>
                <w:bCs/>
              </w:rPr>
            </w:pPr>
            <w:r>
              <w:t>5,933</w:t>
            </w:r>
          </w:p>
        </w:tc>
        <w:tc>
          <w:tcPr>
            <w:tcW w:w="2173" w:type="dxa"/>
          </w:tcPr>
          <w:p w:rsidR="00552E51" w:rsidRPr="00A14C8B" w:rsidRDefault="00552E51" w:rsidP="00EF521C">
            <w:pPr>
              <w:jc w:val="right"/>
              <w:rPr>
                <w:bCs/>
              </w:rPr>
            </w:pPr>
            <w:r>
              <w:t>5,854</w:t>
            </w:r>
          </w:p>
        </w:tc>
      </w:tr>
      <w:tr w:rsidR="00552E51" w:rsidRPr="00A14C8B" w:rsidTr="00F5291B">
        <w:tc>
          <w:tcPr>
            <w:tcW w:w="4122" w:type="dxa"/>
          </w:tcPr>
          <w:p w:rsidR="00552E51" w:rsidRPr="00A14C8B" w:rsidRDefault="00552E51" w:rsidP="00EF521C">
            <w:pPr>
              <w:rPr>
                <w:bCs/>
              </w:rPr>
            </w:pPr>
            <w:r>
              <w:t>Specialty Materials</w:t>
            </w:r>
          </w:p>
        </w:tc>
        <w:tc>
          <w:tcPr>
            <w:tcW w:w="2172" w:type="dxa"/>
          </w:tcPr>
          <w:p w:rsidR="00552E51" w:rsidRPr="00A14C8B" w:rsidRDefault="00552E51" w:rsidP="00EF521C">
            <w:pPr>
              <w:jc w:val="right"/>
              <w:rPr>
                <w:bCs/>
              </w:rPr>
            </w:pPr>
            <w:r>
              <w:t>6,318</w:t>
            </w:r>
          </w:p>
        </w:tc>
        <w:tc>
          <w:tcPr>
            <w:tcW w:w="2173" w:type="dxa"/>
          </w:tcPr>
          <w:p w:rsidR="00552E51" w:rsidRPr="00A14C8B" w:rsidRDefault="00552E51" w:rsidP="00EF521C">
            <w:pPr>
              <w:jc w:val="right"/>
              <w:rPr>
                <w:bCs/>
              </w:rPr>
            </w:pPr>
            <w:r>
              <w:t>6,268</w:t>
            </w:r>
          </w:p>
        </w:tc>
      </w:tr>
      <w:tr w:rsidR="00552E51" w:rsidRPr="00A14C8B" w:rsidTr="00F5291B">
        <w:tc>
          <w:tcPr>
            <w:tcW w:w="4122" w:type="dxa"/>
          </w:tcPr>
          <w:p w:rsidR="00552E51" w:rsidRPr="00A14C8B" w:rsidRDefault="00552E51" w:rsidP="00EF521C">
            <w:pPr>
              <w:rPr>
                <w:bCs/>
              </w:rPr>
            </w:pPr>
            <w:r>
              <w:t>Services</w:t>
            </w:r>
          </w:p>
        </w:tc>
        <w:tc>
          <w:tcPr>
            <w:tcW w:w="2172" w:type="dxa"/>
          </w:tcPr>
          <w:p w:rsidR="00552E51" w:rsidRPr="00A14C8B" w:rsidRDefault="00552E51" w:rsidP="00EF521C">
            <w:pPr>
              <w:jc w:val="right"/>
              <w:rPr>
                <w:bCs/>
              </w:rPr>
            </w:pPr>
            <w:r>
              <w:t>12,316</w:t>
            </w:r>
          </w:p>
        </w:tc>
        <w:tc>
          <w:tcPr>
            <w:tcW w:w="2173" w:type="dxa"/>
          </w:tcPr>
          <w:p w:rsidR="00552E51" w:rsidRPr="00A14C8B" w:rsidRDefault="00552E51" w:rsidP="00EF521C">
            <w:pPr>
              <w:jc w:val="right"/>
              <w:rPr>
                <w:bCs/>
              </w:rPr>
            </w:pPr>
            <w:r>
              <w:t>12,192</w:t>
            </w:r>
          </w:p>
        </w:tc>
      </w:tr>
      <w:tr w:rsidR="00552E51" w:rsidRPr="00B13E9A" w:rsidTr="00F5291B">
        <w:tc>
          <w:tcPr>
            <w:tcW w:w="4122" w:type="dxa"/>
          </w:tcPr>
          <w:p w:rsidR="00552E51" w:rsidRPr="00A14C8B" w:rsidRDefault="00552E51" w:rsidP="00EF521C">
            <w:pPr>
              <w:rPr>
                <w:bCs/>
              </w:rPr>
            </w:pPr>
            <w:r>
              <w:t xml:space="preserve">Other </w:t>
            </w:r>
            <w:proofErr w:type="spellStart"/>
            <w:r>
              <w:t>operations</w:t>
            </w:r>
            <w:proofErr w:type="spellEnd"/>
          </w:p>
        </w:tc>
        <w:tc>
          <w:tcPr>
            <w:tcW w:w="2172" w:type="dxa"/>
          </w:tcPr>
          <w:p w:rsidR="00552E51" w:rsidRPr="00A14C8B" w:rsidRDefault="00552E51" w:rsidP="00EF521C">
            <w:pPr>
              <w:jc w:val="right"/>
              <w:rPr>
                <w:bCs/>
              </w:rPr>
            </w:pPr>
            <w:r>
              <w:t>1,348</w:t>
            </w:r>
          </w:p>
        </w:tc>
        <w:tc>
          <w:tcPr>
            <w:tcW w:w="2173" w:type="dxa"/>
          </w:tcPr>
          <w:p w:rsidR="00552E51" w:rsidRPr="00B13E9A" w:rsidRDefault="00552E51" w:rsidP="00EF521C">
            <w:pPr>
              <w:jc w:val="right"/>
              <w:rPr>
                <w:bCs/>
              </w:rPr>
            </w:pPr>
            <w:r>
              <w:t>1,531</w:t>
            </w:r>
          </w:p>
        </w:tc>
      </w:tr>
      <w:tr w:rsidR="00552E51" w:rsidRPr="00B13E9A" w:rsidTr="00F5291B">
        <w:tc>
          <w:tcPr>
            <w:tcW w:w="4122" w:type="dxa"/>
          </w:tcPr>
          <w:p w:rsidR="00552E51" w:rsidRPr="00B13E9A" w:rsidRDefault="00552E51" w:rsidP="00EF521C">
            <w:pPr>
              <w:rPr>
                <w:bCs/>
              </w:rPr>
            </w:pPr>
            <w:proofErr w:type="spellStart"/>
            <w:r>
              <w:t>Continuing</w:t>
            </w:r>
            <w:proofErr w:type="spellEnd"/>
            <w:r>
              <w:t xml:space="preserve"> </w:t>
            </w:r>
            <w:proofErr w:type="spellStart"/>
            <w:r>
              <w:t>operations</w:t>
            </w:r>
            <w:proofErr w:type="spellEnd"/>
          </w:p>
        </w:tc>
        <w:tc>
          <w:tcPr>
            <w:tcW w:w="2172" w:type="dxa"/>
          </w:tcPr>
          <w:p w:rsidR="00552E51" w:rsidRPr="00B13E9A" w:rsidRDefault="00552E51" w:rsidP="00EF521C">
            <w:pPr>
              <w:jc w:val="right"/>
              <w:rPr>
                <w:bCs/>
              </w:rPr>
            </w:pPr>
            <w:r>
              <w:t>33,059</w:t>
            </w:r>
          </w:p>
        </w:tc>
        <w:tc>
          <w:tcPr>
            <w:tcW w:w="2173" w:type="dxa"/>
          </w:tcPr>
          <w:p w:rsidR="00552E51" w:rsidRPr="00B13E9A" w:rsidRDefault="00552E51" w:rsidP="00EF521C">
            <w:pPr>
              <w:jc w:val="right"/>
              <w:rPr>
                <w:bCs/>
              </w:rPr>
            </w:pPr>
            <w:r>
              <w:t>32,995</w:t>
            </w:r>
          </w:p>
        </w:tc>
      </w:tr>
      <w:tr w:rsidR="00552E51" w:rsidRPr="00B13E9A" w:rsidTr="00F5291B">
        <w:tc>
          <w:tcPr>
            <w:tcW w:w="4122" w:type="dxa"/>
          </w:tcPr>
          <w:p w:rsidR="00552E51" w:rsidRPr="00B13E9A" w:rsidRDefault="00552E51" w:rsidP="00EF521C">
            <w:pPr>
              <w:rPr>
                <w:bCs/>
              </w:rPr>
            </w:pPr>
            <w:proofErr w:type="spellStart"/>
            <w:r>
              <w:t>Discontinued</w:t>
            </w:r>
            <w:proofErr w:type="spellEnd"/>
            <w:r>
              <w:t xml:space="preserve"> </w:t>
            </w:r>
            <w:proofErr w:type="spellStart"/>
            <w:r>
              <w:t>operations</w:t>
            </w:r>
            <w:proofErr w:type="spellEnd"/>
            <w:r>
              <w:t xml:space="preserve"> </w:t>
            </w:r>
          </w:p>
        </w:tc>
        <w:tc>
          <w:tcPr>
            <w:tcW w:w="2172" w:type="dxa"/>
          </w:tcPr>
          <w:p w:rsidR="00552E51" w:rsidRPr="00B13E9A" w:rsidRDefault="00552E51" w:rsidP="00EF521C">
            <w:pPr>
              <w:jc w:val="right"/>
              <w:rPr>
                <w:bCs/>
              </w:rPr>
            </w:pPr>
            <w:r>
              <w:t>592</w:t>
            </w:r>
          </w:p>
        </w:tc>
        <w:tc>
          <w:tcPr>
            <w:tcW w:w="2173" w:type="dxa"/>
          </w:tcPr>
          <w:p w:rsidR="00552E51" w:rsidRPr="00B13E9A" w:rsidRDefault="00552E51" w:rsidP="00EF521C">
            <w:pPr>
              <w:jc w:val="right"/>
              <w:rPr>
                <w:bCs/>
              </w:rPr>
            </w:pPr>
            <w:r>
              <w:t>655</w:t>
            </w:r>
          </w:p>
        </w:tc>
      </w:tr>
      <w:tr w:rsidR="00552E51" w:rsidRPr="00BE5DBC" w:rsidTr="00F5291B">
        <w:tc>
          <w:tcPr>
            <w:tcW w:w="4122" w:type="dxa"/>
          </w:tcPr>
          <w:p w:rsidR="00552E51" w:rsidRPr="00BE5DBC" w:rsidRDefault="00552E51" w:rsidP="00EF521C">
            <w:pPr>
              <w:rPr>
                <w:b/>
                <w:bCs/>
              </w:rPr>
            </w:pPr>
            <w:r>
              <w:rPr>
                <w:b/>
              </w:rPr>
              <w:t>Group</w:t>
            </w:r>
          </w:p>
        </w:tc>
        <w:tc>
          <w:tcPr>
            <w:tcW w:w="2172" w:type="dxa"/>
          </w:tcPr>
          <w:p w:rsidR="00552E51" w:rsidRPr="00BE5DBC" w:rsidRDefault="00552E51" w:rsidP="00EF521C">
            <w:pPr>
              <w:jc w:val="right"/>
              <w:rPr>
                <w:b/>
                <w:bCs/>
              </w:rPr>
            </w:pPr>
            <w:r>
              <w:rPr>
                <w:b/>
              </w:rPr>
              <w:t>33,651</w:t>
            </w:r>
          </w:p>
        </w:tc>
        <w:tc>
          <w:tcPr>
            <w:tcW w:w="2173" w:type="dxa"/>
          </w:tcPr>
          <w:p w:rsidR="00552E51" w:rsidRPr="00BE5DBC" w:rsidRDefault="00552E51" w:rsidP="00EF521C">
            <w:pPr>
              <w:jc w:val="right"/>
              <w:rPr>
                <w:b/>
                <w:bCs/>
              </w:rPr>
            </w:pPr>
            <w:r>
              <w:rPr>
                <w:b/>
              </w:rPr>
              <w:t>33,650</w:t>
            </w:r>
          </w:p>
        </w:tc>
      </w:tr>
    </w:tbl>
    <w:p w:rsidR="00552E51" w:rsidRPr="00B13E9A" w:rsidRDefault="00552E51" w:rsidP="00EF521C">
      <w:pPr>
        <w:rPr>
          <w:bCs/>
        </w:rPr>
      </w:pPr>
    </w:p>
    <w:p w:rsidR="00CC5D98" w:rsidRPr="003C3375" w:rsidRDefault="00CC5D98" w:rsidP="00EF521C">
      <w:pPr>
        <w:spacing w:line="300" w:lineRule="exact"/>
        <w:rPr>
          <w:sz w:val="22"/>
          <w:szCs w:val="22"/>
          <w:lang w:val="en-US"/>
        </w:rPr>
      </w:pPr>
    </w:p>
    <w:p w:rsidR="00CC5D98" w:rsidRPr="003C3375" w:rsidRDefault="00CC5D98" w:rsidP="00EF521C">
      <w:pPr>
        <w:spacing w:line="300" w:lineRule="exact"/>
        <w:rPr>
          <w:sz w:val="22"/>
          <w:szCs w:val="22"/>
          <w:lang w:val="en-US"/>
        </w:rPr>
      </w:pPr>
    </w:p>
    <w:p w:rsidR="00CC5D98" w:rsidRPr="003C3375" w:rsidRDefault="00CC5D98" w:rsidP="00EF521C">
      <w:pPr>
        <w:spacing w:line="300" w:lineRule="exact"/>
        <w:rPr>
          <w:sz w:val="22"/>
          <w:szCs w:val="22"/>
          <w:lang w:val="en-US"/>
        </w:rPr>
      </w:pPr>
    </w:p>
    <w:p w:rsidR="00394C88" w:rsidRDefault="00394C88" w:rsidP="00EF521C">
      <w:pPr>
        <w:spacing w:line="240" w:lineRule="auto"/>
        <w:ind w:right="0"/>
        <w:rPr>
          <w:rFonts w:cs="Lucida Sans Unicode"/>
          <w:b/>
          <w:bCs/>
          <w:color w:val="000000"/>
          <w:szCs w:val="18"/>
          <w:lang w:val="en-US"/>
        </w:rPr>
      </w:pPr>
      <w:r>
        <w:rPr>
          <w:rFonts w:cs="Lucida Sans Unicode"/>
          <w:b/>
          <w:bCs/>
          <w:color w:val="000000"/>
          <w:szCs w:val="18"/>
          <w:lang w:val="en-US"/>
        </w:rPr>
        <w:br w:type="page"/>
      </w:r>
    </w:p>
    <w:p w:rsidR="003C3375" w:rsidRDefault="003C3375" w:rsidP="00EF521C">
      <w:pPr>
        <w:outlineLvl w:val="0"/>
        <w:rPr>
          <w:rFonts w:cs="Lucida Sans Unicode"/>
          <w:b/>
          <w:bCs/>
          <w:color w:val="000000"/>
          <w:szCs w:val="18"/>
          <w:lang w:val="en-US"/>
        </w:rPr>
      </w:pPr>
      <w:r>
        <w:rPr>
          <w:rFonts w:cs="Lucida Sans Unicode"/>
          <w:b/>
          <w:bCs/>
          <w:color w:val="000000"/>
          <w:szCs w:val="18"/>
          <w:lang w:val="en-US"/>
        </w:rPr>
        <w:lastRenderedPageBreak/>
        <w:t xml:space="preserve">Company information </w:t>
      </w:r>
    </w:p>
    <w:p w:rsidR="00777131" w:rsidRDefault="00777131" w:rsidP="00EF521C">
      <w:pPr>
        <w:autoSpaceDE w:val="0"/>
        <w:autoSpaceDN w:val="0"/>
        <w:adjustRightInd w:val="0"/>
        <w:spacing w:line="220" w:lineRule="exact"/>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777131" w:rsidRDefault="00777131" w:rsidP="00EF521C">
      <w:pPr>
        <w:autoSpaceDE w:val="0"/>
        <w:autoSpaceDN w:val="0"/>
        <w:adjustRightInd w:val="0"/>
        <w:spacing w:line="220" w:lineRule="exact"/>
        <w:rPr>
          <w:rFonts w:cs="Lucida Sans Unicode"/>
          <w:szCs w:val="18"/>
          <w:lang w:val="en-US"/>
        </w:rPr>
      </w:pPr>
    </w:p>
    <w:p w:rsidR="00D62AD8" w:rsidRPr="00BB06C8" w:rsidRDefault="00D62AD8" w:rsidP="00EF521C">
      <w:pPr>
        <w:autoSpaceDE w:val="0"/>
        <w:autoSpaceDN w:val="0"/>
        <w:adjustRightInd w:val="0"/>
        <w:spacing w:line="220" w:lineRule="exact"/>
        <w:rPr>
          <w:rFonts w:cs="Lucida Sans Unicode"/>
          <w:szCs w:val="18"/>
          <w:lang w:val="en-US"/>
        </w:rPr>
      </w:pPr>
      <w:r w:rsidRPr="00BB06C8">
        <w:rPr>
          <w:rFonts w:cs="Lucida Sans Unicode"/>
          <w:szCs w:val="18"/>
          <w:lang w:val="en-US"/>
        </w:rPr>
        <w:t>Evonik is active in over 100 countries around the world. In fiscal 2013 more than 33,500 employees generated sales of around €12.</w:t>
      </w:r>
      <w:r w:rsidR="00BC3F95">
        <w:rPr>
          <w:rFonts w:cs="Lucida Sans Unicode"/>
          <w:szCs w:val="18"/>
          <w:lang w:val="en-US"/>
        </w:rPr>
        <w:t>7</w:t>
      </w:r>
      <w:r w:rsidRPr="00BB06C8">
        <w:rPr>
          <w:rFonts w:cs="Lucida Sans Unicode"/>
          <w:szCs w:val="18"/>
          <w:lang w:val="en-US"/>
        </w:rPr>
        <w:t xml:space="preserve"> billion and an operating profit (adjusted EBITDA) of about €2.0 billion.</w:t>
      </w:r>
    </w:p>
    <w:p w:rsidR="003C3375" w:rsidRDefault="003C3375" w:rsidP="00EF521C">
      <w:pPr>
        <w:rPr>
          <w:szCs w:val="18"/>
          <w:lang w:val="en-US"/>
        </w:rPr>
      </w:pPr>
    </w:p>
    <w:p w:rsidR="003C3375" w:rsidRPr="00696302" w:rsidRDefault="003C3375" w:rsidP="00EF521C">
      <w:pPr>
        <w:spacing w:line="240" w:lineRule="auto"/>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EF521C">
      <w:pPr>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rsidP="00EF521C">
      <w:pPr>
        <w:spacing w:line="240" w:lineRule="auto"/>
        <w:ind w:right="0"/>
        <w:rPr>
          <w:rFonts w:cs="Lucida Sans Unicode"/>
          <w:position w:val="0"/>
          <w:szCs w:val="18"/>
          <w:lang w:val="en-US"/>
        </w:rPr>
      </w:pPr>
    </w:p>
    <w:p w:rsidR="00CC5D98" w:rsidRPr="003C3375" w:rsidRDefault="00CC5D98" w:rsidP="00EF521C">
      <w:pPr>
        <w:autoSpaceDE w:val="0"/>
        <w:autoSpaceDN w:val="0"/>
        <w:adjustRightInd w:val="0"/>
        <w:spacing w:line="220" w:lineRule="exact"/>
        <w:ind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51" w:rsidRDefault="00552E51">
      <w:r>
        <w:separator/>
      </w:r>
    </w:p>
    <w:p w:rsidR="00552E51" w:rsidRDefault="00552E51"/>
  </w:endnote>
  <w:endnote w:type="continuationSeparator" w:id="0">
    <w:p w:rsidR="00552E51" w:rsidRDefault="00552E51">
      <w:r>
        <w:continuationSeparator/>
      </w:r>
    </w:p>
    <w:p w:rsidR="00552E51" w:rsidRDefault="00552E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C3197">
      <w:rPr>
        <w:rStyle w:val="Seitenzahl"/>
        <w:noProof/>
      </w:rPr>
      <w:t>9</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C3197">
      <w:rPr>
        <w:rStyle w:val="Seitenzahl"/>
        <w:noProof/>
      </w:rPr>
      <w:t>9</w:t>
    </w:r>
    <w:r w:rsidR="00B14022">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9C319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9C3197">
      <w:rPr>
        <w:rStyle w:val="Seitenzahl"/>
        <w:noProof/>
      </w:rPr>
      <w:t>9</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51" w:rsidRDefault="00552E51">
      <w:r>
        <w:separator/>
      </w:r>
    </w:p>
    <w:p w:rsidR="00552E51" w:rsidRDefault="00552E51"/>
  </w:footnote>
  <w:footnote w:type="continuationSeparator" w:id="0">
    <w:p w:rsidR="00552E51" w:rsidRDefault="00552E51">
      <w:r>
        <w:continuationSeparator/>
      </w:r>
    </w:p>
    <w:p w:rsidR="00552E51" w:rsidRDefault="00552E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1EB47478" wp14:editId="0BE4D685">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65066543" wp14:editId="416796FA">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Pr="00552E51" w:rsidRDefault="00552E51">
    <w:pPr>
      <w:pStyle w:val="Kopfzeile"/>
      <w:ind w:left="0"/>
      <w:rPr>
        <w:b/>
        <w:u w:val="single"/>
      </w:rPr>
    </w:pPr>
    <w:r>
      <w:br/>
    </w:r>
    <w:r>
      <w:br/>
    </w:r>
    <w:r>
      <w:br/>
    </w:r>
    <w:r>
      <w:br/>
    </w:r>
    <w:r>
      <w:br/>
    </w:r>
    <w:r>
      <w:br/>
    </w:r>
    <w:r>
      <w:br/>
    </w:r>
    <w:r>
      <w:br/>
    </w:r>
    <w:proofErr w:type="spellStart"/>
    <w:r w:rsidRPr="00552E51">
      <w:rPr>
        <w:b/>
        <w:u w:val="single"/>
      </w:rPr>
      <w:t>Embargoed</w:t>
    </w:r>
    <w:proofErr w:type="spellEnd"/>
    <w:r w:rsidRPr="00552E51">
      <w:rPr>
        <w:b/>
        <w:u w:val="single"/>
      </w:rPr>
      <w:t xml:space="preserve"> </w:t>
    </w:r>
    <w:proofErr w:type="spellStart"/>
    <w:r w:rsidRPr="00552E51">
      <w:rPr>
        <w:b/>
        <w:u w:val="single"/>
      </w:rPr>
      <w:t>until</w:t>
    </w:r>
    <w:proofErr w:type="spellEnd"/>
    <w:r w:rsidRPr="00552E51">
      <w:rPr>
        <w:b/>
        <w:u w:val="single"/>
      </w:rPr>
      <w:t>: May 6, 2014, 7.00 a.m.</w:t>
    </w:r>
    <w:r w:rsidR="00794AB9" w:rsidRPr="00552E51">
      <w:rPr>
        <w:b/>
        <w:noProof/>
        <w:u w:val="single"/>
      </w:rPr>
      <w:drawing>
        <wp:anchor distT="0" distB="0" distL="114300" distR="114300" simplePos="0" relativeHeight="251660288" behindDoc="1" locked="0" layoutInCell="1" allowOverlap="1" wp14:anchorId="3E17D448" wp14:editId="3337915E">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sidRPr="00552E51">
      <w:rPr>
        <w:b/>
        <w:noProof/>
        <w:u w:val="single"/>
      </w:rPr>
      <mc:AlternateContent>
        <mc:Choice Requires="wpg">
          <w:drawing>
            <wp:anchor distT="0" distB="0" distL="114300" distR="114300" simplePos="0" relativeHeight="251656192" behindDoc="1" locked="0" layoutInCell="1" allowOverlap="1" wp14:anchorId="75D09A5D" wp14:editId="5EBECC1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02353CE"/>
    <w:multiLevelType w:val="hybridMultilevel"/>
    <w:tmpl w:val="7E200872"/>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2FFB671D"/>
    <w:multiLevelType w:val="hybridMultilevel"/>
    <w:tmpl w:val="2C38AE50"/>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6">
    <w:nsid w:val="373242B9"/>
    <w:multiLevelType w:val="hybridMultilevel"/>
    <w:tmpl w:val="D18C851C"/>
    <w:lvl w:ilvl="0" w:tplc="04070001">
      <w:start w:val="1"/>
      <w:numFmt w:val="bullet"/>
      <w:lvlText w:val=""/>
      <w:lvlJc w:val="left"/>
      <w:pPr>
        <w:ind w:left="805" w:hanging="360"/>
      </w:pPr>
      <w:rPr>
        <w:rFonts w:ascii="Symbol" w:hAnsi="Symbol" w:hint="default"/>
      </w:rPr>
    </w:lvl>
    <w:lvl w:ilvl="1" w:tplc="04070003" w:tentative="1">
      <w:start w:val="1"/>
      <w:numFmt w:val="bullet"/>
      <w:lvlText w:val="o"/>
      <w:lvlJc w:val="left"/>
      <w:pPr>
        <w:ind w:left="1525" w:hanging="360"/>
      </w:pPr>
      <w:rPr>
        <w:rFonts w:ascii="Courier New" w:hAnsi="Courier New" w:hint="default"/>
      </w:rPr>
    </w:lvl>
    <w:lvl w:ilvl="2" w:tplc="04070005" w:tentative="1">
      <w:start w:val="1"/>
      <w:numFmt w:val="bullet"/>
      <w:lvlText w:val=""/>
      <w:lvlJc w:val="left"/>
      <w:pPr>
        <w:ind w:left="2245" w:hanging="360"/>
      </w:pPr>
      <w:rPr>
        <w:rFonts w:ascii="Wingdings" w:hAnsi="Wingdings" w:hint="default"/>
      </w:rPr>
    </w:lvl>
    <w:lvl w:ilvl="3" w:tplc="04070001" w:tentative="1">
      <w:start w:val="1"/>
      <w:numFmt w:val="bullet"/>
      <w:lvlText w:val=""/>
      <w:lvlJc w:val="left"/>
      <w:pPr>
        <w:ind w:left="2965" w:hanging="360"/>
      </w:pPr>
      <w:rPr>
        <w:rFonts w:ascii="Symbol" w:hAnsi="Symbol" w:hint="default"/>
      </w:rPr>
    </w:lvl>
    <w:lvl w:ilvl="4" w:tplc="04070003" w:tentative="1">
      <w:start w:val="1"/>
      <w:numFmt w:val="bullet"/>
      <w:lvlText w:val="o"/>
      <w:lvlJc w:val="left"/>
      <w:pPr>
        <w:ind w:left="3685" w:hanging="360"/>
      </w:pPr>
      <w:rPr>
        <w:rFonts w:ascii="Courier New" w:hAnsi="Courier New" w:hint="default"/>
      </w:rPr>
    </w:lvl>
    <w:lvl w:ilvl="5" w:tplc="04070005" w:tentative="1">
      <w:start w:val="1"/>
      <w:numFmt w:val="bullet"/>
      <w:lvlText w:val=""/>
      <w:lvlJc w:val="left"/>
      <w:pPr>
        <w:ind w:left="4405" w:hanging="360"/>
      </w:pPr>
      <w:rPr>
        <w:rFonts w:ascii="Wingdings" w:hAnsi="Wingdings" w:hint="default"/>
      </w:rPr>
    </w:lvl>
    <w:lvl w:ilvl="6" w:tplc="04070001" w:tentative="1">
      <w:start w:val="1"/>
      <w:numFmt w:val="bullet"/>
      <w:lvlText w:val=""/>
      <w:lvlJc w:val="left"/>
      <w:pPr>
        <w:ind w:left="5125" w:hanging="360"/>
      </w:pPr>
      <w:rPr>
        <w:rFonts w:ascii="Symbol" w:hAnsi="Symbol" w:hint="default"/>
      </w:rPr>
    </w:lvl>
    <w:lvl w:ilvl="7" w:tplc="04070003" w:tentative="1">
      <w:start w:val="1"/>
      <w:numFmt w:val="bullet"/>
      <w:lvlText w:val="o"/>
      <w:lvlJc w:val="left"/>
      <w:pPr>
        <w:ind w:left="5845" w:hanging="360"/>
      </w:pPr>
      <w:rPr>
        <w:rFonts w:ascii="Courier New" w:hAnsi="Courier New" w:hint="default"/>
      </w:rPr>
    </w:lvl>
    <w:lvl w:ilvl="8" w:tplc="04070005" w:tentative="1">
      <w:start w:val="1"/>
      <w:numFmt w:val="bullet"/>
      <w:lvlText w:val=""/>
      <w:lvlJc w:val="left"/>
      <w:pPr>
        <w:ind w:left="6565" w:hanging="360"/>
      </w:pPr>
      <w:rPr>
        <w:rFonts w:ascii="Wingdings" w:hAnsi="Wingdings" w:hint="default"/>
      </w:rPr>
    </w:lvl>
  </w:abstractNum>
  <w:abstractNum w:abstractNumId="17">
    <w:nsid w:val="54115FD0"/>
    <w:multiLevelType w:val="hybridMultilevel"/>
    <w:tmpl w:val="34FCF2E6"/>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7"/>
  </w:num>
  <w:num w:numId="15">
    <w:abstractNumId w:val="10"/>
  </w:num>
  <w:num w:numId="16">
    <w:abstractNumId w:val="1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51"/>
    <w:rsid w:val="000434B6"/>
    <w:rsid w:val="002B6D6F"/>
    <w:rsid w:val="00394C88"/>
    <w:rsid w:val="003C3375"/>
    <w:rsid w:val="00552E51"/>
    <w:rsid w:val="00554BE4"/>
    <w:rsid w:val="00634DA8"/>
    <w:rsid w:val="0067540D"/>
    <w:rsid w:val="00696302"/>
    <w:rsid w:val="006C760D"/>
    <w:rsid w:val="00762908"/>
    <w:rsid w:val="00777131"/>
    <w:rsid w:val="00794AB9"/>
    <w:rsid w:val="008174AA"/>
    <w:rsid w:val="00841FF0"/>
    <w:rsid w:val="009C3197"/>
    <w:rsid w:val="00A4039D"/>
    <w:rsid w:val="00A654E9"/>
    <w:rsid w:val="00B14022"/>
    <w:rsid w:val="00B81424"/>
    <w:rsid w:val="00BC3F95"/>
    <w:rsid w:val="00CC5D98"/>
    <w:rsid w:val="00D62AD8"/>
    <w:rsid w:val="00D93F4B"/>
    <w:rsid w:val="00E00BD2"/>
    <w:rsid w:val="00E12886"/>
    <w:rsid w:val="00E23BAC"/>
    <w:rsid w:val="00E3471C"/>
    <w:rsid w:val="00E832D9"/>
    <w:rsid w:val="00EF521C"/>
    <w:rsid w:val="00F31F7C"/>
    <w:rsid w:val="00F6408B"/>
    <w:rsid w:val="00F823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34"/>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ErsteZeile">
    <w:name w:val="Erste Zeile"/>
    <w:basedOn w:val="Standard"/>
    <w:next w:val="Standard"/>
    <w:autoRedefine/>
    <w:uiPriority w:val="99"/>
    <w:rsid w:val="00552E51"/>
    <w:pPr>
      <w:keepNext/>
      <w:keepLines/>
      <w:spacing w:line="300" w:lineRule="exact"/>
      <w:ind w:left="57"/>
    </w:pPr>
    <w:rPr>
      <w:rFonts w:cs="Lucida Sans Unicode"/>
      <w:bCs/>
      <w:position w:val="0"/>
      <w:sz w:val="20"/>
      <w:szCs w:val="20"/>
      <w:lang w:val="en-US" w:eastAsia="en-US"/>
    </w:rPr>
  </w:style>
  <w:style w:type="paragraph" w:customStyle="1" w:styleId="EvonikStandard">
    <w:name w:val="Evonik Standard"/>
    <w:basedOn w:val="Standard"/>
    <w:uiPriority w:val="99"/>
    <w:rsid w:val="00552E51"/>
    <w:pPr>
      <w:spacing w:line="300" w:lineRule="atLeast"/>
      <w:ind w:left="0" w:right="0" w:firstLine="567"/>
    </w:pPr>
    <w:rPr>
      <w:position w:val="0"/>
      <w:szCs w:val="20"/>
      <w:lang w:val="en-US" w:eastAsia="en-US"/>
    </w:rPr>
  </w:style>
  <w:style w:type="paragraph" w:styleId="Listenabsatz">
    <w:name w:val="List Paragraph"/>
    <w:basedOn w:val="Standard"/>
    <w:uiPriority w:val="34"/>
    <w:qFormat/>
    <w:rsid w:val="00552E51"/>
    <w:pPr>
      <w:ind w:left="720"/>
      <w:contextualSpacing/>
    </w:pPr>
    <w:rPr>
      <w:lang w:val="en-US" w:eastAsia="en-US"/>
    </w:rPr>
  </w:style>
  <w:style w:type="paragraph" w:styleId="Funotentext">
    <w:name w:val="footnote text"/>
    <w:basedOn w:val="Standard"/>
    <w:link w:val="FunotentextZchn"/>
    <w:rsid w:val="00841FF0"/>
    <w:pPr>
      <w:spacing w:line="240" w:lineRule="auto"/>
    </w:pPr>
    <w:rPr>
      <w:sz w:val="20"/>
      <w:szCs w:val="20"/>
    </w:rPr>
  </w:style>
  <w:style w:type="character" w:customStyle="1" w:styleId="FunotentextZchn">
    <w:name w:val="Fußnotentext Zchn"/>
    <w:basedOn w:val="Absatz-Standardschriftart"/>
    <w:link w:val="Funotentext"/>
    <w:rsid w:val="00841FF0"/>
    <w:rPr>
      <w:rFonts w:ascii="Lucida Sans Unicode" w:hAnsi="Lucida Sans Unicode"/>
      <w:position w:val="-2"/>
    </w:rPr>
  </w:style>
  <w:style w:type="character" w:styleId="Funotenzeichen">
    <w:name w:val="footnote reference"/>
    <w:basedOn w:val="Absatz-Standardschriftart"/>
    <w:rsid w:val="00841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52EBC-53C8-4036-8557-DC5B7C86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39521248</Template>
  <TotalTime>0</TotalTime>
  <Pages>9</Pages>
  <Words>2281</Words>
  <Characters>12888</Characters>
  <Application>Microsoft Office Word</Application>
  <DocSecurity>0</DocSecurity>
  <Lines>107</Lines>
  <Paragraphs>30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15139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5</cp:revision>
  <cp:lastPrinted>2014-05-05T14:05:00Z</cp:lastPrinted>
  <dcterms:created xsi:type="dcterms:W3CDTF">2014-05-05T14:02:00Z</dcterms:created>
  <dcterms:modified xsi:type="dcterms:W3CDTF">2014-05-05T14:05:00Z</dcterms:modified>
</cp:coreProperties>
</file>