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4F1918" w:rsidRPr="004F1918" w:rsidRDefault="00885F22" w:rsidP="004F1918">
            <w:pPr>
              <w:pStyle w:val="M7"/>
              <w:framePr w:wrap="auto" w:vAnchor="margin" w:hAnchor="text" w:xAlign="left" w:yAlign="inline"/>
              <w:suppressOverlap w:val="0"/>
              <w:rPr>
                <w:b w:val="0"/>
                <w:sz w:val="18"/>
                <w:szCs w:val="18"/>
                <w:lang w:val="en-US"/>
              </w:rPr>
            </w:pPr>
            <w:r>
              <w:rPr>
                <w:b w:val="0"/>
                <w:sz w:val="18"/>
                <w:szCs w:val="18"/>
                <w:lang w:val="en-US"/>
              </w:rPr>
              <w:t>November 4</w:t>
            </w:r>
            <w:r w:rsidR="009D71A1">
              <w:rPr>
                <w:b w:val="0"/>
                <w:sz w:val="18"/>
                <w:szCs w:val="18"/>
                <w:lang w:val="en-US"/>
              </w:rPr>
              <w:t>, 2016</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344169" w:rsidRDefault="00344169" w:rsidP="004F1918">
            <w:pPr>
              <w:pStyle w:val="M7"/>
              <w:framePr w:wrap="auto" w:vAnchor="margin" w:hAnchor="text" w:xAlign="left" w:yAlign="inline"/>
              <w:suppressOverlap w:val="0"/>
              <w:rPr>
                <w:lang w:val="en-US"/>
              </w:rPr>
            </w:pPr>
          </w:p>
          <w:p w:rsidR="004F1918" w:rsidRPr="003C3375" w:rsidRDefault="009D71A1" w:rsidP="004F1918">
            <w:pPr>
              <w:pStyle w:val="M7"/>
              <w:framePr w:wrap="auto" w:vAnchor="margin" w:hAnchor="text" w:xAlign="left" w:yAlign="inline"/>
              <w:suppressOverlap w:val="0"/>
              <w:rPr>
                <w:lang w:val="en-US"/>
              </w:rPr>
            </w:pPr>
            <w:r>
              <w:rPr>
                <w:lang w:val="en-US"/>
              </w:rPr>
              <w:t>Matthias Ruch</w:t>
            </w:r>
          </w:p>
          <w:p w:rsidR="004F1918" w:rsidRPr="00E12886" w:rsidRDefault="009D71A1" w:rsidP="004F1918">
            <w:pPr>
              <w:pStyle w:val="M8"/>
              <w:framePr w:wrap="auto" w:vAnchor="margin" w:hAnchor="text" w:xAlign="left" w:yAlign="inline"/>
              <w:suppressOverlap w:val="0"/>
              <w:rPr>
                <w:lang w:val="en-US"/>
              </w:rPr>
            </w:pPr>
            <w:r>
              <w:rPr>
                <w:lang w:val="en-US"/>
              </w:rPr>
              <w:t>Head of External Communication</w:t>
            </w:r>
            <w:r w:rsidR="006724DE">
              <w:rPr>
                <w:lang w:val="en-US"/>
              </w:rPr>
              <w:t>s</w:t>
            </w:r>
          </w:p>
          <w:p w:rsidR="004F1918" w:rsidRPr="00E12886" w:rsidRDefault="004F1918" w:rsidP="004F1918">
            <w:pPr>
              <w:pStyle w:val="M9"/>
              <w:framePr w:wrap="auto" w:vAnchor="margin" w:hAnchor="text" w:xAlign="left" w:yAlign="inline"/>
              <w:suppressOverlap w:val="0"/>
              <w:rPr>
                <w:lang w:val="en-US"/>
              </w:rPr>
            </w:pPr>
            <w:r>
              <w:rPr>
                <w:lang w:val="en-US"/>
              </w:rPr>
              <w:t xml:space="preserve">Phone +49 </w:t>
            </w:r>
            <w:r w:rsidR="009D71A1">
              <w:rPr>
                <w:lang w:val="en-US"/>
              </w:rPr>
              <w:t>201 177-3348</w:t>
            </w:r>
          </w:p>
          <w:p w:rsidR="004F1918" w:rsidRDefault="009D71A1" w:rsidP="004F1918">
            <w:pPr>
              <w:pStyle w:val="M10"/>
              <w:framePr w:wrap="auto" w:vAnchor="margin" w:hAnchor="text" w:xAlign="left" w:yAlign="inline"/>
              <w:suppressOverlap w:val="0"/>
            </w:pPr>
            <w:r>
              <w:t>Matthias.ruch</w:t>
            </w:r>
            <w:r w:rsidR="004F1918">
              <w:t>@evonik.com</w:t>
            </w:r>
            <w:r w:rsidR="004F1918">
              <w:rPr>
                <w:lang w:val="sv-SE"/>
              </w:rPr>
              <w:t xml:space="preserve"> </w:t>
            </w:r>
          </w:p>
        </w:tc>
      </w:tr>
      <w:tr w:rsidR="004F1918" w:rsidRPr="00344D49" w:rsidTr="00D81410">
        <w:trPr>
          <w:trHeight w:val="851"/>
        </w:trPr>
        <w:tc>
          <w:tcPr>
            <w:tcW w:w="2552" w:type="dxa"/>
            <w:shd w:val="clear" w:color="auto" w:fill="auto"/>
          </w:tcPr>
          <w:p w:rsidR="004F1918" w:rsidRDefault="004F1918" w:rsidP="004F1918">
            <w:pPr>
              <w:pStyle w:val="M12"/>
              <w:framePr w:wrap="auto" w:vAnchor="margin" w:hAnchor="text" w:xAlign="left" w:yAlign="inline"/>
              <w:suppressOverlap w:val="0"/>
              <w:rPr>
                <w:lang w:val="en-US"/>
              </w:rPr>
            </w:pPr>
          </w:p>
          <w:p w:rsidR="00344169" w:rsidRPr="00E12886" w:rsidRDefault="00344169" w:rsidP="004F1918">
            <w:pPr>
              <w:pStyle w:val="M12"/>
              <w:framePr w:wrap="auto" w:vAnchor="margin" w:hAnchor="text" w:xAlign="left" w:yAlign="inline"/>
              <w:suppressOverlap w:val="0"/>
              <w:rPr>
                <w:lang w:val="en-US"/>
              </w:rPr>
            </w:pPr>
          </w:p>
          <w:p w:rsidR="004F1918" w:rsidRPr="003C3375" w:rsidRDefault="009D71A1" w:rsidP="004F1918">
            <w:pPr>
              <w:pStyle w:val="M1"/>
              <w:framePr w:wrap="auto" w:vAnchor="margin" w:hAnchor="text" w:xAlign="left" w:yAlign="inline"/>
              <w:suppressOverlap w:val="0"/>
              <w:rPr>
                <w:lang w:val="en-US"/>
              </w:rPr>
            </w:pPr>
            <w:r>
              <w:rPr>
                <w:lang w:val="en-US"/>
              </w:rPr>
              <w:t>Alexandra Boy</w:t>
            </w:r>
          </w:p>
          <w:p w:rsidR="004F1918" w:rsidRPr="00F31F7C" w:rsidRDefault="009D71A1" w:rsidP="004F1918">
            <w:pPr>
              <w:pStyle w:val="M8"/>
              <w:framePr w:wrap="auto" w:vAnchor="margin" w:hAnchor="text" w:xAlign="left" w:yAlign="inline"/>
              <w:suppressOverlap w:val="0"/>
              <w:rPr>
                <w:lang w:val="en-US"/>
              </w:rPr>
            </w:pPr>
            <w:r>
              <w:rPr>
                <w:lang w:val="en-US"/>
              </w:rPr>
              <w:t>External Communication</w:t>
            </w:r>
            <w:r w:rsidR="006724DE">
              <w:rPr>
                <w:lang w:val="en-US"/>
              </w:rPr>
              <w:t>s</w:t>
            </w:r>
            <w:r w:rsidR="004F1918" w:rsidRPr="00F31F7C">
              <w:rPr>
                <w:lang w:val="en-US"/>
              </w:rPr>
              <w:t xml:space="preserve"> </w:t>
            </w:r>
          </w:p>
          <w:p w:rsidR="004F1918" w:rsidRPr="00F31F7C" w:rsidRDefault="004F1918" w:rsidP="004F1918">
            <w:pPr>
              <w:pStyle w:val="M9"/>
              <w:framePr w:wrap="auto" w:vAnchor="margin" w:hAnchor="text" w:xAlign="left" w:yAlign="inline"/>
              <w:suppressOverlap w:val="0"/>
              <w:rPr>
                <w:lang w:val="en-US"/>
              </w:rPr>
            </w:pPr>
            <w:r w:rsidRPr="00F31F7C">
              <w:rPr>
                <w:lang w:val="en-US"/>
              </w:rPr>
              <w:t>Phone +49</w:t>
            </w:r>
            <w:r>
              <w:rPr>
                <w:lang w:val="en-US"/>
              </w:rPr>
              <w:t xml:space="preserve"> </w:t>
            </w:r>
            <w:r w:rsidR="009D71A1">
              <w:rPr>
                <w:lang w:val="en-US"/>
              </w:rPr>
              <w:t>201 177-3</w:t>
            </w:r>
            <w:r w:rsidR="005E338B">
              <w:rPr>
                <w:lang w:val="en-US"/>
              </w:rPr>
              <w:t>1</w:t>
            </w:r>
            <w:r w:rsidR="009D71A1">
              <w:rPr>
                <w:lang w:val="en-US"/>
              </w:rPr>
              <w:t>67</w:t>
            </w:r>
            <w:r w:rsidRPr="00F31F7C">
              <w:rPr>
                <w:lang w:val="en-US"/>
              </w:rPr>
              <w:t xml:space="preserve"> </w:t>
            </w:r>
          </w:p>
          <w:p w:rsidR="004F1918" w:rsidRDefault="009D71A1" w:rsidP="004F1918">
            <w:pPr>
              <w:pStyle w:val="M10"/>
              <w:framePr w:wrap="auto" w:vAnchor="margin" w:hAnchor="text" w:xAlign="left" w:yAlign="inline"/>
              <w:suppressOverlap w:val="0"/>
            </w:pPr>
            <w:r>
              <w:t>Alexandra.boy</w:t>
            </w:r>
            <w:r w:rsidR="004F1918">
              <w:t>@evonik.com</w:t>
            </w:r>
          </w:p>
          <w:p w:rsidR="004F1918" w:rsidRPr="00F31F7C" w:rsidRDefault="004F1918" w:rsidP="004F1918">
            <w:pPr>
              <w:pStyle w:val="M12"/>
              <w:framePr w:wrap="auto" w:vAnchor="margin" w:hAnchor="text" w:xAlign="left" w:yAlign="inline"/>
              <w:suppressOverlap w:val="0"/>
              <w:rPr>
                <w:lang w:val="en-US"/>
              </w:rPr>
            </w:pPr>
          </w:p>
        </w:tc>
      </w:tr>
    </w:tbl>
    <w:p w:rsidR="005C5615" w:rsidRPr="00822D50" w:rsidRDefault="005C5615" w:rsidP="00CA6F45">
      <w:pPr>
        <w:framePr w:w="2659" w:wrap="around" w:hAnchor="page" w:x="8971" w:yAlign="bottom" w:anchorLock="1"/>
        <w:spacing w:line="180" w:lineRule="exact"/>
        <w:rPr>
          <w:noProof/>
          <w:sz w:val="13"/>
          <w:szCs w:val="13"/>
          <w:lang w:val="de-DE"/>
        </w:rPr>
      </w:pPr>
      <w:r w:rsidRPr="00822D50">
        <w:rPr>
          <w:b/>
          <w:noProof/>
          <w:sz w:val="13"/>
          <w:szCs w:val="13"/>
          <w:lang w:val="de-DE"/>
        </w:rPr>
        <w:t>Evonik Industries AG</w:t>
      </w:r>
    </w:p>
    <w:p w:rsidR="005C5615" w:rsidRPr="00822D50" w:rsidRDefault="005C5615" w:rsidP="00CA6F45">
      <w:pPr>
        <w:framePr w:w="2659" w:wrap="around" w:hAnchor="page" w:x="8971" w:yAlign="bottom" w:anchorLock="1"/>
        <w:spacing w:line="180" w:lineRule="exact"/>
        <w:rPr>
          <w:noProof/>
          <w:sz w:val="13"/>
          <w:szCs w:val="13"/>
          <w:lang w:val="de-DE"/>
        </w:rPr>
      </w:pPr>
      <w:r w:rsidRPr="00822D50">
        <w:rPr>
          <w:noProof/>
          <w:sz w:val="13"/>
          <w:szCs w:val="13"/>
          <w:lang w:val="de-DE"/>
        </w:rPr>
        <w:t>Rellinghauser Straße 1-11</w:t>
      </w:r>
    </w:p>
    <w:p w:rsidR="005C5615" w:rsidRDefault="005C5615" w:rsidP="00CA6F45">
      <w:pPr>
        <w:framePr w:w="2659" w:wrap="around" w:hAnchor="page" w:x="8971" w:yAlign="bottom" w:anchorLock="1"/>
        <w:spacing w:line="180" w:lineRule="exact"/>
        <w:rPr>
          <w:noProof/>
          <w:sz w:val="13"/>
          <w:szCs w:val="13"/>
        </w:rPr>
      </w:pPr>
      <w:r>
        <w:rPr>
          <w:noProof/>
          <w:sz w:val="13"/>
          <w:szCs w:val="13"/>
        </w:rPr>
        <w:t>45128 Essen</w:t>
      </w:r>
    </w:p>
    <w:p w:rsidR="005C5615" w:rsidRDefault="005C5615" w:rsidP="00CA6F45">
      <w:pPr>
        <w:framePr w:w="2659" w:wrap="around" w:hAnchor="page" w:x="8971" w:yAlign="bottom" w:anchorLock="1"/>
        <w:spacing w:line="180" w:lineRule="exact"/>
        <w:rPr>
          <w:noProof/>
          <w:sz w:val="13"/>
          <w:szCs w:val="13"/>
        </w:rPr>
      </w:pPr>
      <w:r>
        <w:rPr>
          <w:noProof/>
          <w:sz w:val="13"/>
          <w:szCs w:val="13"/>
        </w:rPr>
        <w:t>Germany</w:t>
      </w:r>
    </w:p>
    <w:p w:rsidR="005C5615" w:rsidRDefault="005C5615" w:rsidP="00CA6F45">
      <w:pPr>
        <w:framePr w:w="2659" w:wrap="around" w:hAnchor="page" w:x="8971" w:yAlign="bottom" w:anchorLock="1"/>
        <w:spacing w:line="180" w:lineRule="exact"/>
        <w:rPr>
          <w:noProof/>
          <w:sz w:val="13"/>
          <w:szCs w:val="13"/>
        </w:rPr>
      </w:pPr>
      <w:r>
        <w:rPr>
          <w:noProof/>
          <w:sz w:val="13"/>
          <w:szCs w:val="13"/>
        </w:rPr>
        <w:t>Phone +49 201 177-01</w:t>
      </w:r>
    </w:p>
    <w:p w:rsidR="005C5615" w:rsidRDefault="005C5615" w:rsidP="00CA6F45">
      <w:pPr>
        <w:framePr w:w="2659" w:wrap="around" w:hAnchor="page" w:x="8971" w:yAlign="bottom" w:anchorLock="1"/>
        <w:spacing w:line="180" w:lineRule="exact"/>
        <w:rPr>
          <w:noProof/>
          <w:sz w:val="13"/>
          <w:szCs w:val="13"/>
        </w:rPr>
      </w:pPr>
      <w:r>
        <w:rPr>
          <w:noProof/>
          <w:sz w:val="13"/>
          <w:szCs w:val="13"/>
        </w:rPr>
        <w:t>Fax +49 201 177-3475</w:t>
      </w:r>
    </w:p>
    <w:p w:rsidR="005C5615" w:rsidRDefault="005C5615" w:rsidP="00CA6F45">
      <w:pPr>
        <w:framePr w:w="2659" w:wrap="around" w:hAnchor="page" w:x="8971" w:yAlign="bottom" w:anchorLock="1"/>
        <w:spacing w:line="180" w:lineRule="exact"/>
        <w:rPr>
          <w:noProof/>
          <w:sz w:val="13"/>
          <w:szCs w:val="13"/>
        </w:rPr>
      </w:pPr>
      <w:r>
        <w:rPr>
          <w:noProof/>
          <w:sz w:val="13"/>
          <w:szCs w:val="13"/>
        </w:rPr>
        <w:t>www.evonik.com</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b/>
          <w:noProof/>
          <w:sz w:val="13"/>
          <w:szCs w:val="13"/>
        </w:rPr>
        <w:t>Supervisory Board</w:t>
      </w:r>
    </w:p>
    <w:p w:rsidR="005C5615" w:rsidRDefault="005C5615" w:rsidP="00CA6F45">
      <w:pPr>
        <w:framePr w:w="2659" w:wrap="around" w:hAnchor="page" w:x="8971" w:yAlign="bottom" w:anchorLock="1"/>
        <w:spacing w:line="180" w:lineRule="exact"/>
        <w:rPr>
          <w:noProof/>
          <w:sz w:val="13"/>
          <w:szCs w:val="13"/>
        </w:rPr>
      </w:pPr>
      <w:r>
        <w:rPr>
          <w:noProof/>
          <w:sz w:val="13"/>
          <w:szCs w:val="13"/>
        </w:rPr>
        <w:t>Dr. Werner Müller, Chairman</w:t>
      </w:r>
    </w:p>
    <w:p w:rsidR="005C5615" w:rsidRDefault="005C5615" w:rsidP="00CA6F45">
      <w:pPr>
        <w:framePr w:w="2659" w:wrap="around" w:hAnchor="page" w:x="8971" w:yAlign="bottom" w:anchorLock="1"/>
        <w:spacing w:line="180" w:lineRule="exact"/>
        <w:rPr>
          <w:noProof/>
          <w:sz w:val="13"/>
          <w:szCs w:val="13"/>
        </w:rPr>
      </w:pPr>
      <w:r>
        <w:rPr>
          <w:b/>
          <w:noProof/>
          <w:sz w:val="13"/>
          <w:szCs w:val="13"/>
        </w:rPr>
        <w:t>Executive Board</w:t>
      </w:r>
    </w:p>
    <w:p w:rsidR="005C5615" w:rsidRDefault="005C5615" w:rsidP="00CA6F45">
      <w:pPr>
        <w:framePr w:w="2659" w:wrap="around" w:hAnchor="page" w:x="8971" w:yAlign="bottom" w:anchorLock="1"/>
        <w:spacing w:line="180" w:lineRule="exact"/>
        <w:rPr>
          <w:noProof/>
          <w:sz w:val="13"/>
          <w:szCs w:val="13"/>
        </w:rPr>
      </w:pPr>
      <w:r>
        <w:rPr>
          <w:noProof/>
          <w:sz w:val="13"/>
          <w:szCs w:val="13"/>
        </w:rPr>
        <w:t>Dr. Klaus Engel, Chairman</w:t>
      </w:r>
    </w:p>
    <w:p w:rsidR="005C5615" w:rsidRDefault="005C5615" w:rsidP="00CA6F45">
      <w:pPr>
        <w:framePr w:w="2659" w:wrap="around" w:hAnchor="page" w:x="8971" w:yAlign="bottom" w:anchorLock="1"/>
        <w:spacing w:line="180" w:lineRule="exact"/>
        <w:rPr>
          <w:noProof/>
          <w:sz w:val="13"/>
          <w:szCs w:val="13"/>
        </w:rPr>
      </w:pPr>
      <w:r>
        <w:rPr>
          <w:noProof/>
          <w:sz w:val="13"/>
          <w:szCs w:val="13"/>
        </w:rPr>
        <w:t>Christian Kullmann, Deputy Chairman</w:t>
      </w:r>
    </w:p>
    <w:p w:rsidR="005C5615" w:rsidRDefault="005C5615" w:rsidP="00CA6F45">
      <w:pPr>
        <w:framePr w:w="2659" w:wrap="around" w:hAnchor="page" w:x="8971" w:yAlign="bottom" w:anchorLock="1"/>
        <w:spacing w:line="180" w:lineRule="exact"/>
        <w:rPr>
          <w:noProof/>
          <w:sz w:val="13"/>
          <w:szCs w:val="13"/>
        </w:rPr>
      </w:pPr>
      <w:r>
        <w:rPr>
          <w:noProof/>
          <w:sz w:val="13"/>
          <w:szCs w:val="13"/>
        </w:rPr>
        <w:t>Dr. Ralph Sven Kaufmann</w:t>
      </w:r>
    </w:p>
    <w:p w:rsidR="005C5615" w:rsidRDefault="005C5615" w:rsidP="00CA6F45">
      <w:pPr>
        <w:framePr w:w="2659" w:wrap="around" w:hAnchor="page" w:x="8971" w:yAlign="bottom" w:anchorLock="1"/>
        <w:spacing w:line="180" w:lineRule="exact"/>
        <w:rPr>
          <w:noProof/>
          <w:sz w:val="13"/>
          <w:szCs w:val="13"/>
        </w:rPr>
      </w:pPr>
      <w:r>
        <w:rPr>
          <w:noProof/>
          <w:sz w:val="13"/>
          <w:szCs w:val="13"/>
        </w:rPr>
        <w:t>Thomas Wessel</w:t>
      </w:r>
    </w:p>
    <w:p w:rsidR="005C5615" w:rsidRDefault="005C5615" w:rsidP="00CA6F45">
      <w:pPr>
        <w:framePr w:w="2659" w:wrap="around" w:hAnchor="page" w:x="8971" w:yAlign="bottom" w:anchorLock="1"/>
        <w:spacing w:line="180" w:lineRule="exact"/>
        <w:rPr>
          <w:noProof/>
          <w:sz w:val="13"/>
          <w:szCs w:val="13"/>
        </w:rPr>
      </w:pPr>
      <w:r>
        <w:rPr>
          <w:noProof/>
          <w:sz w:val="13"/>
          <w:szCs w:val="13"/>
        </w:rPr>
        <w:t>Ute Wolf</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noProof/>
          <w:sz w:val="13"/>
          <w:szCs w:val="13"/>
        </w:rPr>
        <w:t>Registered Office is Essen</w:t>
      </w:r>
    </w:p>
    <w:p w:rsidR="005C5615" w:rsidRDefault="005C5615" w:rsidP="00CA6F45">
      <w:pPr>
        <w:framePr w:w="2659" w:wrap="around" w:hAnchor="page" w:x="8971" w:yAlign="bottom" w:anchorLock="1"/>
        <w:spacing w:line="180" w:lineRule="exact"/>
        <w:rPr>
          <w:noProof/>
          <w:sz w:val="13"/>
          <w:szCs w:val="13"/>
        </w:rPr>
      </w:pPr>
      <w:r>
        <w:rPr>
          <w:noProof/>
          <w:sz w:val="13"/>
          <w:szCs w:val="13"/>
        </w:rPr>
        <w:t>Register Court Essen Local Court</w:t>
      </w:r>
    </w:p>
    <w:p w:rsidR="008A2AE8" w:rsidRPr="005C5615" w:rsidRDefault="005C5615" w:rsidP="00CA6F45">
      <w:pPr>
        <w:framePr w:w="2659" w:wrap="around" w:hAnchor="page" w:x="8971" w:yAlign="bottom" w:anchorLock="1"/>
        <w:spacing w:line="180" w:lineRule="exact"/>
        <w:rPr>
          <w:noProof/>
          <w:sz w:val="13"/>
          <w:szCs w:val="13"/>
        </w:rPr>
      </w:pPr>
      <w:r>
        <w:rPr>
          <w:noProof/>
          <w:sz w:val="13"/>
          <w:szCs w:val="13"/>
        </w:rPr>
        <w:t>Commercial Registry B 19474</w:t>
      </w:r>
    </w:p>
    <w:p w:rsidR="003033AD" w:rsidRPr="00FB23ED" w:rsidRDefault="003033AD" w:rsidP="003033AD">
      <w:pPr>
        <w:rPr>
          <w:b/>
          <w:szCs w:val="18"/>
          <w:u w:val="single"/>
          <w:lang w:val="en-US"/>
        </w:rPr>
      </w:pPr>
      <w:r w:rsidRPr="00FB23ED">
        <w:rPr>
          <w:b/>
          <w:szCs w:val="18"/>
          <w:u w:val="single"/>
          <w:lang w:val="en-US"/>
        </w:rPr>
        <w:t xml:space="preserve">Embargoed until 7 a.m. on </w:t>
      </w:r>
      <w:r>
        <w:rPr>
          <w:b/>
          <w:szCs w:val="18"/>
          <w:u w:val="single"/>
          <w:lang w:val="en-US"/>
        </w:rPr>
        <w:t>November</w:t>
      </w:r>
      <w:r w:rsidRPr="00FB23ED">
        <w:rPr>
          <w:b/>
          <w:szCs w:val="18"/>
          <w:u w:val="single"/>
          <w:lang w:val="en-US"/>
        </w:rPr>
        <w:t xml:space="preserve"> </w:t>
      </w:r>
      <w:r>
        <w:rPr>
          <w:b/>
          <w:szCs w:val="18"/>
          <w:u w:val="single"/>
          <w:lang w:val="en-US"/>
        </w:rPr>
        <w:t>4</w:t>
      </w:r>
      <w:r w:rsidRPr="00FB23ED">
        <w:rPr>
          <w:b/>
          <w:szCs w:val="18"/>
          <w:u w:val="single"/>
          <w:lang w:val="en-US"/>
        </w:rPr>
        <w:t>, 2016</w:t>
      </w:r>
    </w:p>
    <w:p w:rsidR="003033AD" w:rsidRDefault="003033AD" w:rsidP="00822D50">
      <w:pPr>
        <w:rPr>
          <w:b/>
          <w:sz w:val="24"/>
          <w:lang w:val="en-US" w:eastAsia="en-US"/>
        </w:rPr>
      </w:pPr>
    </w:p>
    <w:p w:rsidR="003033AD" w:rsidRDefault="003033AD" w:rsidP="00822D50">
      <w:pPr>
        <w:rPr>
          <w:b/>
          <w:sz w:val="24"/>
          <w:lang w:val="en-US" w:eastAsia="en-US"/>
        </w:rPr>
      </w:pPr>
    </w:p>
    <w:p w:rsidR="003033AD" w:rsidRDefault="003033AD" w:rsidP="003033AD">
      <w:pPr>
        <w:rPr>
          <w:u w:val="single"/>
        </w:rPr>
      </w:pPr>
      <w:r>
        <w:rPr>
          <w:u w:val="single"/>
        </w:rPr>
        <w:t>Key Financial Data:</w:t>
      </w:r>
    </w:p>
    <w:p w:rsidR="003033AD" w:rsidRDefault="009A1627" w:rsidP="003033AD">
      <w:pPr>
        <w:rPr>
          <w:u w:val="single"/>
        </w:rPr>
      </w:pPr>
      <w:r>
        <w:rPr>
          <w:u w:val="single"/>
        </w:rPr>
        <w:t>January 1 – September 30, 2016</w:t>
      </w:r>
      <w:r w:rsidR="001E0C21">
        <w:rPr>
          <w:u w:val="single"/>
        </w:rPr>
        <w:t xml:space="preserve"> </w:t>
      </w:r>
      <w:r w:rsidR="003033AD">
        <w:rPr>
          <w:u w:val="single"/>
        </w:rPr>
        <w:t>/</w:t>
      </w:r>
      <w:r w:rsidR="001E0C21">
        <w:rPr>
          <w:u w:val="single"/>
        </w:rPr>
        <w:t xml:space="preserve"> </w:t>
      </w:r>
      <w:bookmarkStart w:id="0" w:name="_GoBack"/>
      <w:bookmarkEnd w:id="0"/>
      <w:r w:rsidR="003033AD">
        <w:rPr>
          <w:u w:val="single"/>
        </w:rPr>
        <w:t>third quarter 2016</w:t>
      </w:r>
    </w:p>
    <w:p w:rsidR="003033AD" w:rsidRPr="003033AD" w:rsidRDefault="003033AD" w:rsidP="00822D50">
      <w:pPr>
        <w:rPr>
          <w:b/>
          <w:sz w:val="24"/>
          <w:lang w:eastAsia="en-US"/>
        </w:rPr>
      </w:pPr>
    </w:p>
    <w:p w:rsidR="003033AD" w:rsidRDefault="003033AD" w:rsidP="00822D50">
      <w:pPr>
        <w:rPr>
          <w:b/>
          <w:sz w:val="24"/>
          <w:lang w:val="en-US" w:eastAsia="en-US"/>
        </w:rPr>
      </w:pPr>
    </w:p>
    <w:p w:rsidR="00822D50" w:rsidRPr="009535CD" w:rsidRDefault="00822D50" w:rsidP="00822D50">
      <w:pPr>
        <w:rPr>
          <w:rFonts w:cs="Lucida Sans Unicode"/>
          <w:b/>
        </w:rPr>
      </w:pPr>
      <w:r>
        <w:rPr>
          <w:b/>
          <w:sz w:val="24"/>
          <w:lang w:val="en-US" w:eastAsia="en-US"/>
        </w:rPr>
        <w:t xml:space="preserve">Third good quarter in </w:t>
      </w:r>
      <w:r w:rsidR="00885F22">
        <w:rPr>
          <w:b/>
          <w:sz w:val="24"/>
          <w:lang w:val="en-US" w:eastAsia="en-US"/>
        </w:rPr>
        <w:t xml:space="preserve">a row </w:t>
      </w:r>
      <w:r>
        <w:rPr>
          <w:b/>
          <w:sz w:val="24"/>
          <w:lang w:val="en-US" w:eastAsia="en-US"/>
        </w:rPr>
        <w:t>—</w:t>
      </w:r>
      <w:r w:rsidR="00885F22">
        <w:rPr>
          <w:b/>
          <w:sz w:val="24"/>
          <w:lang w:val="en-US" w:eastAsia="en-US"/>
        </w:rPr>
        <w:t xml:space="preserve"> </w:t>
      </w:r>
      <w:r>
        <w:rPr>
          <w:b/>
          <w:sz w:val="24"/>
          <w:lang w:val="en-US" w:eastAsia="en-US"/>
        </w:rPr>
        <w:t>Outlook confirmed</w:t>
      </w:r>
    </w:p>
    <w:p w:rsidR="00822D50" w:rsidRPr="009535CD" w:rsidRDefault="00822D50" w:rsidP="00822D50">
      <w:pPr>
        <w:rPr>
          <w:rFonts w:cs="Lucida Sans Unicode"/>
          <w:b/>
        </w:rPr>
      </w:pPr>
    </w:p>
    <w:p w:rsidR="00822D50" w:rsidRPr="009535CD" w:rsidRDefault="00822D50" w:rsidP="00822D50">
      <w:pPr>
        <w:keepNext/>
        <w:numPr>
          <w:ilvl w:val="0"/>
          <w:numId w:val="14"/>
        </w:numPr>
        <w:spacing w:after="120"/>
        <w:outlineLvl w:val="0"/>
        <w:rPr>
          <w:rFonts w:cs="Arial"/>
          <w:bCs/>
          <w:kern w:val="32"/>
          <w:szCs w:val="32"/>
        </w:rPr>
      </w:pPr>
      <w:r>
        <w:rPr>
          <w:kern w:val="32"/>
          <w:lang w:val="en-US" w:eastAsia="en-US"/>
        </w:rPr>
        <w:t>Volume growth continued in the third quarter</w:t>
      </w:r>
    </w:p>
    <w:p w:rsidR="00822D50" w:rsidRPr="009535CD" w:rsidRDefault="00822D50" w:rsidP="00822D50">
      <w:pPr>
        <w:keepNext/>
        <w:numPr>
          <w:ilvl w:val="0"/>
          <w:numId w:val="14"/>
        </w:numPr>
        <w:spacing w:after="120"/>
        <w:outlineLvl w:val="0"/>
        <w:rPr>
          <w:rFonts w:cs="Arial"/>
          <w:bCs/>
          <w:kern w:val="32"/>
          <w:szCs w:val="32"/>
        </w:rPr>
      </w:pPr>
      <w:r>
        <w:rPr>
          <w:kern w:val="32"/>
          <w:lang w:val="en-US" w:eastAsia="en-US"/>
        </w:rPr>
        <w:t>Adjusted EBITDA margin</w:t>
      </w:r>
      <w:r>
        <w:rPr>
          <w:b/>
          <w:kern w:val="32"/>
          <w:lang w:val="en-US" w:eastAsia="en-US"/>
        </w:rPr>
        <w:t xml:space="preserve"> </w:t>
      </w:r>
      <w:r>
        <w:rPr>
          <w:kern w:val="32"/>
          <w:lang w:val="en-US" w:eastAsia="en-US"/>
        </w:rPr>
        <w:t xml:space="preserve">at a very good level of 18.1 percent </w:t>
      </w:r>
      <w:r>
        <w:rPr>
          <w:kern w:val="32"/>
          <w:lang w:val="en-US" w:eastAsia="en-US"/>
        </w:rPr>
        <w:br/>
        <w:t>in the first nine months</w:t>
      </w:r>
    </w:p>
    <w:p w:rsidR="00822D50" w:rsidRPr="009535CD" w:rsidRDefault="00822D50" w:rsidP="00822D50">
      <w:pPr>
        <w:keepNext/>
        <w:numPr>
          <w:ilvl w:val="0"/>
          <w:numId w:val="14"/>
        </w:numPr>
        <w:spacing w:after="120"/>
        <w:outlineLvl w:val="0"/>
        <w:rPr>
          <w:rFonts w:cs="Arial"/>
          <w:bCs/>
          <w:kern w:val="32"/>
          <w:szCs w:val="32"/>
        </w:rPr>
      </w:pPr>
      <w:r>
        <w:rPr>
          <w:kern w:val="32"/>
          <w:lang w:val="en-US" w:eastAsia="en-US"/>
        </w:rPr>
        <w:t>Financing of the planned acquisition of Air Products’ specialty and coating additives business secured at an average interest rate of 0.35 percent</w:t>
      </w:r>
    </w:p>
    <w:p w:rsidR="00822D50" w:rsidRPr="00601715" w:rsidRDefault="00822D50" w:rsidP="00822D50">
      <w:pPr>
        <w:keepNext/>
        <w:numPr>
          <w:ilvl w:val="0"/>
          <w:numId w:val="14"/>
        </w:numPr>
        <w:spacing w:after="120"/>
        <w:outlineLvl w:val="0"/>
        <w:rPr>
          <w:rFonts w:cs="Arial"/>
          <w:bCs/>
          <w:kern w:val="32"/>
          <w:szCs w:val="32"/>
        </w:rPr>
      </w:pPr>
      <w:r>
        <w:rPr>
          <w:kern w:val="32"/>
          <w:lang w:val="en-US" w:eastAsia="en-US"/>
        </w:rPr>
        <w:t>Outlook for FY 2016 confirmed</w:t>
      </w:r>
    </w:p>
    <w:p w:rsidR="004F1918" w:rsidRDefault="004F1918" w:rsidP="00CD1EE7"/>
    <w:p w:rsidR="00822D50" w:rsidRPr="009535CD" w:rsidRDefault="00822D50" w:rsidP="00822D50">
      <w:pPr>
        <w:ind w:right="-87"/>
        <w:rPr>
          <w:rFonts w:cs="Lucida Sans Unicode"/>
        </w:rPr>
      </w:pPr>
      <w:r>
        <w:rPr>
          <w:lang w:val="en-US" w:eastAsia="en-US"/>
        </w:rPr>
        <w:t xml:space="preserve">Essen. “In the third quarter of 2016 Evonik continued the volume growth seen in the first six months, despite the weak global economic conditions,” reported Klaus Engel, Chairman of the Executive Board of Evonik Industries. “Based on this, we are confirming our outlook for the full year.” </w:t>
      </w:r>
    </w:p>
    <w:p w:rsidR="00822D50" w:rsidRPr="009535CD" w:rsidRDefault="00822D50" w:rsidP="00822D50">
      <w:pPr>
        <w:rPr>
          <w:rFonts w:cs="Lucida Sans Unicode"/>
          <w:szCs w:val="22"/>
        </w:rPr>
      </w:pPr>
    </w:p>
    <w:p w:rsidR="00822D50" w:rsidRPr="009535CD" w:rsidRDefault="00822D50" w:rsidP="00822D50">
      <w:pPr>
        <w:rPr>
          <w:rFonts w:cs="Lucida Sans Unicode"/>
        </w:rPr>
      </w:pPr>
      <w:r>
        <w:rPr>
          <w:lang w:val="en-US" w:eastAsia="en-US"/>
        </w:rPr>
        <w:t xml:space="preserve">In the first nine months of this year, </w:t>
      </w:r>
      <w:r>
        <w:rPr>
          <w:b/>
          <w:lang w:val="en-US" w:eastAsia="en-US"/>
        </w:rPr>
        <w:t>Group sales</w:t>
      </w:r>
      <w:r>
        <w:rPr>
          <w:lang w:val="en-US" w:eastAsia="en-US"/>
        </w:rPr>
        <w:t xml:space="preserve"> declined 8 percent year-on-year to €9,527 million. This was mainly due </w:t>
      </w:r>
      <w:r>
        <w:rPr>
          <w:lang w:val="en-US" w:eastAsia="en-US"/>
        </w:rPr>
        <w:br/>
        <w:t xml:space="preserve">to lower selling prices. At the same time, volume sales rose by 2 percent. </w:t>
      </w:r>
      <w:r>
        <w:rPr>
          <w:b/>
          <w:lang w:val="en-US" w:eastAsia="en-US"/>
        </w:rPr>
        <w:t>Adjusted EBITDA</w:t>
      </w:r>
      <w:r>
        <w:rPr>
          <w:rFonts w:ascii="Times New Roman" w:hAnsi="Times New Roman"/>
          <w:sz w:val="24"/>
          <w:lang w:val="en-US" w:eastAsia="en-US"/>
        </w:rPr>
        <w:t xml:space="preserve"> </w:t>
      </w:r>
      <w:r>
        <w:rPr>
          <w:lang w:val="en-US" w:eastAsia="en-US"/>
        </w:rPr>
        <w:t xml:space="preserve">was 12 percent below the very high prior-year level at €1,728 million. The </w:t>
      </w:r>
      <w:r>
        <w:rPr>
          <w:b/>
          <w:lang w:val="en-US" w:eastAsia="en-US"/>
        </w:rPr>
        <w:t>adjusted EBITDA margin</w:t>
      </w:r>
      <w:r>
        <w:rPr>
          <w:lang w:val="en-US" w:eastAsia="en-US"/>
        </w:rPr>
        <w:t xml:space="preserve"> was very good at 18.1 percent. </w:t>
      </w:r>
    </w:p>
    <w:p w:rsidR="00822D50" w:rsidRPr="009535CD" w:rsidRDefault="00822D50" w:rsidP="00822D50">
      <w:pPr>
        <w:rPr>
          <w:rFonts w:cs="Lucida Sans Unicode"/>
          <w:szCs w:val="22"/>
        </w:rPr>
      </w:pPr>
    </w:p>
    <w:p w:rsidR="00822D50" w:rsidRPr="009535CD" w:rsidRDefault="00822D50" w:rsidP="00822D50">
      <w:pPr>
        <w:rPr>
          <w:rFonts w:cs="Lucida Sans Unicode"/>
        </w:rPr>
      </w:pPr>
      <w:r>
        <w:rPr>
          <w:b/>
          <w:lang w:val="en-US" w:eastAsia="en-US"/>
        </w:rPr>
        <w:t>Adjusted EBIT</w:t>
      </w:r>
      <w:r>
        <w:rPr>
          <w:lang w:val="en-US" w:eastAsia="en-US"/>
        </w:rPr>
        <w:t xml:space="preserve"> shrank by 18 percent to €1,191 million. </w:t>
      </w:r>
      <w:r>
        <w:rPr>
          <w:b/>
          <w:lang w:val="en-US" w:eastAsia="en-US"/>
        </w:rPr>
        <w:t>Adjusted net income</w:t>
      </w:r>
      <w:r>
        <w:rPr>
          <w:lang w:val="en-US" w:eastAsia="en-US"/>
        </w:rPr>
        <w:t xml:space="preserve"> declined 19 percent to €501 million. </w:t>
      </w:r>
      <w:r>
        <w:rPr>
          <w:b/>
          <w:lang w:val="en-US" w:eastAsia="en-US"/>
        </w:rPr>
        <w:t>Net income</w:t>
      </w:r>
      <w:r>
        <w:rPr>
          <w:lang w:val="en-US" w:eastAsia="en-US"/>
        </w:rPr>
        <w:t xml:space="preserve"> was €628 million, down 27 percent from the high prior-year level, which contained the proceeds from the divestment of the stake in Vivawest.</w:t>
      </w:r>
    </w:p>
    <w:p w:rsidR="00822D50" w:rsidRPr="009535CD" w:rsidRDefault="00822D50" w:rsidP="00822D50">
      <w:pPr>
        <w:rPr>
          <w:rFonts w:cs="Lucida Sans Unicode"/>
          <w:szCs w:val="22"/>
        </w:rPr>
      </w:pPr>
    </w:p>
    <w:p w:rsidR="00822D50" w:rsidRPr="009535CD" w:rsidRDefault="00822D50" w:rsidP="00822D50">
      <w:pPr>
        <w:rPr>
          <w:rFonts w:cs="Lucida Sans Unicode"/>
          <w:szCs w:val="22"/>
        </w:rPr>
      </w:pPr>
      <w:r>
        <w:rPr>
          <w:lang w:val="en-US" w:eastAsia="en-US"/>
        </w:rPr>
        <w:t xml:space="preserve">Evonik generated a clearly positive </w:t>
      </w:r>
      <w:r>
        <w:rPr>
          <w:b/>
          <w:lang w:val="en-US" w:eastAsia="en-US"/>
        </w:rPr>
        <w:t>free cash flow</w:t>
      </w:r>
      <w:r>
        <w:rPr>
          <w:lang w:val="en-US" w:eastAsia="en-US"/>
        </w:rPr>
        <w:t xml:space="preserve"> of €488 million in the first nine months of 2016. This was partly due to a reduction in net working capital, while </w:t>
      </w:r>
      <w:r>
        <w:rPr>
          <w:b/>
          <w:lang w:val="en-US" w:eastAsia="en-US"/>
        </w:rPr>
        <w:t>capital expenditures</w:t>
      </w:r>
      <w:r>
        <w:rPr>
          <w:lang w:val="en-US" w:eastAsia="en-US"/>
        </w:rPr>
        <w:t xml:space="preserve"> for </w:t>
      </w:r>
      <w:r>
        <w:rPr>
          <w:lang w:val="en-US" w:eastAsia="en-US"/>
        </w:rPr>
        <w:lastRenderedPageBreak/>
        <w:t xml:space="preserve">property, plant and equipment were around the prior-year level at €589 million. </w:t>
      </w:r>
    </w:p>
    <w:p w:rsidR="00822D50" w:rsidRPr="009535CD" w:rsidRDefault="00822D50" w:rsidP="00822D50">
      <w:pPr>
        <w:rPr>
          <w:rFonts w:cs="Lucida Sans Unicode"/>
          <w:szCs w:val="22"/>
        </w:rPr>
      </w:pPr>
    </w:p>
    <w:p w:rsidR="00822D50" w:rsidRPr="009535CD" w:rsidRDefault="00822D50" w:rsidP="00822D50">
      <w:pPr>
        <w:rPr>
          <w:rFonts w:cs="Lucida Sans Unicode"/>
          <w:b/>
        </w:rPr>
      </w:pPr>
      <w:r>
        <w:rPr>
          <w:b/>
          <w:lang w:val="en-US" w:eastAsia="en-US"/>
        </w:rPr>
        <w:t>Outlook</w:t>
      </w:r>
    </w:p>
    <w:p w:rsidR="00822D50" w:rsidRPr="009535CD" w:rsidRDefault="00822D50" w:rsidP="00822D50">
      <w:pPr>
        <w:rPr>
          <w:rFonts w:cs="Lucida Sans Unicode"/>
          <w:b/>
          <w:szCs w:val="22"/>
        </w:rPr>
      </w:pPr>
    </w:p>
    <w:p w:rsidR="00822D50" w:rsidRDefault="00822D50" w:rsidP="00822D50">
      <w:pPr>
        <w:rPr>
          <w:lang w:val="en-US" w:eastAsia="en-US"/>
        </w:rPr>
      </w:pPr>
      <w:r>
        <w:rPr>
          <w:lang w:val="en-US" w:eastAsia="en-US"/>
        </w:rPr>
        <w:t xml:space="preserve">Evonik still expects sales for the full year to be slightly below the €13.5 billion reported in the previous year. Thanks to its strong market positions, balanced portfolio and concentration on high-growth businesses, the company assumes there will be continued high demand for its products and appreciable volume growth despite the difficult macro-economic conditions. The new production capacities taken into service in recent years and further intensification of sales activities are contributing to this. Selling prices are declining considerably, especially in the Nutrition &amp; Care and Performance Materials segments, leading to the forecast slight reduction in sales. </w:t>
      </w:r>
    </w:p>
    <w:p w:rsidR="009D71A1" w:rsidRPr="009535CD" w:rsidRDefault="009D71A1" w:rsidP="00822D50">
      <w:pPr>
        <w:rPr>
          <w:rFonts w:cs="Lucida Sans Unicode"/>
          <w:szCs w:val="22"/>
        </w:rPr>
      </w:pPr>
    </w:p>
    <w:p w:rsidR="00822D50" w:rsidRPr="009535CD" w:rsidRDefault="00822D50" w:rsidP="00822D50">
      <w:pPr>
        <w:rPr>
          <w:rFonts w:cs="Lucida Sans Unicode"/>
          <w:szCs w:val="22"/>
        </w:rPr>
      </w:pPr>
      <w:r>
        <w:rPr>
          <w:lang w:val="en-US" w:eastAsia="en-US"/>
        </w:rPr>
        <w:t>Evonik is confirming the outlook for adjusted EBITDA specified at the end of the first six months: The company is confident that it can realize adjusted EBITDA in the upper half of the anticipated range of €2.0 billion to €2.2 billion.</w:t>
      </w:r>
    </w:p>
    <w:p w:rsidR="00822D50" w:rsidRPr="009535CD" w:rsidRDefault="00822D50" w:rsidP="00822D50">
      <w:pPr>
        <w:rPr>
          <w:rFonts w:cs="Lucida Sans Unicode"/>
          <w:b/>
          <w:szCs w:val="22"/>
        </w:rPr>
      </w:pPr>
    </w:p>
    <w:p w:rsidR="00822D50" w:rsidRPr="009535CD" w:rsidRDefault="00822D50" w:rsidP="00822D50">
      <w:pPr>
        <w:rPr>
          <w:rFonts w:cs="Lucida Sans Unicode"/>
          <w:b/>
        </w:rPr>
      </w:pPr>
      <w:r>
        <w:rPr>
          <w:b/>
          <w:lang w:val="en-US" w:eastAsia="en-US"/>
        </w:rPr>
        <w:t>Performance in Q3</w:t>
      </w:r>
    </w:p>
    <w:p w:rsidR="00822D50" w:rsidRPr="009535CD" w:rsidRDefault="00822D50" w:rsidP="00822D50">
      <w:pPr>
        <w:rPr>
          <w:rFonts w:cs="Lucida Sans Unicode"/>
          <w:b/>
          <w:szCs w:val="22"/>
        </w:rPr>
      </w:pPr>
    </w:p>
    <w:p w:rsidR="00822D50" w:rsidRPr="009535CD" w:rsidRDefault="00822D50" w:rsidP="00822D50">
      <w:pPr>
        <w:rPr>
          <w:rFonts w:cs="Lucida Sans Unicode"/>
          <w:szCs w:val="22"/>
        </w:rPr>
      </w:pPr>
      <w:r>
        <w:rPr>
          <w:lang w:val="en-US" w:eastAsia="en-US"/>
        </w:rPr>
        <w:t xml:space="preserve">The positive volume trend continued in the third quarter of 2016, with good demand for Evonik's products worldwide. Selling prices declined further, partly because lower raw material prices were passed on to customers. The Group posted a drop of 6 percent in </w:t>
      </w:r>
      <w:r>
        <w:rPr>
          <w:b/>
          <w:lang w:val="en-US" w:eastAsia="en-US"/>
        </w:rPr>
        <w:t>sales</w:t>
      </w:r>
      <w:r>
        <w:rPr>
          <w:lang w:val="en-US" w:eastAsia="en-US"/>
        </w:rPr>
        <w:t xml:space="preserve"> to €3,164 million. </w:t>
      </w:r>
      <w:r>
        <w:rPr>
          <w:b/>
          <w:lang w:val="en-US" w:eastAsia="en-US"/>
        </w:rPr>
        <w:t>Adjusted EBITDA</w:t>
      </w:r>
      <w:r>
        <w:rPr>
          <w:lang w:val="en-US" w:eastAsia="en-US"/>
        </w:rPr>
        <w:t xml:space="preserve"> was €578 million, 11 percent lower than in the exceptionally strong prior-year quarter. The </w:t>
      </w:r>
      <w:r>
        <w:rPr>
          <w:b/>
          <w:lang w:val="en-US" w:eastAsia="en-US"/>
        </w:rPr>
        <w:t>adjusted EBITDA margin</w:t>
      </w:r>
      <w:r>
        <w:rPr>
          <w:lang w:val="en-US" w:eastAsia="en-US"/>
        </w:rPr>
        <w:t xml:space="preserve"> was very good at 18.3 percent. </w:t>
      </w:r>
      <w:r>
        <w:rPr>
          <w:b/>
          <w:lang w:val="en-US" w:eastAsia="en-US"/>
        </w:rPr>
        <w:t xml:space="preserve">Adjusted EBIT </w:t>
      </w:r>
      <w:r>
        <w:rPr>
          <w:lang w:val="en-US" w:eastAsia="en-US"/>
        </w:rPr>
        <w:t xml:space="preserve">declined 16 percent to €396 million. </w:t>
      </w:r>
      <w:r>
        <w:rPr>
          <w:b/>
          <w:lang w:val="en-US" w:eastAsia="en-US"/>
        </w:rPr>
        <w:t>Adjusted net income</w:t>
      </w:r>
      <w:r>
        <w:rPr>
          <w:lang w:val="en-US" w:eastAsia="en-US"/>
        </w:rPr>
        <w:t xml:space="preserve"> declined 17 percent to €247 million. </w:t>
      </w:r>
      <w:r>
        <w:rPr>
          <w:b/>
          <w:lang w:val="en-US" w:eastAsia="en-US"/>
        </w:rPr>
        <w:t>Net income</w:t>
      </w:r>
      <w:r>
        <w:rPr>
          <w:lang w:val="en-US" w:eastAsia="en-US"/>
        </w:rPr>
        <w:t xml:space="preserve"> increased 19 percent to €223 million as a result of the reduced impact of one-off factors.</w:t>
      </w:r>
    </w:p>
    <w:p w:rsidR="00822D50" w:rsidRPr="009535CD" w:rsidRDefault="00822D50" w:rsidP="00822D50">
      <w:pPr>
        <w:rPr>
          <w:rFonts w:cs="Lucida Sans Unicode"/>
          <w:szCs w:val="22"/>
        </w:rPr>
      </w:pPr>
    </w:p>
    <w:p w:rsidR="00822D50" w:rsidRPr="009535CD" w:rsidRDefault="00822D50" w:rsidP="00822D50">
      <w:pPr>
        <w:rPr>
          <w:rFonts w:cs="Lucida Sans Unicode"/>
          <w:b/>
        </w:rPr>
      </w:pPr>
      <w:r>
        <w:rPr>
          <w:b/>
          <w:lang w:val="en-US" w:eastAsia="en-US"/>
        </w:rPr>
        <w:t>Acquisition of Air Products’ Performance Materials Division</w:t>
      </w:r>
    </w:p>
    <w:p w:rsidR="00822D50" w:rsidRPr="009535CD" w:rsidRDefault="00822D50" w:rsidP="00822D50">
      <w:pPr>
        <w:rPr>
          <w:rFonts w:cs="Lucida Sans Unicode"/>
          <w:b/>
          <w:szCs w:val="22"/>
        </w:rPr>
      </w:pPr>
    </w:p>
    <w:p w:rsidR="00822D50" w:rsidRPr="009535CD" w:rsidRDefault="00822D50" w:rsidP="00822D50">
      <w:pPr>
        <w:rPr>
          <w:rFonts w:cs="Lucida Sans Unicode"/>
          <w:szCs w:val="22"/>
        </w:rPr>
      </w:pPr>
      <w:r>
        <w:rPr>
          <w:lang w:val="en-US" w:eastAsia="en-US"/>
        </w:rPr>
        <w:t xml:space="preserve">In September 2016 Evonik successfully placed bonds with a nominal value of €1.9 billion and an average interest rate of </w:t>
      </w:r>
      <w:r>
        <w:rPr>
          <w:lang w:val="en-US" w:eastAsia="en-US"/>
        </w:rPr>
        <w:lastRenderedPageBreak/>
        <w:t>0.35 percent on the capital market via its subsidiary Evonik Finance B.V. The proceeds will be used to finance the planned acquisition of Air Products’ specialty and coating additives business. The responsible antitrust authorities in the USA, Germany and most European countries have already approved the transaction, which is expected to be closed by the end of the year.</w:t>
      </w:r>
    </w:p>
    <w:p w:rsidR="00822D50" w:rsidRPr="009535CD" w:rsidRDefault="00822D50" w:rsidP="00822D50">
      <w:pPr>
        <w:rPr>
          <w:rFonts w:cs="Lucida Sans Unicode"/>
          <w:szCs w:val="22"/>
        </w:rPr>
      </w:pPr>
    </w:p>
    <w:p w:rsidR="00822D50" w:rsidRPr="009535CD" w:rsidRDefault="00822D50" w:rsidP="00822D50">
      <w:pPr>
        <w:rPr>
          <w:rFonts w:cs="Lucida Sans Unicode"/>
          <w:b/>
        </w:rPr>
      </w:pPr>
      <w:r>
        <w:rPr>
          <w:b/>
          <w:lang w:val="en-US" w:eastAsia="en-US"/>
        </w:rPr>
        <w:t>Details of segment performance</w:t>
      </w:r>
    </w:p>
    <w:p w:rsidR="00822D50" w:rsidRPr="009535CD" w:rsidRDefault="00822D50" w:rsidP="00822D50">
      <w:pPr>
        <w:rPr>
          <w:rFonts w:cs="Lucida Sans Unicode"/>
          <w:b/>
          <w:szCs w:val="22"/>
        </w:rPr>
      </w:pPr>
    </w:p>
    <w:p w:rsidR="00822D50" w:rsidRPr="009535CD" w:rsidRDefault="00822D50" w:rsidP="00822D50">
      <w:pPr>
        <w:rPr>
          <w:rFonts w:cs="Lucida Sans Unicode"/>
          <w:szCs w:val="22"/>
        </w:rPr>
      </w:pPr>
      <w:r>
        <w:rPr>
          <w:lang w:val="en-US" w:eastAsia="en-US"/>
        </w:rPr>
        <w:t xml:space="preserve">In the </w:t>
      </w:r>
      <w:r>
        <w:rPr>
          <w:b/>
          <w:lang w:val="en-US" w:eastAsia="en-US"/>
        </w:rPr>
        <w:t>Nutrition &amp; Care</w:t>
      </w:r>
      <w:r>
        <w:rPr>
          <w:lang w:val="en-US" w:eastAsia="en-US"/>
        </w:rPr>
        <w:t xml:space="preserve"> segment sales declined 14 percent to €1,066 million in the </w:t>
      </w:r>
      <w:r>
        <w:rPr>
          <w:b/>
          <w:lang w:val="en-US" w:eastAsia="en-US"/>
        </w:rPr>
        <w:t>third quarter</w:t>
      </w:r>
      <w:r>
        <w:rPr>
          <w:lang w:val="en-US" w:eastAsia="en-US"/>
        </w:rPr>
        <w:t xml:space="preserve"> of 2016. Since volumes were stable compared with the strong prior-year period, this was mainly attributable to lower selling prices. Adjusted EBITDA was €239 million, which was below the very high prior-year level of €382 million, mainly on price grounds. The adjusted EBITDA margin</w:t>
      </w:r>
      <w:r>
        <w:rPr>
          <w:b/>
          <w:lang w:val="en-US" w:eastAsia="en-US"/>
        </w:rPr>
        <w:t xml:space="preserve"> </w:t>
      </w:r>
      <w:r>
        <w:rPr>
          <w:lang w:val="en-US" w:eastAsia="en-US"/>
        </w:rPr>
        <w:t xml:space="preserve">dropped to 22.4 percent. In the </w:t>
      </w:r>
      <w:r>
        <w:rPr>
          <w:b/>
          <w:lang w:val="en-US" w:eastAsia="en-US"/>
        </w:rPr>
        <w:t>first nine months of 2016</w:t>
      </w:r>
      <w:r>
        <w:rPr>
          <w:lang w:val="en-US" w:eastAsia="en-US"/>
        </w:rPr>
        <w:t xml:space="preserve"> sales in the Nutrition &amp; Care segment fell by 13 percent to €3,223 million. Since volumes were virtually unchanged, the decline was attributable to considerably lower selling prices. Adjusted EBITDA was 29 percent below the very strong prior-year level at €796 million. The adjusted EBITDA margin remains very good at 24.7 percent.</w:t>
      </w:r>
    </w:p>
    <w:p w:rsidR="00822D50" w:rsidRPr="009535CD" w:rsidRDefault="00822D50" w:rsidP="00822D50">
      <w:pPr>
        <w:rPr>
          <w:rFonts w:cs="Lucida Sans Unicode"/>
          <w:szCs w:val="22"/>
        </w:rPr>
      </w:pPr>
    </w:p>
    <w:p w:rsidR="00822D50" w:rsidRPr="009535CD" w:rsidRDefault="00822D50" w:rsidP="00822D50">
      <w:pPr>
        <w:rPr>
          <w:rFonts w:cs="Lucida Sans Unicode"/>
          <w:szCs w:val="22"/>
        </w:rPr>
      </w:pPr>
      <w:r>
        <w:rPr>
          <w:lang w:val="en-US" w:eastAsia="en-US"/>
        </w:rPr>
        <w:t xml:space="preserve">The </w:t>
      </w:r>
      <w:r>
        <w:rPr>
          <w:b/>
          <w:lang w:val="en-US" w:eastAsia="en-US"/>
        </w:rPr>
        <w:t>Resource Efficiency</w:t>
      </w:r>
      <w:r>
        <w:rPr>
          <w:lang w:val="en-US" w:eastAsia="en-US"/>
        </w:rPr>
        <w:t xml:space="preserve"> segment continued its successful business performance in the </w:t>
      </w:r>
      <w:r>
        <w:rPr>
          <w:b/>
          <w:lang w:val="en-US" w:eastAsia="en-US"/>
        </w:rPr>
        <w:t>third quarter of 2016</w:t>
      </w:r>
      <w:r>
        <w:rPr>
          <w:lang w:val="en-US" w:eastAsia="en-US"/>
        </w:rPr>
        <w:t>. Sales rose 7 percent to €1,117 million</w:t>
      </w:r>
      <w:r w:rsidRPr="009535CD">
        <w:fldChar w:fldCharType="begin"/>
      </w:r>
      <w:r w:rsidRPr="009535CD">
        <w:instrText xml:space="preserve"> DOCVARIABLE WORDVALUE-886fbb9a-30ab-4951-a72e-95cdb6a4774a \* MERGEFORMAT </w:instrText>
      </w:r>
      <w:r w:rsidRPr="009535CD">
        <w:fldChar w:fldCharType="end"/>
      </w:r>
      <w:r>
        <w:rPr>
          <w:lang w:val="en-US" w:eastAsia="en-US"/>
        </w:rPr>
        <w:t>, driven principally by clear volume growth. Selling prices slipped slightly, mainly because lower raw material costs were passed on to customers. Adjusted EBITDA improved 21 percent to €262 million, mainly as a consequence of higher volumes and favorable raw material costs</w:t>
      </w:r>
      <w:r w:rsidRPr="009535CD">
        <w:fldChar w:fldCharType="begin"/>
      </w:r>
      <w:r w:rsidRPr="009535CD">
        <w:instrText xml:space="preserve"> DOCVARIABLE WORDVALUE-1eb275d6-710c-4f2a-b2ac-41e8b5d16b54 \* MERGEFORMAT </w:instrText>
      </w:r>
      <w:r w:rsidRPr="009535CD">
        <w:fldChar w:fldCharType="end"/>
      </w:r>
      <w:r>
        <w:rPr>
          <w:lang w:val="en-US" w:eastAsia="en-US"/>
        </w:rPr>
        <w:t xml:space="preserve">. The adjusted EBITDA margin improved to a very good 23.5 percent. In the </w:t>
      </w:r>
      <w:r>
        <w:rPr>
          <w:b/>
          <w:lang w:val="en-US" w:eastAsia="en-US"/>
        </w:rPr>
        <w:t>first nine months</w:t>
      </w:r>
      <w:r>
        <w:rPr>
          <w:lang w:val="en-US" w:eastAsia="en-US"/>
        </w:rPr>
        <w:t xml:space="preserve"> of the year, sales in the Resource Efficiency segment increased 3 percent to €3,392 million</w:t>
      </w:r>
      <w:r w:rsidRPr="009535CD">
        <w:fldChar w:fldCharType="begin"/>
      </w:r>
      <w:r w:rsidRPr="009535CD">
        <w:instrText xml:space="preserve"> DOCVARIABLE WORDVALUE-669aedab-8426-449b-bd53-0fb903e0555a \* MERGEFORMAT </w:instrText>
      </w:r>
      <w:r w:rsidRPr="009535CD">
        <w:fldChar w:fldCharType="end"/>
      </w:r>
      <w:r>
        <w:rPr>
          <w:lang w:val="en-US" w:eastAsia="en-US"/>
        </w:rPr>
        <w:t xml:space="preserve">. This was mainly due to higher volumes, while the reduction in selling prices driven by raw material prices had a counter-effect. </w:t>
      </w:r>
      <w:r>
        <w:rPr>
          <w:b/>
          <w:lang w:val="en-US" w:eastAsia="en-US"/>
        </w:rPr>
        <w:t xml:space="preserve">Adjusted EBITDA </w:t>
      </w:r>
      <w:r>
        <w:rPr>
          <w:lang w:val="en-US" w:eastAsia="en-US"/>
        </w:rPr>
        <w:t>rose by 10 percent to €788 million</w:t>
      </w:r>
      <w:r w:rsidRPr="009535CD">
        <w:fldChar w:fldCharType="begin"/>
      </w:r>
      <w:r w:rsidRPr="009535CD">
        <w:instrText xml:space="preserve"> DOCVARIABLE WORDVALUE-17d97938-3f6c-472b-bef0-373840c7c3af \* MERGEFORMAT </w:instrText>
      </w:r>
      <w:r w:rsidRPr="009535CD">
        <w:fldChar w:fldCharType="end"/>
      </w:r>
      <w:r>
        <w:rPr>
          <w:lang w:val="en-US" w:eastAsia="en-US"/>
        </w:rPr>
        <w:t>. The adjusted EBITDA margin improved from 21.8 percent to a very good level of 23.2 percent.</w:t>
      </w:r>
    </w:p>
    <w:p w:rsidR="00822D50" w:rsidRPr="009535CD" w:rsidRDefault="00822D50" w:rsidP="00822D50">
      <w:pPr>
        <w:rPr>
          <w:rFonts w:cs="Lucida Sans Unicode"/>
          <w:szCs w:val="22"/>
        </w:rPr>
      </w:pPr>
    </w:p>
    <w:p w:rsidR="00822D50" w:rsidRPr="009535CD" w:rsidRDefault="00822D50" w:rsidP="00822D50">
      <w:pPr>
        <w:rPr>
          <w:rFonts w:cs="Lucida Sans Unicode"/>
          <w:szCs w:val="22"/>
        </w:rPr>
      </w:pPr>
      <w:r>
        <w:rPr>
          <w:lang w:val="en-US" w:eastAsia="en-US"/>
        </w:rPr>
        <w:t xml:space="preserve">In the </w:t>
      </w:r>
      <w:r>
        <w:rPr>
          <w:b/>
          <w:lang w:val="en-US" w:eastAsia="en-US"/>
        </w:rPr>
        <w:t>Performance Materials</w:t>
      </w:r>
      <w:r>
        <w:rPr>
          <w:lang w:val="en-US" w:eastAsia="en-US"/>
        </w:rPr>
        <w:t xml:space="preserve"> segment, sales dropped 7 percent to €797 million in the </w:t>
      </w:r>
      <w:r>
        <w:rPr>
          <w:b/>
          <w:lang w:val="en-US" w:eastAsia="en-US"/>
        </w:rPr>
        <w:t>third quarter of 2016</w:t>
      </w:r>
      <w:r>
        <w:rPr>
          <w:lang w:val="en-US" w:eastAsia="en-US"/>
        </w:rPr>
        <w:t xml:space="preserve">. The main reason was </w:t>
      </w:r>
      <w:r>
        <w:rPr>
          <w:lang w:val="en-US" w:eastAsia="en-US"/>
        </w:rPr>
        <w:lastRenderedPageBreak/>
        <w:t>the reduction in selling prices as lower raw material costs were passed on to customers. By contrast, volumes rose considerably thanks to good demand. Adjusted EBITDA</w:t>
      </w:r>
      <w:r>
        <w:rPr>
          <w:b/>
          <w:lang w:val="en-US" w:eastAsia="en-US"/>
        </w:rPr>
        <w:t xml:space="preserve"> </w:t>
      </w:r>
      <w:r>
        <w:rPr>
          <w:lang w:val="en-US" w:eastAsia="en-US"/>
        </w:rPr>
        <w:t xml:space="preserve">grew 11 percent to €104 million. This was primarily due to a rise in volumes, high capacity utilization at production facilities, and the initial effects of cost-cutting measures. The adjusted EBITDA margin was 13.0 percent, up from 11.0 percent in the third quarter of 2015. In the </w:t>
      </w:r>
      <w:r>
        <w:rPr>
          <w:b/>
          <w:lang w:val="en-US" w:eastAsia="en-US"/>
        </w:rPr>
        <w:t>first nine months</w:t>
      </w:r>
      <w:r>
        <w:rPr>
          <w:lang w:val="en-US" w:eastAsia="en-US"/>
        </w:rPr>
        <w:t xml:space="preserve"> of the year, sales in the Performance Materials segment shrank 9 percent to €2,399 million. With volumes up, the decline was caused by the oil-driven drop in selling prices. Adjusted EBITDA improved 11 percent to €273 million and the adjusted EBITDA margin rose to 11.4 percent.</w:t>
      </w:r>
    </w:p>
    <w:p w:rsidR="00822D50" w:rsidRPr="009535CD" w:rsidRDefault="00822D50" w:rsidP="00822D50">
      <w:pPr>
        <w:rPr>
          <w:rFonts w:cs="Lucida Sans Unicode"/>
          <w:szCs w:val="22"/>
        </w:rPr>
      </w:pPr>
    </w:p>
    <w:p w:rsidR="00822D50" w:rsidRDefault="00822D50" w:rsidP="00822D50"/>
    <w:p w:rsidR="009D71A1" w:rsidRDefault="009D71A1" w:rsidP="00822D50"/>
    <w:p w:rsidR="009D71A1" w:rsidRDefault="009D71A1" w:rsidP="00822D50"/>
    <w:p w:rsidR="009D71A1" w:rsidRDefault="009D71A1" w:rsidP="00822D50"/>
    <w:p w:rsidR="009D71A1" w:rsidRPr="009535CD" w:rsidRDefault="009D71A1" w:rsidP="009D71A1">
      <w:pPr>
        <w:spacing w:after="120" w:line="300" w:lineRule="atLeast"/>
        <w:rPr>
          <w:rFonts w:cs="Lucida Sans Unicode"/>
          <w:b/>
          <w:bCs/>
          <w:sz w:val="20"/>
          <w:szCs w:val="20"/>
        </w:rPr>
      </w:pPr>
      <w:r>
        <w:rPr>
          <w:b/>
          <w:sz w:val="20"/>
          <w:lang w:val="en-US" w:eastAsia="en-US"/>
        </w:rPr>
        <w:t>Evonik Group: Excerpt from the income statement</w:t>
      </w:r>
    </w:p>
    <w:tbl>
      <w:tblPr>
        <w:tblW w:w="99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863"/>
        <w:gridCol w:w="862"/>
        <w:gridCol w:w="912"/>
        <w:gridCol w:w="863"/>
        <w:gridCol w:w="906"/>
        <w:gridCol w:w="912"/>
      </w:tblGrid>
      <w:tr w:rsidR="009D71A1" w:rsidRPr="00601715" w:rsidTr="00843CF6">
        <w:trPr>
          <w:trHeight w:val="510"/>
        </w:trPr>
        <w:tc>
          <w:tcPr>
            <w:tcW w:w="4678" w:type="dxa"/>
            <w:noWrap/>
            <w:vAlign w:val="center"/>
          </w:tcPr>
          <w:p w:rsidR="009D71A1" w:rsidRPr="00601715" w:rsidRDefault="009D71A1" w:rsidP="00843CF6">
            <w:pPr>
              <w:rPr>
                <w:rFonts w:cs="Lucida Sans Unicode"/>
                <w:b/>
                <w:bCs/>
                <w:szCs w:val="20"/>
              </w:rPr>
            </w:pPr>
            <w:r>
              <w:rPr>
                <w:b/>
              </w:rPr>
              <w:t>(in € million)</w:t>
            </w:r>
          </w:p>
        </w:tc>
        <w:tc>
          <w:tcPr>
            <w:tcW w:w="863" w:type="dxa"/>
            <w:shd w:val="clear" w:color="auto" w:fill="CCCCCC"/>
            <w:vAlign w:val="center"/>
          </w:tcPr>
          <w:p w:rsidR="009D71A1" w:rsidRPr="00601715" w:rsidRDefault="009D71A1" w:rsidP="00843CF6">
            <w:pPr>
              <w:jc w:val="center"/>
              <w:rPr>
                <w:rFonts w:cs="Lucida Sans Unicode"/>
                <w:b/>
                <w:bCs/>
                <w:szCs w:val="20"/>
              </w:rPr>
            </w:pPr>
            <w:r>
              <w:rPr>
                <w:b/>
              </w:rPr>
              <w:t>Q3 2016</w:t>
            </w:r>
          </w:p>
        </w:tc>
        <w:tc>
          <w:tcPr>
            <w:tcW w:w="862" w:type="dxa"/>
            <w:vAlign w:val="center"/>
          </w:tcPr>
          <w:p w:rsidR="009D71A1" w:rsidRPr="00601715" w:rsidRDefault="009D71A1" w:rsidP="00843CF6">
            <w:pPr>
              <w:jc w:val="center"/>
              <w:rPr>
                <w:rFonts w:cs="Lucida Sans Unicode"/>
                <w:b/>
                <w:bCs/>
                <w:szCs w:val="20"/>
              </w:rPr>
            </w:pPr>
            <w:r>
              <w:rPr>
                <w:b/>
              </w:rPr>
              <w:t xml:space="preserve">Q3 </w:t>
            </w:r>
            <w:r>
              <w:br/>
            </w:r>
            <w:r>
              <w:rPr>
                <w:b/>
              </w:rPr>
              <w:t xml:space="preserve"> 2015</w:t>
            </w:r>
          </w:p>
        </w:tc>
        <w:tc>
          <w:tcPr>
            <w:tcW w:w="898" w:type="dxa"/>
            <w:vAlign w:val="center"/>
          </w:tcPr>
          <w:p w:rsidR="009D71A1" w:rsidRPr="00601715" w:rsidRDefault="009D71A1" w:rsidP="00843CF6">
            <w:pPr>
              <w:jc w:val="center"/>
              <w:rPr>
                <w:rFonts w:cs="Lucida Sans Unicode"/>
                <w:b/>
                <w:bCs/>
                <w:spacing w:val="-6"/>
                <w:szCs w:val="20"/>
              </w:rPr>
            </w:pPr>
            <w:r>
              <w:rPr>
                <w:b/>
                <w:spacing w:val="-6"/>
              </w:rPr>
              <w:t xml:space="preserve">Change </w:t>
            </w:r>
            <w:r>
              <w:br/>
            </w:r>
            <w:r>
              <w:rPr>
                <w:b/>
                <w:spacing w:val="-6"/>
              </w:rPr>
              <w:t>in %</w:t>
            </w:r>
          </w:p>
        </w:tc>
        <w:tc>
          <w:tcPr>
            <w:tcW w:w="863" w:type="dxa"/>
            <w:shd w:val="clear" w:color="auto" w:fill="CCCCCC"/>
            <w:vAlign w:val="center"/>
          </w:tcPr>
          <w:p w:rsidR="009D71A1" w:rsidRPr="00601715" w:rsidRDefault="009D71A1" w:rsidP="00843CF6">
            <w:pPr>
              <w:jc w:val="center"/>
              <w:rPr>
                <w:rFonts w:cs="Lucida Sans Unicode"/>
                <w:b/>
                <w:bCs/>
                <w:szCs w:val="20"/>
              </w:rPr>
            </w:pPr>
            <w:r>
              <w:rPr>
                <w:b/>
              </w:rPr>
              <w:t>9M</w:t>
            </w:r>
          </w:p>
          <w:p w:rsidR="009D71A1" w:rsidRPr="00601715" w:rsidRDefault="009D71A1" w:rsidP="00843CF6">
            <w:pPr>
              <w:jc w:val="center"/>
              <w:rPr>
                <w:rFonts w:cs="Lucida Sans Unicode"/>
                <w:b/>
                <w:bCs/>
                <w:szCs w:val="20"/>
              </w:rPr>
            </w:pPr>
            <w:r>
              <w:rPr>
                <w:b/>
              </w:rPr>
              <w:t>2016</w:t>
            </w:r>
          </w:p>
        </w:tc>
        <w:tc>
          <w:tcPr>
            <w:tcW w:w="862" w:type="dxa"/>
            <w:vAlign w:val="center"/>
          </w:tcPr>
          <w:p w:rsidR="009D71A1" w:rsidRPr="00601715" w:rsidRDefault="009D71A1" w:rsidP="00843CF6">
            <w:pPr>
              <w:jc w:val="center"/>
              <w:rPr>
                <w:rFonts w:cs="Lucida Sans Unicode"/>
                <w:b/>
                <w:bCs/>
                <w:szCs w:val="20"/>
              </w:rPr>
            </w:pPr>
            <w:r>
              <w:rPr>
                <w:b/>
              </w:rPr>
              <w:t>9M</w:t>
            </w:r>
          </w:p>
          <w:p w:rsidR="009D71A1" w:rsidRPr="00601715" w:rsidRDefault="009D71A1" w:rsidP="00843CF6">
            <w:pPr>
              <w:jc w:val="center"/>
              <w:rPr>
                <w:rFonts w:cs="Lucida Sans Unicode"/>
                <w:b/>
                <w:bCs/>
                <w:szCs w:val="20"/>
              </w:rPr>
            </w:pPr>
            <w:r>
              <w:rPr>
                <w:b/>
              </w:rPr>
              <w:t>2015</w:t>
            </w:r>
          </w:p>
        </w:tc>
        <w:tc>
          <w:tcPr>
            <w:tcW w:w="898" w:type="dxa"/>
            <w:vAlign w:val="center"/>
          </w:tcPr>
          <w:p w:rsidR="009D71A1" w:rsidRPr="00601715" w:rsidRDefault="009D71A1" w:rsidP="00843CF6">
            <w:pPr>
              <w:jc w:val="center"/>
              <w:rPr>
                <w:rFonts w:cs="Lucida Sans Unicode"/>
                <w:b/>
                <w:bCs/>
                <w:spacing w:val="-6"/>
                <w:szCs w:val="20"/>
              </w:rPr>
            </w:pPr>
            <w:r>
              <w:rPr>
                <w:b/>
                <w:spacing w:val="-6"/>
              </w:rPr>
              <w:t xml:space="preserve">Change </w:t>
            </w:r>
            <w:r>
              <w:br/>
            </w:r>
            <w:r>
              <w:rPr>
                <w:b/>
                <w:spacing w:val="-6"/>
              </w:rPr>
              <w:t>in %</w:t>
            </w:r>
          </w:p>
        </w:tc>
      </w:tr>
      <w:tr w:rsidR="009D71A1" w:rsidRPr="00601715" w:rsidTr="00843CF6">
        <w:trPr>
          <w:trHeight w:val="300"/>
        </w:trPr>
        <w:tc>
          <w:tcPr>
            <w:tcW w:w="4678" w:type="dxa"/>
            <w:noWrap/>
            <w:vAlign w:val="bottom"/>
          </w:tcPr>
          <w:p w:rsidR="009D71A1" w:rsidRPr="00601715" w:rsidRDefault="009D71A1" w:rsidP="00843CF6">
            <w:pPr>
              <w:rPr>
                <w:rFonts w:cs="Lucida Sans Unicode"/>
                <w:szCs w:val="20"/>
              </w:rPr>
            </w:pPr>
            <w:r>
              <w:t>Sales</w:t>
            </w:r>
          </w:p>
        </w:tc>
        <w:tc>
          <w:tcPr>
            <w:tcW w:w="863" w:type="dxa"/>
            <w:shd w:val="clear" w:color="auto" w:fill="CCCCCC"/>
            <w:noWrap/>
            <w:vAlign w:val="bottom"/>
          </w:tcPr>
          <w:p w:rsidR="009D71A1" w:rsidRPr="00601715" w:rsidRDefault="009D71A1" w:rsidP="00843CF6">
            <w:pPr>
              <w:jc w:val="right"/>
              <w:rPr>
                <w:rFonts w:cs="Lucida Sans Unicode"/>
                <w:szCs w:val="20"/>
              </w:rPr>
            </w:pPr>
            <w:r>
              <w:t>3,164</w:t>
            </w:r>
          </w:p>
        </w:tc>
        <w:tc>
          <w:tcPr>
            <w:tcW w:w="862" w:type="dxa"/>
            <w:noWrap/>
            <w:vAlign w:val="bottom"/>
          </w:tcPr>
          <w:p w:rsidR="009D71A1" w:rsidRPr="00601715" w:rsidRDefault="009D71A1" w:rsidP="00843CF6">
            <w:pPr>
              <w:jc w:val="right"/>
              <w:rPr>
                <w:rFonts w:cs="Lucida Sans Unicode"/>
                <w:szCs w:val="20"/>
              </w:rPr>
            </w:pPr>
            <w:r>
              <w:t>3,365</w:t>
            </w:r>
          </w:p>
        </w:tc>
        <w:tc>
          <w:tcPr>
            <w:tcW w:w="898" w:type="dxa"/>
            <w:noWrap/>
            <w:vAlign w:val="bottom"/>
          </w:tcPr>
          <w:p w:rsidR="009D71A1" w:rsidRPr="00601715" w:rsidRDefault="009D71A1" w:rsidP="00843CF6">
            <w:pPr>
              <w:jc w:val="right"/>
              <w:rPr>
                <w:rFonts w:cs="Lucida Sans Unicode"/>
                <w:szCs w:val="20"/>
              </w:rPr>
            </w:pPr>
            <w:r>
              <w:rPr>
                <w:rFonts w:cs="Lucida Sans Unicode"/>
                <w:szCs w:val="20"/>
              </w:rPr>
              <w:t>-6</w:t>
            </w:r>
          </w:p>
        </w:tc>
        <w:tc>
          <w:tcPr>
            <w:tcW w:w="863" w:type="dxa"/>
            <w:shd w:val="clear" w:color="auto" w:fill="CCCCCC"/>
            <w:noWrap/>
            <w:vAlign w:val="bottom"/>
          </w:tcPr>
          <w:p w:rsidR="009D71A1" w:rsidRPr="00601715" w:rsidRDefault="009D71A1" w:rsidP="00843CF6">
            <w:pPr>
              <w:jc w:val="right"/>
              <w:rPr>
                <w:rFonts w:cs="Lucida Sans Unicode"/>
                <w:szCs w:val="20"/>
              </w:rPr>
            </w:pPr>
            <w:r>
              <w:t>9,527</w:t>
            </w:r>
          </w:p>
        </w:tc>
        <w:tc>
          <w:tcPr>
            <w:tcW w:w="862" w:type="dxa"/>
            <w:noWrap/>
            <w:vAlign w:val="bottom"/>
          </w:tcPr>
          <w:p w:rsidR="009D71A1" w:rsidRPr="00601715" w:rsidRDefault="009D71A1" w:rsidP="00843CF6">
            <w:pPr>
              <w:jc w:val="right"/>
              <w:rPr>
                <w:rFonts w:cs="Lucida Sans Unicode"/>
                <w:szCs w:val="20"/>
              </w:rPr>
            </w:pPr>
            <w:r>
              <w:t>10,309</w:t>
            </w:r>
          </w:p>
        </w:tc>
        <w:tc>
          <w:tcPr>
            <w:tcW w:w="898" w:type="dxa"/>
            <w:noWrap/>
            <w:vAlign w:val="bottom"/>
          </w:tcPr>
          <w:p w:rsidR="009D71A1" w:rsidRPr="00601715" w:rsidRDefault="009D71A1" w:rsidP="00843CF6">
            <w:pPr>
              <w:jc w:val="right"/>
              <w:rPr>
                <w:rFonts w:cs="Lucida Sans Unicode"/>
                <w:szCs w:val="20"/>
              </w:rPr>
            </w:pPr>
            <w:r>
              <w:rPr>
                <w:rFonts w:cs="Lucida Sans Unicode"/>
                <w:szCs w:val="20"/>
              </w:rPr>
              <w:t>-8</w:t>
            </w:r>
          </w:p>
        </w:tc>
      </w:tr>
      <w:tr w:rsidR="009D71A1" w:rsidRPr="00601715" w:rsidTr="00843CF6">
        <w:trPr>
          <w:trHeight w:val="300"/>
        </w:trPr>
        <w:tc>
          <w:tcPr>
            <w:tcW w:w="4678" w:type="dxa"/>
            <w:noWrap/>
            <w:vAlign w:val="bottom"/>
          </w:tcPr>
          <w:p w:rsidR="009D71A1" w:rsidRPr="00601715" w:rsidRDefault="009D71A1" w:rsidP="00843CF6">
            <w:pPr>
              <w:rPr>
                <w:rFonts w:cs="Lucida Sans Unicode"/>
                <w:szCs w:val="20"/>
              </w:rPr>
            </w:pPr>
            <w:r>
              <w:t>Adjusted EBITDA</w:t>
            </w:r>
          </w:p>
        </w:tc>
        <w:tc>
          <w:tcPr>
            <w:tcW w:w="863" w:type="dxa"/>
            <w:shd w:val="clear" w:color="auto" w:fill="CCCCCC"/>
            <w:noWrap/>
            <w:vAlign w:val="bottom"/>
          </w:tcPr>
          <w:p w:rsidR="009D71A1" w:rsidRPr="00601715" w:rsidRDefault="009D71A1" w:rsidP="00843CF6">
            <w:pPr>
              <w:jc w:val="right"/>
              <w:rPr>
                <w:rFonts w:cs="Lucida Sans Unicode"/>
                <w:szCs w:val="20"/>
              </w:rPr>
            </w:pPr>
            <w:r>
              <w:t>578</w:t>
            </w:r>
          </w:p>
        </w:tc>
        <w:tc>
          <w:tcPr>
            <w:tcW w:w="862" w:type="dxa"/>
            <w:noWrap/>
            <w:vAlign w:val="bottom"/>
          </w:tcPr>
          <w:p w:rsidR="009D71A1" w:rsidRPr="00601715" w:rsidRDefault="009D71A1" w:rsidP="00843CF6">
            <w:pPr>
              <w:jc w:val="right"/>
              <w:rPr>
                <w:rFonts w:cs="Lucida Sans Unicode"/>
                <w:szCs w:val="20"/>
              </w:rPr>
            </w:pPr>
            <w:r>
              <w:t>653</w:t>
            </w:r>
          </w:p>
        </w:tc>
        <w:tc>
          <w:tcPr>
            <w:tcW w:w="898" w:type="dxa"/>
            <w:noWrap/>
            <w:vAlign w:val="bottom"/>
          </w:tcPr>
          <w:p w:rsidR="009D71A1" w:rsidRPr="00601715" w:rsidRDefault="009D71A1" w:rsidP="00843CF6">
            <w:pPr>
              <w:jc w:val="right"/>
              <w:rPr>
                <w:rFonts w:cs="Lucida Sans Unicode"/>
                <w:szCs w:val="20"/>
              </w:rPr>
            </w:pPr>
            <w:r>
              <w:t>-11</w:t>
            </w:r>
          </w:p>
        </w:tc>
        <w:tc>
          <w:tcPr>
            <w:tcW w:w="863" w:type="dxa"/>
            <w:shd w:val="clear" w:color="auto" w:fill="CCCCCC"/>
            <w:noWrap/>
            <w:vAlign w:val="bottom"/>
          </w:tcPr>
          <w:p w:rsidR="009D71A1" w:rsidRPr="00601715" w:rsidRDefault="009D71A1" w:rsidP="00843CF6">
            <w:pPr>
              <w:jc w:val="right"/>
              <w:rPr>
                <w:rFonts w:cs="Lucida Sans Unicode"/>
                <w:szCs w:val="20"/>
              </w:rPr>
            </w:pPr>
            <w:r>
              <w:t>1,728</w:t>
            </w:r>
          </w:p>
        </w:tc>
        <w:tc>
          <w:tcPr>
            <w:tcW w:w="862" w:type="dxa"/>
            <w:noWrap/>
            <w:vAlign w:val="bottom"/>
          </w:tcPr>
          <w:p w:rsidR="009D71A1" w:rsidRPr="00601715" w:rsidRDefault="009D71A1" w:rsidP="00843CF6">
            <w:pPr>
              <w:jc w:val="right"/>
              <w:rPr>
                <w:rFonts w:cs="Lucida Sans Unicode"/>
                <w:szCs w:val="20"/>
              </w:rPr>
            </w:pPr>
            <w:r>
              <w:t>1,964</w:t>
            </w:r>
          </w:p>
        </w:tc>
        <w:tc>
          <w:tcPr>
            <w:tcW w:w="898" w:type="dxa"/>
            <w:noWrap/>
            <w:vAlign w:val="bottom"/>
          </w:tcPr>
          <w:p w:rsidR="009D71A1" w:rsidRPr="00601715" w:rsidRDefault="009D71A1" w:rsidP="00843CF6">
            <w:pPr>
              <w:jc w:val="right"/>
              <w:rPr>
                <w:rFonts w:cs="Lucida Sans Unicode"/>
                <w:szCs w:val="20"/>
              </w:rPr>
            </w:pPr>
            <w:r>
              <w:t>-12</w:t>
            </w:r>
          </w:p>
        </w:tc>
      </w:tr>
      <w:tr w:rsidR="009D71A1" w:rsidRPr="00601715" w:rsidTr="00843CF6">
        <w:trPr>
          <w:trHeight w:val="300"/>
        </w:trPr>
        <w:tc>
          <w:tcPr>
            <w:tcW w:w="4678" w:type="dxa"/>
            <w:noWrap/>
            <w:vAlign w:val="bottom"/>
          </w:tcPr>
          <w:p w:rsidR="009D71A1" w:rsidRPr="00601715" w:rsidRDefault="009D71A1" w:rsidP="00843CF6">
            <w:pPr>
              <w:rPr>
                <w:rFonts w:cs="Lucida Sans Unicode"/>
                <w:szCs w:val="20"/>
              </w:rPr>
            </w:pPr>
            <w:r>
              <w:t>Adjusted EBIT</w:t>
            </w:r>
          </w:p>
        </w:tc>
        <w:tc>
          <w:tcPr>
            <w:tcW w:w="863" w:type="dxa"/>
            <w:shd w:val="clear" w:color="auto" w:fill="CCCCCC"/>
            <w:noWrap/>
            <w:vAlign w:val="bottom"/>
          </w:tcPr>
          <w:p w:rsidR="009D71A1" w:rsidRPr="00601715" w:rsidRDefault="009D71A1" w:rsidP="00843CF6">
            <w:pPr>
              <w:jc w:val="right"/>
              <w:rPr>
                <w:rFonts w:cs="Lucida Sans Unicode"/>
                <w:szCs w:val="20"/>
              </w:rPr>
            </w:pPr>
            <w:r>
              <w:t>396</w:t>
            </w:r>
          </w:p>
        </w:tc>
        <w:tc>
          <w:tcPr>
            <w:tcW w:w="862" w:type="dxa"/>
            <w:noWrap/>
            <w:vAlign w:val="bottom"/>
          </w:tcPr>
          <w:p w:rsidR="009D71A1" w:rsidRPr="00601715" w:rsidRDefault="009D71A1" w:rsidP="00843CF6">
            <w:pPr>
              <w:jc w:val="right"/>
              <w:rPr>
                <w:rFonts w:cs="Lucida Sans Unicode"/>
                <w:szCs w:val="20"/>
              </w:rPr>
            </w:pPr>
            <w:r>
              <w:t>473</w:t>
            </w:r>
          </w:p>
        </w:tc>
        <w:tc>
          <w:tcPr>
            <w:tcW w:w="898" w:type="dxa"/>
            <w:noWrap/>
            <w:vAlign w:val="bottom"/>
          </w:tcPr>
          <w:p w:rsidR="009D71A1" w:rsidRPr="00601715" w:rsidRDefault="009D71A1" w:rsidP="00843CF6">
            <w:pPr>
              <w:jc w:val="right"/>
              <w:rPr>
                <w:rFonts w:cs="Lucida Sans Unicode"/>
                <w:szCs w:val="20"/>
              </w:rPr>
            </w:pPr>
            <w:r>
              <w:t>-16</w:t>
            </w:r>
          </w:p>
        </w:tc>
        <w:tc>
          <w:tcPr>
            <w:tcW w:w="863" w:type="dxa"/>
            <w:shd w:val="clear" w:color="auto" w:fill="CCCCCC"/>
            <w:noWrap/>
            <w:vAlign w:val="bottom"/>
          </w:tcPr>
          <w:p w:rsidR="009D71A1" w:rsidRPr="00601715" w:rsidRDefault="009D71A1" w:rsidP="00843CF6">
            <w:pPr>
              <w:jc w:val="right"/>
              <w:rPr>
                <w:rFonts w:cs="Lucida Sans Unicode"/>
                <w:szCs w:val="20"/>
              </w:rPr>
            </w:pPr>
            <w:r>
              <w:t>1,191</w:t>
            </w:r>
          </w:p>
        </w:tc>
        <w:tc>
          <w:tcPr>
            <w:tcW w:w="862" w:type="dxa"/>
            <w:noWrap/>
            <w:vAlign w:val="bottom"/>
          </w:tcPr>
          <w:p w:rsidR="009D71A1" w:rsidRPr="00601715" w:rsidRDefault="009D71A1" w:rsidP="00843CF6">
            <w:pPr>
              <w:jc w:val="right"/>
              <w:rPr>
                <w:rFonts w:cs="Lucida Sans Unicode"/>
                <w:szCs w:val="20"/>
              </w:rPr>
            </w:pPr>
            <w:r>
              <w:t>1,444</w:t>
            </w:r>
          </w:p>
        </w:tc>
        <w:tc>
          <w:tcPr>
            <w:tcW w:w="898" w:type="dxa"/>
            <w:noWrap/>
            <w:vAlign w:val="bottom"/>
          </w:tcPr>
          <w:p w:rsidR="009D71A1" w:rsidRPr="00601715" w:rsidRDefault="009D71A1" w:rsidP="00843CF6">
            <w:pPr>
              <w:jc w:val="right"/>
              <w:rPr>
                <w:rFonts w:cs="Lucida Sans Unicode"/>
                <w:szCs w:val="20"/>
              </w:rPr>
            </w:pPr>
            <w:r>
              <w:t>-18</w:t>
            </w:r>
          </w:p>
        </w:tc>
      </w:tr>
      <w:tr w:rsidR="009D71A1" w:rsidRPr="00601715" w:rsidTr="00843CF6">
        <w:trPr>
          <w:trHeight w:val="300"/>
        </w:trPr>
        <w:tc>
          <w:tcPr>
            <w:tcW w:w="4678" w:type="dxa"/>
            <w:noWrap/>
            <w:vAlign w:val="bottom"/>
          </w:tcPr>
          <w:p w:rsidR="009D71A1" w:rsidRPr="00601715" w:rsidRDefault="009D71A1" w:rsidP="00843CF6">
            <w:pPr>
              <w:rPr>
                <w:rFonts w:cs="Lucida Sans Unicode"/>
                <w:szCs w:val="20"/>
              </w:rPr>
            </w:pPr>
            <w:r>
              <w:t>Adjustments</w:t>
            </w:r>
          </w:p>
        </w:tc>
        <w:tc>
          <w:tcPr>
            <w:tcW w:w="863" w:type="dxa"/>
            <w:shd w:val="clear" w:color="auto" w:fill="CCCCCC"/>
            <w:noWrap/>
            <w:vAlign w:val="bottom"/>
          </w:tcPr>
          <w:p w:rsidR="009D71A1" w:rsidRPr="00601715" w:rsidRDefault="009D71A1" w:rsidP="00843CF6">
            <w:pPr>
              <w:jc w:val="right"/>
              <w:rPr>
                <w:rFonts w:cs="Lucida Sans Unicode"/>
                <w:szCs w:val="20"/>
              </w:rPr>
            </w:pPr>
            <w:r>
              <w:t>-15</w:t>
            </w:r>
          </w:p>
        </w:tc>
        <w:tc>
          <w:tcPr>
            <w:tcW w:w="862" w:type="dxa"/>
            <w:noWrap/>
            <w:vAlign w:val="bottom"/>
          </w:tcPr>
          <w:p w:rsidR="009D71A1" w:rsidRPr="00601715" w:rsidRDefault="009D71A1" w:rsidP="00843CF6">
            <w:pPr>
              <w:jc w:val="right"/>
              <w:rPr>
                <w:rFonts w:cs="Lucida Sans Unicode"/>
                <w:szCs w:val="20"/>
              </w:rPr>
            </w:pPr>
            <w:r>
              <w:t>-91</w:t>
            </w:r>
          </w:p>
        </w:tc>
        <w:tc>
          <w:tcPr>
            <w:tcW w:w="898" w:type="dxa"/>
            <w:noWrap/>
            <w:vAlign w:val="bottom"/>
          </w:tcPr>
          <w:p w:rsidR="009D71A1" w:rsidRPr="00601715" w:rsidRDefault="009D71A1" w:rsidP="00843CF6">
            <w:pPr>
              <w:rPr>
                <w:rFonts w:cs="Lucida Sans Unicode"/>
                <w:szCs w:val="20"/>
              </w:rPr>
            </w:pPr>
          </w:p>
        </w:tc>
        <w:tc>
          <w:tcPr>
            <w:tcW w:w="863" w:type="dxa"/>
            <w:shd w:val="clear" w:color="auto" w:fill="CCCCCC"/>
            <w:noWrap/>
            <w:vAlign w:val="bottom"/>
          </w:tcPr>
          <w:p w:rsidR="009D71A1" w:rsidRPr="00601715" w:rsidRDefault="009D71A1" w:rsidP="00843CF6">
            <w:pPr>
              <w:jc w:val="right"/>
              <w:rPr>
                <w:rFonts w:cs="Lucida Sans Unicode"/>
                <w:szCs w:val="20"/>
              </w:rPr>
            </w:pPr>
            <w:r>
              <w:t>-74</w:t>
            </w:r>
          </w:p>
        </w:tc>
        <w:tc>
          <w:tcPr>
            <w:tcW w:w="862" w:type="dxa"/>
            <w:noWrap/>
            <w:vAlign w:val="bottom"/>
          </w:tcPr>
          <w:p w:rsidR="009D71A1" w:rsidRPr="00601715" w:rsidRDefault="009D71A1" w:rsidP="00843CF6">
            <w:pPr>
              <w:jc w:val="right"/>
              <w:rPr>
                <w:rFonts w:cs="Lucida Sans Unicode"/>
                <w:szCs w:val="20"/>
              </w:rPr>
            </w:pPr>
            <w:r>
              <w:t>-6</w:t>
            </w:r>
          </w:p>
        </w:tc>
        <w:tc>
          <w:tcPr>
            <w:tcW w:w="898" w:type="dxa"/>
            <w:noWrap/>
            <w:vAlign w:val="bottom"/>
          </w:tcPr>
          <w:p w:rsidR="009D71A1" w:rsidRPr="00601715" w:rsidRDefault="009D71A1" w:rsidP="00843CF6">
            <w:pPr>
              <w:rPr>
                <w:rFonts w:cs="Lucida Sans Unicode"/>
                <w:szCs w:val="20"/>
              </w:rPr>
            </w:pPr>
          </w:p>
        </w:tc>
      </w:tr>
      <w:tr w:rsidR="009D71A1" w:rsidRPr="00601715" w:rsidTr="00843CF6">
        <w:trPr>
          <w:trHeight w:val="300"/>
        </w:trPr>
        <w:tc>
          <w:tcPr>
            <w:tcW w:w="4678" w:type="dxa"/>
            <w:noWrap/>
            <w:vAlign w:val="bottom"/>
          </w:tcPr>
          <w:p w:rsidR="009D71A1" w:rsidRPr="00601715" w:rsidRDefault="009D71A1" w:rsidP="00843CF6">
            <w:pPr>
              <w:rPr>
                <w:rFonts w:cs="Lucida Sans Unicode"/>
                <w:szCs w:val="20"/>
              </w:rPr>
            </w:pPr>
            <w:r>
              <w:t>Financial result</w:t>
            </w:r>
          </w:p>
        </w:tc>
        <w:tc>
          <w:tcPr>
            <w:tcW w:w="863" w:type="dxa"/>
            <w:shd w:val="clear" w:color="auto" w:fill="CCCCCC"/>
            <w:noWrap/>
            <w:vAlign w:val="bottom"/>
          </w:tcPr>
          <w:p w:rsidR="009D71A1" w:rsidRPr="00601715" w:rsidRDefault="009D71A1" w:rsidP="00843CF6">
            <w:pPr>
              <w:jc w:val="right"/>
              <w:rPr>
                <w:rFonts w:cs="Lucida Sans Unicode"/>
                <w:szCs w:val="20"/>
              </w:rPr>
            </w:pPr>
            <w:r>
              <w:t>-55</w:t>
            </w:r>
          </w:p>
        </w:tc>
        <w:tc>
          <w:tcPr>
            <w:tcW w:w="862" w:type="dxa"/>
            <w:noWrap/>
            <w:vAlign w:val="bottom"/>
          </w:tcPr>
          <w:p w:rsidR="009D71A1" w:rsidRPr="00601715" w:rsidRDefault="009D71A1" w:rsidP="00843CF6">
            <w:pPr>
              <w:jc w:val="right"/>
              <w:rPr>
                <w:rFonts w:cs="Lucida Sans Unicode"/>
                <w:szCs w:val="20"/>
              </w:rPr>
            </w:pPr>
            <w:r>
              <w:t>-86</w:t>
            </w:r>
          </w:p>
        </w:tc>
        <w:tc>
          <w:tcPr>
            <w:tcW w:w="898" w:type="dxa"/>
            <w:noWrap/>
            <w:vAlign w:val="bottom"/>
          </w:tcPr>
          <w:p w:rsidR="009D71A1" w:rsidRPr="00601715" w:rsidRDefault="009D71A1" w:rsidP="00843CF6">
            <w:pPr>
              <w:jc w:val="right"/>
              <w:rPr>
                <w:rFonts w:cs="Lucida Sans Unicode"/>
                <w:szCs w:val="20"/>
              </w:rPr>
            </w:pPr>
          </w:p>
        </w:tc>
        <w:tc>
          <w:tcPr>
            <w:tcW w:w="863" w:type="dxa"/>
            <w:shd w:val="clear" w:color="auto" w:fill="CCCCCC"/>
            <w:noWrap/>
            <w:vAlign w:val="bottom"/>
          </w:tcPr>
          <w:p w:rsidR="009D71A1" w:rsidRPr="00601715" w:rsidRDefault="009D71A1" w:rsidP="00843CF6">
            <w:pPr>
              <w:jc w:val="right"/>
              <w:rPr>
                <w:rFonts w:cs="Lucida Sans Unicode"/>
                <w:szCs w:val="20"/>
              </w:rPr>
            </w:pPr>
            <w:r>
              <w:t>-183</w:t>
            </w:r>
          </w:p>
        </w:tc>
        <w:tc>
          <w:tcPr>
            <w:tcW w:w="862" w:type="dxa"/>
            <w:noWrap/>
            <w:vAlign w:val="bottom"/>
          </w:tcPr>
          <w:p w:rsidR="009D71A1" w:rsidRPr="00601715" w:rsidRDefault="009D71A1" w:rsidP="00843CF6">
            <w:pPr>
              <w:jc w:val="right"/>
              <w:rPr>
                <w:rFonts w:cs="Lucida Sans Unicode"/>
                <w:szCs w:val="20"/>
              </w:rPr>
            </w:pPr>
            <w:r>
              <w:t>-200</w:t>
            </w:r>
          </w:p>
        </w:tc>
        <w:tc>
          <w:tcPr>
            <w:tcW w:w="898" w:type="dxa"/>
            <w:noWrap/>
            <w:vAlign w:val="bottom"/>
          </w:tcPr>
          <w:p w:rsidR="009D71A1" w:rsidRPr="00601715" w:rsidRDefault="009D71A1" w:rsidP="00843CF6">
            <w:pPr>
              <w:rPr>
                <w:rFonts w:cs="Lucida Sans Unicode"/>
                <w:szCs w:val="20"/>
              </w:rPr>
            </w:pPr>
          </w:p>
        </w:tc>
      </w:tr>
      <w:tr w:rsidR="009D71A1" w:rsidRPr="00601715" w:rsidTr="00843CF6">
        <w:trPr>
          <w:trHeight w:val="300"/>
        </w:trPr>
        <w:tc>
          <w:tcPr>
            <w:tcW w:w="4678" w:type="dxa"/>
            <w:noWrap/>
            <w:vAlign w:val="bottom"/>
          </w:tcPr>
          <w:p w:rsidR="009D71A1" w:rsidRPr="009535CD" w:rsidRDefault="009D71A1" w:rsidP="00843CF6">
            <w:pPr>
              <w:rPr>
                <w:rFonts w:cs="Lucida Sans Unicode"/>
                <w:bCs/>
                <w:szCs w:val="20"/>
              </w:rPr>
            </w:pPr>
            <w:r w:rsidRPr="009535CD">
              <w:t>Income before income taxes, continuing operations</w:t>
            </w:r>
          </w:p>
        </w:tc>
        <w:tc>
          <w:tcPr>
            <w:tcW w:w="863" w:type="dxa"/>
            <w:shd w:val="clear" w:color="auto" w:fill="CCCCCC"/>
            <w:noWrap/>
            <w:vAlign w:val="bottom"/>
          </w:tcPr>
          <w:p w:rsidR="009D71A1" w:rsidRPr="00601715" w:rsidRDefault="009D71A1" w:rsidP="00843CF6">
            <w:pPr>
              <w:jc w:val="right"/>
              <w:rPr>
                <w:rFonts w:cs="Lucida Sans Unicode"/>
                <w:bCs/>
                <w:szCs w:val="20"/>
              </w:rPr>
            </w:pPr>
            <w:r>
              <w:t>326</w:t>
            </w:r>
          </w:p>
        </w:tc>
        <w:tc>
          <w:tcPr>
            <w:tcW w:w="862" w:type="dxa"/>
            <w:noWrap/>
            <w:vAlign w:val="bottom"/>
          </w:tcPr>
          <w:p w:rsidR="009D71A1" w:rsidRPr="00601715" w:rsidRDefault="009D71A1" w:rsidP="00843CF6">
            <w:pPr>
              <w:jc w:val="right"/>
              <w:rPr>
                <w:rFonts w:cs="Lucida Sans Unicode"/>
                <w:bCs/>
                <w:szCs w:val="20"/>
              </w:rPr>
            </w:pPr>
            <w:r>
              <w:t>296</w:t>
            </w:r>
          </w:p>
        </w:tc>
        <w:tc>
          <w:tcPr>
            <w:tcW w:w="898" w:type="dxa"/>
            <w:noWrap/>
            <w:vAlign w:val="bottom"/>
          </w:tcPr>
          <w:p w:rsidR="009D71A1" w:rsidRPr="00601715" w:rsidRDefault="009D71A1" w:rsidP="00843CF6">
            <w:pPr>
              <w:jc w:val="right"/>
              <w:rPr>
                <w:rFonts w:cs="Lucida Sans Unicode"/>
                <w:bCs/>
                <w:szCs w:val="20"/>
              </w:rPr>
            </w:pPr>
            <w:r>
              <w:t>10</w:t>
            </w:r>
          </w:p>
        </w:tc>
        <w:tc>
          <w:tcPr>
            <w:tcW w:w="863" w:type="dxa"/>
            <w:shd w:val="clear" w:color="auto" w:fill="CCCCCC"/>
            <w:noWrap/>
            <w:vAlign w:val="bottom"/>
          </w:tcPr>
          <w:p w:rsidR="009D71A1" w:rsidRPr="00601715" w:rsidRDefault="009D71A1" w:rsidP="00843CF6">
            <w:pPr>
              <w:jc w:val="right"/>
              <w:rPr>
                <w:rFonts w:cs="Lucida Sans Unicode"/>
                <w:bCs/>
                <w:szCs w:val="20"/>
              </w:rPr>
            </w:pPr>
            <w:r>
              <w:t>934</w:t>
            </w:r>
          </w:p>
        </w:tc>
        <w:tc>
          <w:tcPr>
            <w:tcW w:w="862" w:type="dxa"/>
            <w:noWrap/>
            <w:vAlign w:val="bottom"/>
          </w:tcPr>
          <w:p w:rsidR="009D71A1" w:rsidRPr="00601715" w:rsidRDefault="009D71A1" w:rsidP="00843CF6">
            <w:pPr>
              <w:jc w:val="right"/>
              <w:rPr>
                <w:rFonts w:cs="Lucida Sans Unicode"/>
                <w:bCs/>
                <w:szCs w:val="20"/>
              </w:rPr>
            </w:pPr>
            <w:r>
              <w:t>1,238</w:t>
            </w:r>
          </w:p>
        </w:tc>
        <w:tc>
          <w:tcPr>
            <w:tcW w:w="898" w:type="dxa"/>
            <w:noWrap/>
            <w:vAlign w:val="bottom"/>
          </w:tcPr>
          <w:p w:rsidR="009D71A1" w:rsidRPr="00601715" w:rsidRDefault="009D71A1" w:rsidP="00843CF6">
            <w:pPr>
              <w:jc w:val="right"/>
              <w:rPr>
                <w:rFonts w:cs="Lucida Sans Unicode"/>
                <w:bCs/>
                <w:szCs w:val="20"/>
              </w:rPr>
            </w:pPr>
            <w:r>
              <w:t>-25</w:t>
            </w:r>
          </w:p>
        </w:tc>
      </w:tr>
      <w:tr w:rsidR="009D71A1" w:rsidRPr="00601715" w:rsidTr="00843CF6">
        <w:trPr>
          <w:trHeight w:val="300"/>
        </w:trPr>
        <w:tc>
          <w:tcPr>
            <w:tcW w:w="4678" w:type="dxa"/>
            <w:noWrap/>
            <w:vAlign w:val="bottom"/>
          </w:tcPr>
          <w:p w:rsidR="009D71A1" w:rsidRPr="00601715" w:rsidRDefault="009D71A1" w:rsidP="00843CF6">
            <w:pPr>
              <w:rPr>
                <w:rFonts w:cs="Lucida Sans Unicode"/>
                <w:szCs w:val="20"/>
              </w:rPr>
            </w:pPr>
            <w:r>
              <w:t>Income taxes</w:t>
            </w:r>
          </w:p>
        </w:tc>
        <w:tc>
          <w:tcPr>
            <w:tcW w:w="863" w:type="dxa"/>
            <w:shd w:val="clear" w:color="auto" w:fill="CCCCCC"/>
            <w:noWrap/>
            <w:vAlign w:val="bottom"/>
          </w:tcPr>
          <w:p w:rsidR="009D71A1" w:rsidRPr="00601715" w:rsidRDefault="009D71A1" w:rsidP="00843CF6">
            <w:pPr>
              <w:jc w:val="right"/>
              <w:rPr>
                <w:rFonts w:cs="Lucida Sans Unicode"/>
                <w:szCs w:val="20"/>
              </w:rPr>
            </w:pPr>
            <w:r>
              <w:t>-100</w:t>
            </w:r>
          </w:p>
        </w:tc>
        <w:tc>
          <w:tcPr>
            <w:tcW w:w="862" w:type="dxa"/>
            <w:noWrap/>
            <w:vAlign w:val="bottom"/>
          </w:tcPr>
          <w:p w:rsidR="009D71A1" w:rsidRPr="00601715" w:rsidRDefault="009D71A1" w:rsidP="00843CF6">
            <w:pPr>
              <w:jc w:val="right"/>
              <w:rPr>
                <w:rFonts w:cs="Lucida Sans Unicode"/>
                <w:szCs w:val="20"/>
              </w:rPr>
            </w:pPr>
            <w:r>
              <w:t>-105</w:t>
            </w:r>
          </w:p>
        </w:tc>
        <w:tc>
          <w:tcPr>
            <w:tcW w:w="898" w:type="dxa"/>
            <w:noWrap/>
            <w:vAlign w:val="bottom"/>
          </w:tcPr>
          <w:p w:rsidR="009D71A1" w:rsidRPr="00601715" w:rsidRDefault="009D71A1" w:rsidP="00843CF6">
            <w:pPr>
              <w:jc w:val="right"/>
              <w:rPr>
                <w:rFonts w:cs="Lucida Sans Unicode"/>
                <w:szCs w:val="20"/>
              </w:rPr>
            </w:pPr>
          </w:p>
        </w:tc>
        <w:tc>
          <w:tcPr>
            <w:tcW w:w="863" w:type="dxa"/>
            <w:shd w:val="clear" w:color="auto" w:fill="CCCCCC"/>
            <w:noWrap/>
            <w:vAlign w:val="bottom"/>
          </w:tcPr>
          <w:p w:rsidR="009D71A1" w:rsidRPr="00601715" w:rsidRDefault="009D71A1" w:rsidP="00843CF6">
            <w:pPr>
              <w:jc w:val="right"/>
              <w:rPr>
                <w:rFonts w:cs="Lucida Sans Unicode"/>
                <w:szCs w:val="20"/>
              </w:rPr>
            </w:pPr>
            <w:r>
              <w:t>-297</w:t>
            </w:r>
          </w:p>
        </w:tc>
        <w:tc>
          <w:tcPr>
            <w:tcW w:w="862" w:type="dxa"/>
            <w:noWrap/>
            <w:vAlign w:val="bottom"/>
          </w:tcPr>
          <w:p w:rsidR="009D71A1" w:rsidRPr="00601715" w:rsidRDefault="009D71A1" w:rsidP="00843CF6">
            <w:pPr>
              <w:jc w:val="right"/>
              <w:rPr>
                <w:rFonts w:cs="Lucida Sans Unicode"/>
                <w:szCs w:val="20"/>
              </w:rPr>
            </w:pPr>
            <w:r>
              <w:t>-354</w:t>
            </w:r>
          </w:p>
        </w:tc>
        <w:tc>
          <w:tcPr>
            <w:tcW w:w="898" w:type="dxa"/>
            <w:noWrap/>
            <w:vAlign w:val="bottom"/>
          </w:tcPr>
          <w:p w:rsidR="009D71A1" w:rsidRPr="00601715" w:rsidRDefault="009D71A1" w:rsidP="00843CF6">
            <w:pPr>
              <w:jc w:val="right"/>
              <w:rPr>
                <w:rFonts w:cs="Lucida Sans Unicode"/>
                <w:szCs w:val="20"/>
              </w:rPr>
            </w:pPr>
          </w:p>
        </w:tc>
      </w:tr>
      <w:tr w:rsidR="009D71A1" w:rsidRPr="00601715" w:rsidTr="00843CF6">
        <w:trPr>
          <w:trHeight w:val="300"/>
        </w:trPr>
        <w:tc>
          <w:tcPr>
            <w:tcW w:w="4678" w:type="dxa"/>
            <w:noWrap/>
            <w:vAlign w:val="bottom"/>
          </w:tcPr>
          <w:p w:rsidR="009D71A1" w:rsidRPr="009535CD" w:rsidRDefault="009D71A1" w:rsidP="00843CF6">
            <w:pPr>
              <w:rPr>
                <w:rFonts w:cs="Lucida Sans Unicode"/>
                <w:bCs/>
                <w:szCs w:val="20"/>
              </w:rPr>
            </w:pPr>
            <w:r w:rsidRPr="009535CD">
              <w:t>Income after taxes, continuing operations</w:t>
            </w:r>
          </w:p>
        </w:tc>
        <w:tc>
          <w:tcPr>
            <w:tcW w:w="863" w:type="dxa"/>
            <w:shd w:val="clear" w:color="auto" w:fill="CCCCCC"/>
            <w:noWrap/>
            <w:vAlign w:val="bottom"/>
          </w:tcPr>
          <w:p w:rsidR="009D71A1" w:rsidRPr="00601715" w:rsidRDefault="009D71A1" w:rsidP="00843CF6">
            <w:pPr>
              <w:jc w:val="right"/>
              <w:rPr>
                <w:rFonts w:cs="Lucida Sans Unicode"/>
                <w:bCs/>
                <w:szCs w:val="20"/>
              </w:rPr>
            </w:pPr>
            <w:r>
              <w:t>226</w:t>
            </w:r>
          </w:p>
        </w:tc>
        <w:tc>
          <w:tcPr>
            <w:tcW w:w="862" w:type="dxa"/>
            <w:noWrap/>
            <w:vAlign w:val="bottom"/>
          </w:tcPr>
          <w:p w:rsidR="009D71A1" w:rsidRPr="00601715" w:rsidRDefault="009D71A1" w:rsidP="00843CF6">
            <w:pPr>
              <w:jc w:val="right"/>
              <w:rPr>
                <w:rFonts w:cs="Lucida Sans Unicode"/>
                <w:bCs/>
                <w:szCs w:val="20"/>
              </w:rPr>
            </w:pPr>
            <w:r>
              <w:t>191</w:t>
            </w:r>
          </w:p>
        </w:tc>
        <w:tc>
          <w:tcPr>
            <w:tcW w:w="898" w:type="dxa"/>
            <w:noWrap/>
            <w:vAlign w:val="bottom"/>
          </w:tcPr>
          <w:p w:rsidR="009D71A1" w:rsidRPr="00601715" w:rsidRDefault="009D71A1" w:rsidP="00843CF6">
            <w:pPr>
              <w:jc w:val="right"/>
              <w:rPr>
                <w:rFonts w:cs="Lucida Sans Unicode"/>
                <w:bCs/>
                <w:szCs w:val="20"/>
              </w:rPr>
            </w:pPr>
            <w:r>
              <w:t>18</w:t>
            </w:r>
          </w:p>
        </w:tc>
        <w:tc>
          <w:tcPr>
            <w:tcW w:w="863" w:type="dxa"/>
            <w:shd w:val="clear" w:color="auto" w:fill="CCCCCC"/>
            <w:noWrap/>
            <w:vAlign w:val="bottom"/>
          </w:tcPr>
          <w:p w:rsidR="009D71A1" w:rsidRPr="00601715" w:rsidRDefault="009D71A1" w:rsidP="00843CF6">
            <w:pPr>
              <w:jc w:val="right"/>
              <w:rPr>
                <w:rFonts w:cs="Lucida Sans Unicode"/>
                <w:bCs/>
                <w:szCs w:val="20"/>
              </w:rPr>
            </w:pPr>
            <w:r>
              <w:t>637</w:t>
            </w:r>
          </w:p>
        </w:tc>
        <w:tc>
          <w:tcPr>
            <w:tcW w:w="862" w:type="dxa"/>
            <w:noWrap/>
            <w:vAlign w:val="bottom"/>
          </w:tcPr>
          <w:p w:rsidR="009D71A1" w:rsidRPr="00601715" w:rsidRDefault="009D71A1" w:rsidP="00843CF6">
            <w:pPr>
              <w:jc w:val="right"/>
              <w:rPr>
                <w:rFonts w:cs="Lucida Sans Unicode"/>
                <w:bCs/>
                <w:szCs w:val="20"/>
              </w:rPr>
            </w:pPr>
            <w:r>
              <w:t>884</w:t>
            </w:r>
          </w:p>
        </w:tc>
        <w:tc>
          <w:tcPr>
            <w:tcW w:w="898" w:type="dxa"/>
            <w:noWrap/>
            <w:vAlign w:val="bottom"/>
          </w:tcPr>
          <w:p w:rsidR="009D71A1" w:rsidRPr="00601715" w:rsidRDefault="009D71A1" w:rsidP="00843CF6">
            <w:pPr>
              <w:jc w:val="right"/>
              <w:rPr>
                <w:rFonts w:cs="Lucida Sans Unicode"/>
                <w:bCs/>
                <w:szCs w:val="20"/>
              </w:rPr>
            </w:pPr>
            <w:r>
              <w:t>-28</w:t>
            </w:r>
          </w:p>
        </w:tc>
      </w:tr>
      <w:tr w:rsidR="009D71A1" w:rsidRPr="00601715" w:rsidTr="00843CF6">
        <w:trPr>
          <w:trHeight w:val="300"/>
        </w:trPr>
        <w:tc>
          <w:tcPr>
            <w:tcW w:w="4678" w:type="dxa"/>
            <w:noWrap/>
            <w:vAlign w:val="bottom"/>
          </w:tcPr>
          <w:p w:rsidR="009D71A1" w:rsidRPr="009535CD" w:rsidRDefault="009D71A1" w:rsidP="00843CF6">
            <w:pPr>
              <w:rPr>
                <w:rFonts w:cs="Lucida Sans Unicode"/>
                <w:szCs w:val="20"/>
              </w:rPr>
            </w:pPr>
            <w:r w:rsidRPr="009535CD">
              <w:t>Income after taxes, discontinued operations</w:t>
            </w:r>
          </w:p>
        </w:tc>
        <w:tc>
          <w:tcPr>
            <w:tcW w:w="863" w:type="dxa"/>
            <w:shd w:val="clear" w:color="auto" w:fill="CCCCCC"/>
            <w:noWrap/>
            <w:vAlign w:val="bottom"/>
          </w:tcPr>
          <w:p w:rsidR="009D71A1" w:rsidRPr="00601715" w:rsidRDefault="009D71A1" w:rsidP="00843CF6">
            <w:pPr>
              <w:jc w:val="right"/>
              <w:rPr>
                <w:rFonts w:cs="Lucida Sans Unicode"/>
                <w:szCs w:val="20"/>
              </w:rPr>
            </w:pPr>
            <w:r>
              <w:t>1</w:t>
            </w:r>
          </w:p>
        </w:tc>
        <w:tc>
          <w:tcPr>
            <w:tcW w:w="862" w:type="dxa"/>
            <w:noWrap/>
            <w:vAlign w:val="bottom"/>
          </w:tcPr>
          <w:p w:rsidR="009D71A1" w:rsidRPr="00601715" w:rsidRDefault="009D71A1" w:rsidP="00843CF6">
            <w:pPr>
              <w:jc w:val="right"/>
              <w:rPr>
                <w:rFonts w:cs="Lucida Sans Unicode"/>
                <w:szCs w:val="20"/>
              </w:rPr>
            </w:pPr>
            <w:r>
              <w:t>-</w:t>
            </w:r>
          </w:p>
        </w:tc>
        <w:tc>
          <w:tcPr>
            <w:tcW w:w="898" w:type="dxa"/>
            <w:noWrap/>
            <w:vAlign w:val="bottom"/>
          </w:tcPr>
          <w:p w:rsidR="009D71A1" w:rsidRPr="00601715" w:rsidRDefault="009D71A1" w:rsidP="00843CF6">
            <w:pPr>
              <w:rPr>
                <w:rFonts w:cs="Lucida Sans Unicode"/>
                <w:szCs w:val="20"/>
              </w:rPr>
            </w:pPr>
          </w:p>
        </w:tc>
        <w:tc>
          <w:tcPr>
            <w:tcW w:w="863" w:type="dxa"/>
            <w:shd w:val="clear" w:color="auto" w:fill="CCCCCC"/>
            <w:noWrap/>
            <w:vAlign w:val="bottom"/>
          </w:tcPr>
          <w:p w:rsidR="009D71A1" w:rsidRPr="00601715" w:rsidRDefault="009D71A1" w:rsidP="00843CF6">
            <w:pPr>
              <w:jc w:val="right"/>
              <w:rPr>
                <w:rFonts w:cs="Lucida Sans Unicode"/>
                <w:szCs w:val="20"/>
              </w:rPr>
            </w:pPr>
            <w:r>
              <w:t>1</w:t>
            </w:r>
          </w:p>
        </w:tc>
        <w:tc>
          <w:tcPr>
            <w:tcW w:w="862" w:type="dxa"/>
            <w:noWrap/>
            <w:vAlign w:val="bottom"/>
          </w:tcPr>
          <w:p w:rsidR="009D71A1" w:rsidRPr="00601715" w:rsidRDefault="009D71A1" w:rsidP="00843CF6">
            <w:pPr>
              <w:jc w:val="right"/>
              <w:rPr>
                <w:rFonts w:cs="Lucida Sans Unicode"/>
                <w:szCs w:val="20"/>
              </w:rPr>
            </w:pPr>
            <w:r>
              <w:t>-15</w:t>
            </w:r>
          </w:p>
        </w:tc>
        <w:tc>
          <w:tcPr>
            <w:tcW w:w="898" w:type="dxa"/>
            <w:noWrap/>
            <w:vAlign w:val="bottom"/>
          </w:tcPr>
          <w:p w:rsidR="009D71A1" w:rsidRPr="00601715" w:rsidRDefault="009D71A1" w:rsidP="00843CF6">
            <w:pPr>
              <w:rPr>
                <w:rFonts w:cs="Lucida Sans Unicode"/>
                <w:szCs w:val="20"/>
              </w:rPr>
            </w:pPr>
          </w:p>
        </w:tc>
      </w:tr>
      <w:tr w:rsidR="009D71A1" w:rsidRPr="00601715" w:rsidTr="00843CF6">
        <w:trPr>
          <w:trHeight w:val="300"/>
        </w:trPr>
        <w:tc>
          <w:tcPr>
            <w:tcW w:w="4678" w:type="dxa"/>
            <w:noWrap/>
            <w:vAlign w:val="bottom"/>
          </w:tcPr>
          <w:p w:rsidR="009D71A1" w:rsidRPr="00601715" w:rsidRDefault="009D71A1" w:rsidP="00843CF6">
            <w:pPr>
              <w:rPr>
                <w:rFonts w:cs="Lucida Sans Unicode"/>
                <w:bCs/>
                <w:szCs w:val="20"/>
              </w:rPr>
            </w:pPr>
            <w:r>
              <w:t>Income after taxes</w:t>
            </w:r>
          </w:p>
        </w:tc>
        <w:tc>
          <w:tcPr>
            <w:tcW w:w="863" w:type="dxa"/>
            <w:shd w:val="clear" w:color="auto" w:fill="CCCCCC"/>
            <w:noWrap/>
            <w:vAlign w:val="bottom"/>
          </w:tcPr>
          <w:p w:rsidR="009D71A1" w:rsidRPr="00601715" w:rsidRDefault="009D71A1" w:rsidP="00843CF6">
            <w:pPr>
              <w:jc w:val="right"/>
              <w:rPr>
                <w:rFonts w:cs="Lucida Sans Unicode"/>
                <w:bCs/>
                <w:szCs w:val="20"/>
              </w:rPr>
            </w:pPr>
            <w:r>
              <w:t>227</w:t>
            </w:r>
          </w:p>
        </w:tc>
        <w:tc>
          <w:tcPr>
            <w:tcW w:w="862" w:type="dxa"/>
            <w:noWrap/>
            <w:vAlign w:val="bottom"/>
          </w:tcPr>
          <w:p w:rsidR="009D71A1" w:rsidRPr="00601715" w:rsidRDefault="009D71A1" w:rsidP="00843CF6">
            <w:pPr>
              <w:jc w:val="right"/>
              <w:rPr>
                <w:rFonts w:cs="Lucida Sans Unicode"/>
                <w:bCs/>
                <w:szCs w:val="20"/>
              </w:rPr>
            </w:pPr>
            <w:r>
              <w:t>191</w:t>
            </w:r>
          </w:p>
        </w:tc>
        <w:tc>
          <w:tcPr>
            <w:tcW w:w="898" w:type="dxa"/>
            <w:noWrap/>
            <w:vAlign w:val="bottom"/>
          </w:tcPr>
          <w:p w:rsidR="009D71A1" w:rsidRPr="00601715" w:rsidRDefault="009D71A1" w:rsidP="00843CF6">
            <w:pPr>
              <w:jc w:val="right"/>
              <w:rPr>
                <w:rFonts w:cs="Lucida Sans Unicode"/>
                <w:bCs/>
                <w:szCs w:val="20"/>
              </w:rPr>
            </w:pPr>
            <w:r>
              <w:t>19</w:t>
            </w:r>
          </w:p>
        </w:tc>
        <w:tc>
          <w:tcPr>
            <w:tcW w:w="863" w:type="dxa"/>
            <w:shd w:val="clear" w:color="auto" w:fill="CCCCCC"/>
            <w:noWrap/>
            <w:vAlign w:val="bottom"/>
          </w:tcPr>
          <w:p w:rsidR="009D71A1" w:rsidRPr="00601715" w:rsidRDefault="009D71A1" w:rsidP="00843CF6">
            <w:pPr>
              <w:jc w:val="right"/>
              <w:rPr>
                <w:rFonts w:cs="Lucida Sans Unicode"/>
                <w:szCs w:val="20"/>
              </w:rPr>
            </w:pPr>
            <w:r>
              <w:t>638</w:t>
            </w:r>
          </w:p>
        </w:tc>
        <w:tc>
          <w:tcPr>
            <w:tcW w:w="862" w:type="dxa"/>
            <w:noWrap/>
            <w:vAlign w:val="bottom"/>
          </w:tcPr>
          <w:p w:rsidR="009D71A1" w:rsidRPr="00601715" w:rsidRDefault="009D71A1" w:rsidP="00843CF6">
            <w:pPr>
              <w:jc w:val="right"/>
              <w:rPr>
                <w:rFonts w:cs="Lucida Sans Unicode"/>
                <w:szCs w:val="20"/>
              </w:rPr>
            </w:pPr>
            <w:r>
              <w:t>869</w:t>
            </w:r>
          </w:p>
        </w:tc>
        <w:tc>
          <w:tcPr>
            <w:tcW w:w="898" w:type="dxa"/>
            <w:noWrap/>
            <w:vAlign w:val="bottom"/>
          </w:tcPr>
          <w:p w:rsidR="009D71A1" w:rsidRPr="00601715" w:rsidRDefault="009D71A1" w:rsidP="00843CF6">
            <w:pPr>
              <w:jc w:val="right"/>
              <w:rPr>
                <w:rFonts w:cs="Lucida Sans Unicode"/>
                <w:szCs w:val="20"/>
              </w:rPr>
            </w:pPr>
            <w:r>
              <w:t>-27</w:t>
            </w:r>
          </w:p>
        </w:tc>
      </w:tr>
      <w:tr w:rsidR="009D71A1" w:rsidRPr="00601715" w:rsidTr="00843CF6">
        <w:trPr>
          <w:trHeight w:val="255"/>
        </w:trPr>
        <w:tc>
          <w:tcPr>
            <w:tcW w:w="4678" w:type="dxa"/>
            <w:noWrap/>
            <w:vAlign w:val="bottom"/>
          </w:tcPr>
          <w:p w:rsidR="009D71A1" w:rsidRPr="009535CD" w:rsidRDefault="009D71A1" w:rsidP="00843CF6">
            <w:pPr>
              <w:rPr>
                <w:rFonts w:cs="Lucida Sans Unicode"/>
                <w:szCs w:val="20"/>
              </w:rPr>
            </w:pPr>
            <w:r w:rsidRPr="009535CD">
              <w:t>thereof attributable to non-controlling interests</w:t>
            </w:r>
          </w:p>
        </w:tc>
        <w:tc>
          <w:tcPr>
            <w:tcW w:w="863" w:type="dxa"/>
            <w:shd w:val="clear" w:color="auto" w:fill="CCCCCC"/>
            <w:noWrap/>
            <w:vAlign w:val="bottom"/>
          </w:tcPr>
          <w:p w:rsidR="009D71A1" w:rsidRPr="00601715" w:rsidRDefault="009D71A1" w:rsidP="00843CF6">
            <w:pPr>
              <w:jc w:val="right"/>
              <w:rPr>
                <w:rFonts w:cs="Lucida Sans Unicode"/>
                <w:szCs w:val="20"/>
              </w:rPr>
            </w:pPr>
            <w:r>
              <w:t>4</w:t>
            </w:r>
          </w:p>
        </w:tc>
        <w:tc>
          <w:tcPr>
            <w:tcW w:w="862" w:type="dxa"/>
            <w:noWrap/>
            <w:vAlign w:val="bottom"/>
          </w:tcPr>
          <w:p w:rsidR="009D71A1" w:rsidRPr="00601715" w:rsidRDefault="009D71A1" w:rsidP="00843CF6">
            <w:pPr>
              <w:jc w:val="right"/>
              <w:rPr>
                <w:rFonts w:cs="Lucida Sans Unicode"/>
                <w:szCs w:val="20"/>
              </w:rPr>
            </w:pPr>
            <w:r>
              <w:t>3</w:t>
            </w:r>
          </w:p>
        </w:tc>
        <w:tc>
          <w:tcPr>
            <w:tcW w:w="898" w:type="dxa"/>
            <w:noWrap/>
            <w:vAlign w:val="bottom"/>
          </w:tcPr>
          <w:p w:rsidR="009D71A1" w:rsidRPr="00601715" w:rsidRDefault="009D71A1" w:rsidP="00843CF6">
            <w:pPr>
              <w:rPr>
                <w:rFonts w:cs="Lucida Sans Unicode"/>
                <w:szCs w:val="20"/>
              </w:rPr>
            </w:pPr>
          </w:p>
        </w:tc>
        <w:tc>
          <w:tcPr>
            <w:tcW w:w="863" w:type="dxa"/>
            <w:shd w:val="clear" w:color="auto" w:fill="CCCCCC"/>
            <w:noWrap/>
            <w:vAlign w:val="bottom"/>
          </w:tcPr>
          <w:p w:rsidR="009D71A1" w:rsidRPr="00601715" w:rsidRDefault="009D71A1" w:rsidP="00843CF6">
            <w:pPr>
              <w:jc w:val="right"/>
              <w:rPr>
                <w:rFonts w:cs="Lucida Sans Unicode"/>
                <w:bCs/>
                <w:szCs w:val="20"/>
              </w:rPr>
            </w:pPr>
            <w:r>
              <w:t>10</w:t>
            </w:r>
          </w:p>
        </w:tc>
        <w:tc>
          <w:tcPr>
            <w:tcW w:w="862" w:type="dxa"/>
            <w:noWrap/>
            <w:vAlign w:val="bottom"/>
          </w:tcPr>
          <w:p w:rsidR="009D71A1" w:rsidRPr="00601715" w:rsidRDefault="009D71A1" w:rsidP="00843CF6">
            <w:pPr>
              <w:jc w:val="right"/>
              <w:rPr>
                <w:rFonts w:cs="Lucida Sans Unicode"/>
                <w:bCs/>
                <w:szCs w:val="20"/>
              </w:rPr>
            </w:pPr>
            <w:r>
              <w:t>7</w:t>
            </w:r>
          </w:p>
        </w:tc>
        <w:tc>
          <w:tcPr>
            <w:tcW w:w="898" w:type="dxa"/>
            <w:noWrap/>
            <w:vAlign w:val="bottom"/>
          </w:tcPr>
          <w:p w:rsidR="009D71A1" w:rsidRPr="00601715" w:rsidRDefault="009D71A1" w:rsidP="00843CF6">
            <w:pPr>
              <w:jc w:val="right"/>
              <w:rPr>
                <w:rFonts w:cs="Lucida Sans Unicode"/>
                <w:b/>
                <w:bCs/>
                <w:szCs w:val="20"/>
              </w:rPr>
            </w:pPr>
          </w:p>
        </w:tc>
      </w:tr>
      <w:tr w:rsidR="009D71A1" w:rsidRPr="00601715" w:rsidTr="00843CF6">
        <w:trPr>
          <w:trHeight w:val="255"/>
        </w:trPr>
        <w:tc>
          <w:tcPr>
            <w:tcW w:w="4678" w:type="dxa"/>
            <w:noWrap/>
            <w:vAlign w:val="bottom"/>
          </w:tcPr>
          <w:p w:rsidR="009D71A1" w:rsidRPr="00601715" w:rsidRDefault="009D71A1" w:rsidP="00843CF6">
            <w:pPr>
              <w:rPr>
                <w:rFonts w:cs="Lucida Sans Unicode"/>
                <w:b/>
                <w:szCs w:val="20"/>
              </w:rPr>
            </w:pPr>
            <w:r>
              <w:rPr>
                <w:b/>
              </w:rPr>
              <w:t>Net income</w:t>
            </w:r>
          </w:p>
        </w:tc>
        <w:tc>
          <w:tcPr>
            <w:tcW w:w="863" w:type="dxa"/>
            <w:shd w:val="clear" w:color="auto" w:fill="CCCCCC"/>
            <w:noWrap/>
            <w:vAlign w:val="bottom"/>
          </w:tcPr>
          <w:p w:rsidR="009D71A1" w:rsidRPr="00601715" w:rsidRDefault="009D71A1" w:rsidP="00843CF6">
            <w:pPr>
              <w:jc w:val="right"/>
              <w:rPr>
                <w:rFonts w:cs="Lucida Sans Unicode"/>
                <w:bCs/>
                <w:szCs w:val="20"/>
              </w:rPr>
            </w:pPr>
            <w:r>
              <w:t>223</w:t>
            </w:r>
          </w:p>
        </w:tc>
        <w:tc>
          <w:tcPr>
            <w:tcW w:w="862" w:type="dxa"/>
            <w:noWrap/>
            <w:vAlign w:val="bottom"/>
          </w:tcPr>
          <w:p w:rsidR="009D71A1" w:rsidRPr="00601715" w:rsidRDefault="009D71A1" w:rsidP="00843CF6">
            <w:pPr>
              <w:jc w:val="right"/>
              <w:rPr>
                <w:rFonts w:cs="Lucida Sans Unicode"/>
                <w:bCs/>
                <w:szCs w:val="20"/>
              </w:rPr>
            </w:pPr>
            <w:r>
              <w:t>188</w:t>
            </w:r>
          </w:p>
        </w:tc>
        <w:tc>
          <w:tcPr>
            <w:tcW w:w="898" w:type="dxa"/>
            <w:noWrap/>
            <w:vAlign w:val="bottom"/>
          </w:tcPr>
          <w:p w:rsidR="009D71A1" w:rsidRPr="00601715" w:rsidRDefault="009D71A1" w:rsidP="00843CF6">
            <w:pPr>
              <w:jc w:val="right"/>
              <w:rPr>
                <w:rFonts w:cs="Lucida Sans Unicode"/>
                <w:bCs/>
                <w:szCs w:val="20"/>
              </w:rPr>
            </w:pPr>
            <w:r>
              <w:rPr>
                <w:rFonts w:cs="Lucida Sans Unicode"/>
                <w:bCs/>
                <w:szCs w:val="20"/>
              </w:rPr>
              <w:t>19</w:t>
            </w:r>
          </w:p>
        </w:tc>
        <w:tc>
          <w:tcPr>
            <w:tcW w:w="863" w:type="dxa"/>
            <w:shd w:val="clear" w:color="auto" w:fill="CCCCCC"/>
            <w:noWrap/>
            <w:vAlign w:val="bottom"/>
          </w:tcPr>
          <w:p w:rsidR="009D71A1" w:rsidRPr="00601715" w:rsidRDefault="009D71A1" w:rsidP="00843CF6">
            <w:pPr>
              <w:jc w:val="right"/>
              <w:rPr>
                <w:rFonts w:cs="Lucida Sans Unicode"/>
                <w:bCs/>
                <w:szCs w:val="20"/>
              </w:rPr>
            </w:pPr>
            <w:r>
              <w:t>628</w:t>
            </w:r>
          </w:p>
        </w:tc>
        <w:tc>
          <w:tcPr>
            <w:tcW w:w="862" w:type="dxa"/>
            <w:noWrap/>
            <w:vAlign w:val="bottom"/>
          </w:tcPr>
          <w:p w:rsidR="009D71A1" w:rsidRPr="00601715" w:rsidRDefault="009D71A1" w:rsidP="00843CF6">
            <w:pPr>
              <w:jc w:val="right"/>
              <w:rPr>
                <w:rFonts w:cs="Lucida Sans Unicode"/>
                <w:bCs/>
                <w:szCs w:val="20"/>
              </w:rPr>
            </w:pPr>
            <w:r>
              <w:t>862</w:t>
            </w:r>
          </w:p>
        </w:tc>
        <w:tc>
          <w:tcPr>
            <w:tcW w:w="898" w:type="dxa"/>
            <w:noWrap/>
            <w:vAlign w:val="bottom"/>
          </w:tcPr>
          <w:p w:rsidR="009D71A1" w:rsidRPr="00601715" w:rsidRDefault="009D71A1" w:rsidP="00843CF6">
            <w:pPr>
              <w:jc w:val="right"/>
              <w:rPr>
                <w:rFonts w:cs="Lucida Sans Unicode"/>
                <w:bCs/>
                <w:szCs w:val="20"/>
              </w:rPr>
            </w:pPr>
            <w:r>
              <w:rPr>
                <w:rFonts w:cs="Lucida Sans Unicode"/>
                <w:bCs/>
                <w:szCs w:val="20"/>
              </w:rPr>
              <w:t>-27</w:t>
            </w:r>
          </w:p>
        </w:tc>
      </w:tr>
      <w:tr w:rsidR="009D71A1" w:rsidRPr="00601715" w:rsidTr="00843CF6">
        <w:trPr>
          <w:trHeight w:val="255"/>
        </w:trPr>
        <w:tc>
          <w:tcPr>
            <w:tcW w:w="4678" w:type="dxa"/>
            <w:noWrap/>
            <w:vAlign w:val="bottom"/>
          </w:tcPr>
          <w:p w:rsidR="009D71A1" w:rsidRPr="00601715" w:rsidRDefault="009D71A1" w:rsidP="00843CF6">
            <w:pPr>
              <w:rPr>
                <w:rFonts w:cs="Lucida Sans Unicode"/>
                <w:b/>
                <w:szCs w:val="20"/>
              </w:rPr>
            </w:pPr>
            <w:r>
              <w:rPr>
                <w:b/>
              </w:rPr>
              <w:t>Adjusted net income</w:t>
            </w:r>
          </w:p>
        </w:tc>
        <w:tc>
          <w:tcPr>
            <w:tcW w:w="863" w:type="dxa"/>
            <w:shd w:val="clear" w:color="auto" w:fill="CCCCCC"/>
            <w:noWrap/>
            <w:vAlign w:val="bottom"/>
          </w:tcPr>
          <w:p w:rsidR="009D71A1" w:rsidRPr="00601715" w:rsidRDefault="009D71A1" w:rsidP="00843CF6">
            <w:pPr>
              <w:jc w:val="right"/>
              <w:rPr>
                <w:rFonts w:cs="Lucida Sans Unicode"/>
                <w:b/>
                <w:bCs/>
                <w:szCs w:val="20"/>
              </w:rPr>
            </w:pPr>
            <w:r>
              <w:rPr>
                <w:b/>
              </w:rPr>
              <w:t>247</w:t>
            </w:r>
          </w:p>
        </w:tc>
        <w:tc>
          <w:tcPr>
            <w:tcW w:w="862" w:type="dxa"/>
            <w:noWrap/>
            <w:vAlign w:val="bottom"/>
          </w:tcPr>
          <w:p w:rsidR="009D71A1" w:rsidRPr="00601715" w:rsidRDefault="009D71A1" w:rsidP="00843CF6">
            <w:pPr>
              <w:jc w:val="right"/>
              <w:rPr>
                <w:rFonts w:cs="Lucida Sans Unicode"/>
                <w:b/>
                <w:bCs/>
                <w:szCs w:val="20"/>
              </w:rPr>
            </w:pPr>
            <w:r>
              <w:rPr>
                <w:b/>
              </w:rPr>
              <w:t>296</w:t>
            </w:r>
          </w:p>
        </w:tc>
        <w:tc>
          <w:tcPr>
            <w:tcW w:w="898" w:type="dxa"/>
            <w:noWrap/>
            <w:vAlign w:val="bottom"/>
          </w:tcPr>
          <w:p w:rsidR="009D71A1" w:rsidRPr="00601715" w:rsidRDefault="009D71A1" w:rsidP="00843CF6">
            <w:pPr>
              <w:jc w:val="right"/>
              <w:rPr>
                <w:rFonts w:cs="Lucida Sans Unicode"/>
                <w:b/>
                <w:bCs/>
                <w:szCs w:val="20"/>
              </w:rPr>
            </w:pPr>
            <w:r>
              <w:rPr>
                <w:rFonts w:cs="Lucida Sans Unicode"/>
                <w:b/>
                <w:bCs/>
                <w:szCs w:val="20"/>
              </w:rPr>
              <w:t>-17</w:t>
            </w:r>
          </w:p>
        </w:tc>
        <w:tc>
          <w:tcPr>
            <w:tcW w:w="863" w:type="dxa"/>
            <w:shd w:val="clear" w:color="auto" w:fill="CCCCCC"/>
            <w:noWrap/>
            <w:vAlign w:val="bottom"/>
          </w:tcPr>
          <w:p w:rsidR="009D71A1" w:rsidRPr="00601715" w:rsidRDefault="009D71A1" w:rsidP="00843CF6">
            <w:pPr>
              <w:jc w:val="right"/>
              <w:rPr>
                <w:rFonts w:cs="Lucida Sans Unicode"/>
                <w:b/>
                <w:bCs/>
                <w:szCs w:val="20"/>
              </w:rPr>
            </w:pPr>
            <w:r>
              <w:rPr>
                <w:b/>
              </w:rPr>
              <w:t>748</w:t>
            </w:r>
          </w:p>
        </w:tc>
        <w:tc>
          <w:tcPr>
            <w:tcW w:w="862" w:type="dxa"/>
            <w:noWrap/>
            <w:vAlign w:val="bottom"/>
          </w:tcPr>
          <w:p w:rsidR="009D71A1" w:rsidRPr="00601715" w:rsidRDefault="009D71A1" w:rsidP="00843CF6">
            <w:pPr>
              <w:jc w:val="right"/>
              <w:rPr>
                <w:rFonts w:cs="Lucida Sans Unicode"/>
                <w:b/>
                <w:bCs/>
                <w:szCs w:val="20"/>
              </w:rPr>
            </w:pPr>
            <w:r>
              <w:rPr>
                <w:b/>
              </w:rPr>
              <w:t>923</w:t>
            </w:r>
          </w:p>
        </w:tc>
        <w:tc>
          <w:tcPr>
            <w:tcW w:w="898" w:type="dxa"/>
            <w:noWrap/>
            <w:vAlign w:val="bottom"/>
          </w:tcPr>
          <w:p w:rsidR="009D71A1" w:rsidRPr="00601715" w:rsidRDefault="009D71A1" w:rsidP="00843CF6">
            <w:pPr>
              <w:jc w:val="right"/>
              <w:rPr>
                <w:rFonts w:cs="Lucida Sans Unicode"/>
                <w:b/>
                <w:bCs/>
                <w:szCs w:val="20"/>
              </w:rPr>
            </w:pPr>
            <w:r>
              <w:rPr>
                <w:rFonts w:cs="Lucida Sans Unicode"/>
                <w:b/>
                <w:bCs/>
                <w:szCs w:val="20"/>
              </w:rPr>
              <w:t>-19</w:t>
            </w:r>
          </w:p>
        </w:tc>
      </w:tr>
    </w:tbl>
    <w:p w:rsidR="009D71A1" w:rsidRPr="00601715" w:rsidRDefault="009D71A1" w:rsidP="009D71A1">
      <w:pPr>
        <w:rPr>
          <w:bCs/>
          <w:sz w:val="16"/>
          <w:szCs w:val="16"/>
        </w:rPr>
      </w:pPr>
      <w:r>
        <w:rPr>
          <w:sz w:val="16"/>
          <w:lang w:val="en-US" w:eastAsia="en-US"/>
        </w:rPr>
        <w:t>Prior-year figures restated</w:t>
      </w:r>
    </w:p>
    <w:p w:rsidR="00822D50" w:rsidRDefault="00822D50" w:rsidP="00822D50"/>
    <w:p w:rsidR="009D71A1" w:rsidRDefault="009D71A1">
      <w:pPr>
        <w:spacing w:line="240" w:lineRule="auto"/>
        <w:rPr>
          <w:rFonts w:cs="Lucida Sans Unicode"/>
          <w:b/>
          <w:bCs/>
          <w:sz w:val="20"/>
          <w:szCs w:val="20"/>
        </w:rPr>
      </w:pPr>
      <w:r>
        <w:rPr>
          <w:rFonts w:cs="Lucida Sans Unicode"/>
          <w:b/>
          <w:bCs/>
          <w:sz w:val="20"/>
          <w:szCs w:val="20"/>
        </w:rPr>
        <w:br w:type="page"/>
      </w:r>
    </w:p>
    <w:p w:rsidR="00822D50" w:rsidRPr="00601715" w:rsidRDefault="00822D50" w:rsidP="00822D50">
      <w:pPr>
        <w:spacing w:after="120" w:line="300" w:lineRule="atLeast"/>
        <w:rPr>
          <w:rFonts w:cs="Lucida Sans Unicode"/>
          <w:b/>
          <w:bCs/>
          <w:sz w:val="20"/>
          <w:szCs w:val="20"/>
        </w:rPr>
      </w:pPr>
      <w:r>
        <w:rPr>
          <w:b/>
          <w:sz w:val="20"/>
          <w:lang w:val="en-US" w:eastAsia="en-US"/>
        </w:rPr>
        <w:lastRenderedPageBreak/>
        <w:t>Segment performance</w:t>
      </w:r>
    </w:p>
    <w:tbl>
      <w:tblPr>
        <w:tblW w:w="9884" w:type="dxa"/>
        <w:tblInd w:w="-5" w:type="dxa"/>
        <w:tblCellMar>
          <w:left w:w="70" w:type="dxa"/>
          <w:right w:w="70" w:type="dxa"/>
        </w:tblCellMar>
        <w:tblLook w:val="0000" w:firstRow="0" w:lastRow="0" w:firstColumn="0" w:lastColumn="0" w:noHBand="0" w:noVBand="0"/>
      </w:tblPr>
      <w:tblGrid>
        <w:gridCol w:w="3193"/>
        <w:gridCol w:w="1125"/>
        <w:gridCol w:w="1125"/>
        <w:gridCol w:w="1125"/>
        <w:gridCol w:w="1114"/>
        <w:gridCol w:w="1082"/>
        <w:gridCol w:w="45"/>
        <w:gridCol w:w="1077"/>
      </w:tblGrid>
      <w:tr w:rsidR="00822D50" w:rsidRPr="00601715" w:rsidTr="00843CF6">
        <w:trPr>
          <w:trHeight w:val="271"/>
        </w:trPr>
        <w:tc>
          <w:tcPr>
            <w:tcW w:w="3193" w:type="dxa"/>
            <w:tcBorders>
              <w:top w:val="single" w:sz="4" w:space="0" w:color="auto"/>
              <w:left w:val="single" w:sz="4" w:space="0" w:color="auto"/>
              <w:bottom w:val="nil"/>
              <w:right w:val="single" w:sz="4" w:space="0" w:color="auto"/>
            </w:tcBorders>
            <w:noWrap/>
            <w:vAlign w:val="center"/>
          </w:tcPr>
          <w:p w:rsidR="00822D50" w:rsidRPr="00601715" w:rsidRDefault="00822D50" w:rsidP="00843CF6">
            <w:pPr>
              <w:jc w:val="right"/>
              <w:rPr>
                <w:rFonts w:cs="Lucida Sans Unicode"/>
                <w:b/>
                <w:bCs/>
                <w:szCs w:val="20"/>
              </w:rPr>
            </w:pPr>
            <w:r>
              <w:rPr>
                <w:b/>
              </w:rPr>
              <w:t> </w:t>
            </w:r>
          </w:p>
        </w:tc>
        <w:tc>
          <w:tcPr>
            <w:tcW w:w="3375" w:type="dxa"/>
            <w:gridSpan w:val="3"/>
            <w:tcBorders>
              <w:top w:val="single" w:sz="4" w:space="0" w:color="auto"/>
              <w:left w:val="nil"/>
              <w:bottom w:val="single" w:sz="4" w:space="0" w:color="auto"/>
              <w:right w:val="single" w:sz="4" w:space="0" w:color="000000"/>
            </w:tcBorders>
            <w:noWrap/>
            <w:vAlign w:val="bottom"/>
          </w:tcPr>
          <w:p w:rsidR="00822D50" w:rsidRPr="00601715" w:rsidRDefault="00822D50" w:rsidP="00843CF6">
            <w:pPr>
              <w:jc w:val="center"/>
              <w:rPr>
                <w:rFonts w:cs="Lucida Sans Unicode"/>
                <w:b/>
                <w:bCs/>
                <w:szCs w:val="20"/>
              </w:rPr>
            </w:pPr>
            <w:r>
              <w:rPr>
                <w:b/>
              </w:rPr>
              <w:t xml:space="preserve">Sales Q3 </w:t>
            </w:r>
          </w:p>
        </w:tc>
        <w:tc>
          <w:tcPr>
            <w:tcW w:w="3316" w:type="dxa"/>
            <w:gridSpan w:val="4"/>
            <w:tcBorders>
              <w:top w:val="single" w:sz="4" w:space="0" w:color="auto"/>
              <w:left w:val="nil"/>
              <w:bottom w:val="single" w:sz="4" w:space="0" w:color="auto"/>
              <w:right w:val="single" w:sz="4" w:space="0" w:color="auto"/>
            </w:tcBorders>
            <w:noWrap/>
            <w:vAlign w:val="bottom"/>
          </w:tcPr>
          <w:p w:rsidR="00822D50" w:rsidRPr="00601715" w:rsidRDefault="00822D50" w:rsidP="00843CF6">
            <w:pPr>
              <w:jc w:val="center"/>
              <w:rPr>
                <w:rFonts w:cs="Lucida Sans Unicode"/>
                <w:b/>
                <w:bCs/>
                <w:szCs w:val="20"/>
              </w:rPr>
            </w:pPr>
            <w:r>
              <w:rPr>
                <w:b/>
              </w:rPr>
              <w:t>Adjusted EBITDA Q3</w:t>
            </w:r>
          </w:p>
        </w:tc>
      </w:tr>
      <w:tr w:rsidR="00822D50" w:rsidRPr="00601715" w:rsidTr="00843CF6">
        <w:trPr>
          <w:trHeight w:val="255"/>
        </w:trPr>
        <w:tc>
          <w:tcPr>
            <w:tcW w:w="3193" w:type="dxa"/>
            <w:tcBorders>
              <w:top w:val="nil"/>
              <w:left w:val="single" w:sz="4" w:space="0" w:color="auto"/>
              <w:bottom w:val="nil"/>
              <w:right w:val="single" w:sz="4" w:space="0" w:color="auto"/>
            </w:tcBorders>
            <w:noWrap/>
            <w:vAlign w:val="center"/>
          </w:tcPr>
          <w:p w:rsidR="00822D50" w:rsidRPr="00601715" w:rsidRDefault="00822D50" w:rsidP="00843CF6">
            <w:pPr>
              <w:rPr>
                <w:rFonts w:cs="Lucida Sans Unicode"/>
                <w:b/>
                <w:bCs/>
                <w:szCs w:val="20"/>
              </w:rPr>
            </w:pPr>
          </w:p>
        </w:tc>
        <w:tc>
          <w:tcPr>
            <w:tcW w:w="1125" w:type="dxa"/>
            <w:tcBorders>
              <w:top w:val="single" w:sz="4" w:space="0" w:color="auto"/>
              <w:left w:val="nil"/>
              <w:right w:val="single" w:sz="4" w:space="0" w:color="auto"/>
            </w:tcBorders>
            <w:shd w:val="clear" w:color="auto" w:fill="CCCCCC"/>
            <w:noWrap/>
            <w:vAlign w:val="bottom"/>
          </w:tcPr>
          <w:p w:rsidR="00822D50" w:rsidRPr="00601715" w:rsidRDefault="00822D50" w:rsidP="00843CF6">
            <w:pPr>
              <w:jc w:val="center"/>
              <w:rPr>
                <w:rFonts w:cs="Lucida Sans Unicode"/>
                <w:b/>
                <w:bCs/>
                <w:szCs w:val="20"/>
              </w:rPr>
            </w:pPr>
            <w:r>
              <w:rPr>
                <w:b/>
              </w:rPr>
              <w:t>2016</w:t>
            </w:r>
          </w:p>
        </w:tc>
        <w:tc>
          <w:tcPr>
            <w:tcW w:w="1125" w:type="dxa"/>
            <w:tcBorders>
              <w:top w:val="single" w:sz="4" w:space="0" w:color="auto"/>
              <w:left w:val="single" w:sz="4" w:space="0" w:color="auto"/>
              <w:bottom w:val="nil"/>
              <w:right w:val="single" w:sz="4" w:space="0" w:color="auto"/>
            </w:tcBorders>
            <w:noWrap/>
            <w:vAlign w:val="bottom"/>
          </w:tcPr>
          <w:p w:rsidR="00822D50" w:rsidRPr="00601715" w:rsidRDefault="00822D50" w:rsidP="00843CF6">
            <w:pPr>
              <w:jc w:val="center"/>
              <w:rPr>
                <w:rFonts w:cs="Lucida Sans Unicode"/>
                <w:b/>
                <w:bCs/>
                <w:szCs w:val="20"/>
              </w:rPr>
            </w:pPr>
            <w:r>
              <w:rPr>
                <w:b/>
              </w:rPr>
              <w:t>2015</w:t>
            </w:r>
          </w:p>
        </w:tc>
        <w:tc>
          <w:tcPr>
            <w:tcW w:w="1125" w:type="dxa"/>
            <w:tcBorders>
              <w:top w:val="single" w:sz="4" w:space="0" w:color="auto"/>
              <w:left w:val="single" w:sz="4" w:space="0" w:color="auto"/>
              <w:bottom w:val="nil"/>
              <w:right w:val="single" w:sz="4" w:space="0" w:color="auto"/>
            </w:tcBorders>
            <w:noWrap/>
            <w:vAlign w:val="bottom"/>
          </w:tcPr>
          <w:p w:rsidR="00822D50" w:rsidRPr="00601715" w:rsidRDefault="00822D50" w:rsidP="00843CF6">
            <w:pPr>
              <w:jc w:val="center"/>
              <w:rPr>
                <w:rFonts w:cs="Lucida Sans Unicode"/>
                <w:b/>
                <w:bCs/>
                <w:szCs w:val="20"/>
              </w:rPr>
            </w:pPr>
            <w:r>
              <w:rPr>
                <w:b/>
              </w:rPr>
              <w:t>Change</w:t>
            </w:r>
          </w:p>
        </w:tc>
        <w:tc>
          <w:tcPr>
            <w:tcW w:w="1114" w:type="dxa"/>
            <w:tcBorders>
              <w:top w:val="single" w:sz="4" w:space="0" w:color="auto"/>
              <w:left w:val="nil"/>
              <w:right w:val="single" w:sz="4" w:space="0" w:color="auto"/>
            </w:tcBorders>
            <w:shd w:val="clear" w:color="auto" w:fill="CCCCCC"/>
            <w:noWrap/>
            <w:vAlign w:val="bottom"/>
          </w:tcPr>
          <w:p w:rsidR="00822D50" w:rsidRPr="00601715" w:rsidRDefault="00822D50" w:rsidP="00843CF6">
            <w:pPr>
              <w:jc w:val="center"/>
              <w:rPr>
                <w:rFonts w:cs="Lucida Sans Unicode"/>
                <w:b/>
                <w:bCs/>
                <w:szCs w:val="20"/>
              </w:rPr>
            </w:pPr>
            <w:r>
              <w:rPr>
                <w:b/>
              </w:rPr>
              <w:t>2016</w:t>
            </w:r>
          </w:p>
        </w:tc>
        <w:tc>
          <w:tcPr>
            <w:tcW w:w="1125" w:type="dxa"/>
            <w:gridSpan w:val="2"/>
            <w:tcBorders>
              <w:top w:val="single" w:sz="4" w:space="0" w:color="auto"/>
              <w:left w:val="single" w:sz="4" w:space="0" w:color="auto"/>
              <w:bottom w:val="nil"/>
              <w:right w:val="single" w:sz="4" w:space="0" w:color="auto"/>
            </w:tcBorders>
            <w:noWrap/>
            <w:vAlign w:val="bottom"/>
          </w:tcPr>
          <w:p w:rsidR="00822D50" w:rsidRPr="00601715" w:rsidRDefault="00822D50" w:rsidP="00843CF6">
            <w:pPr>
              <w:jc w:val="center"/>
              <w:rPr>
                <w:rFonts w:cs="Lucida Sans Unicode"/>
                <w:b/>
                <w:bCs/>
                <w:szCs w:val="20"/>
              </w:rPr>
            </w:pPr>
            <w:r>
              <w:rPr>
                <w:b/>
              </w:rPr>
              <w:t>2015</w:t>
            </w:r>
          </w:p>
        </w:tc>
        <w:tc>
          <w:tcPr>
            <w:tcW w:w="1077" w:type="dxa"/>
            <w:tcBorders>
              <w:top w:val="single" w:sz="4" w:space="0" w:color="auto"/>
              <w:left w:val="single" w:sz="4" w:space="0" w:color="auto"/>
              <w:bottom w:val="nil"/>
              <w:right w:val="single" w:sz="4" w:space="0" w:color="auto"/>
            </w:tcBorders>
            <w:noWrap/>
            <w:vAlign w:val="bottom"/>
          </w:tcPr>
          <w:p w:rsidR="00822D50" w:rsidRPr="00601715" w:rsidRDefault="00822D50" w:rsidP="00843CF6">
            <w:pPr>
              <w:jc w:val="center"/>
              <w:rPr>
                <w:rFonts w:cs="Lucida Sans Unicode"/>
                <w:b/>
                <w:bCs/>
                <w:szCs w:val="20"/>
              </w:rPr>
            </w:pPr>
            <w:r>
              <w:rPr>
                <w:b/>
              </w:rPr>
              <w:t>Change</w:t>
            </w:r>
          </w:p>
        </w:tc>
      </w:tr>
      <w:tr w:rsidR="00822D50" w:rsidRPr="00601715" w:rsidTr="00843CF6">
        <w:trPr>
          <w:trHeight w:val="255"/>
        </w:trPr>
        <w:tc>
          <w:tcPr>
            <w:tcW w:w="3193" w:type="dxa"/>
            <w:tcBorders>
              <w:top w:val="nil"/>
              <w:left w:val="single" w:sz="4" w:space="0" w:color="auto"/>
              <w:bottom w:val="single" w:sz="4" w:space="0" w:color="auto"/>
              <w:right w:val="single" w:sz="4" w:space="0" w:color="auto"/>
            </w:tcBorders>
            <w:noWrap/>
            <w:vAlign w:val="center"/>
          </w:tcPr>
          <w:p w:rsidR="00822D50" w:rsidRPr="00601715" w:rsidRDefault="00822D50" w:rsidP="00843CF6">
            <w:pPr>
              <w:rPr>
                <w:rFonts w:cs="Lucida Sans Unicode"/>
                <w:b/>
                <w:bCs/>
                <w:szCs w:val="20"/>
              </w:rPr>
            </w:pPr>
            <w:r>
              <w:rPr>
                <w:b/>
              </w:rPr>
              <w:t> </w:t>
            </w:r>
          </w:p>
        </w:tc>
        <w:tc>
          <w:tcPr>
            <w:tcW w:w="1125" w:type="dxa"/>
            <w:tcBorders>
              <w:left w:val="nil"/>
              <w:bottom w:val="single" w:sz="4" w:space="0" w:color="auto"/>
              <w:right w:val="single" w:sz="4" w:space="0" w:color="auto"/>
            </w:tcBorders>
            <w:shd w:val="clear" w:color="auto" w:fill="CCCCCC"/>
            <w:vAlign w:val="center"/>
          </w:tcPr>
          <w:p w:rsidR="00822D50" w:rsidRPr="00601715" w:rsidRDefault="00822D50" w:rsidP="00843CF6">
            <w:pPr>
              <w:jc w:val="center"/>
              <w:rPr>
                <w:rFonts w:cs="Lucida Sans Unicode"/>
                <w:b/>
                <w:bCs/>
                <w:szCs w:val="20"/>
              </w:rPr>
            </w:pPr>
            <w:r>
              <w:rPr>
                <w:b/>
              </w:rPr>
              <w:t>€ million</w:t>
            </w:r>
          </w:p>
        </w:tc>
        <w:tc>
          <w:tcPr>
            <w:tcW w:w="1125" w:type="dxa"/>
            <w:tcBorders>
              <w:top w:val="nil"/>
              <w:left w:val="single" w:sz="4" w:space="0" w:color="auto"/>
              <w:bottom w:val="single" w:sz="4" w:space="0" w:color="auto"/>
              <w:right w:val="single" w:sz="4" w:space="0" w:color="auto"/>
            </w:tcBorders>
            <w:vAlign w:val="center"/>
          </w:tcPr>
          <w:p w:rsidR="00822D50" w:rsidRPr="00601715" w:rsidRDefault="00822D50" w:rsidP="00843CF6">
            <w:pPr>
              <w:jc w:val="center"/>
              <w:rPr>
                <w:rFonts w:cs="Lucida Sans Unicode"/>
                <w:b/>
                <w:bCs/>
                <w:szCs w:val="20"/>
              </w:rPr>
            </w:pPr>
            <w:r>
              <w:rPr>
                <w:b/>
              </w:rPr>
              <w:t>€ million</w:t>
            </w:r>
          </w:p>
        </w:tc>
        <w:tc>
          <w:tcPr>
            <w:tcW w:w="1125" w:type="dxa"/>
            <w:tcBorders>
              <w:top w:val="nil"/>
              <w:left w:val="single" w:sz="4" w:space="0" w:color="auto"/>
              <w:bottom w:val="single" w:sz="4" w:space="0" w:color="auto"/>
              <w:right w:val="single" w:sz="4" w:space="0" w:color="auto"/>
            </w:tcBorders>
            <w:vAlign w:val="center"/>
          </w:tcPr>
          <w:p w:rsidR="00822D50" w:rsidRPr="00601715" w:rsidRDefault="00822D50" w:rsidP="00843CF6">
            <w:pPr>
              <w:jc w:val="center"/>
              <w:rPr>
                <w:rFonts w:cs="Lucida Sans Unicode"/>
                <w:b/>
                <w:bCs/>
                <w:szCs w:val="20"/>
              </w:rPr>
            </w:pPr>
            <w:r>
              <w:rPr>
                <w:b/>
              </w:rPr>
              <w:t>in %</w:t>
            </w:r>
          </w:p>
        </w:tc>
        <w:tc>
          <w:tcPr>
            <w:tcW w:w="1114" w:type="dxa"/>
            <w:tcBorders>
              <w:left w:val="nil"/>
              <w:bottom w:val="single" w:sz="4" w:space="0" w:color="auto"/>
              <w:right w:val="single" w:sz="4" w:space="0" w:color="auto"/>
            </w:tcBorders>
            <w:shd w:val="clear" w:color="auto" w:fill="CCCCCC"/>
            <w:vAlign w:val="center"/>
          </w:tcPr>
          <w:p w:rsidR="00822D50" w:rsidRPr="00601715" w:rsidRDefault="00822D50" w:rsidP="00843CF6">
            <w:pPr>
              <w:jc w:val="center"/>
              <w:rPr>
                <w:rFonts w:cs="Lucida Sans Unicode"/>
                <w:b/>
                <w:bCs/>
                <w:szCs w:val="20"/>
              </w:rPr>
            </w:pPr>
            <w:r>
              <w:rPr>
                <w:b/>
              </w:rPr>
              <w:t>€ million</w:t>
            </w:r>
          </w:p>
        </w:tc>
        <w:tc>
          <w:tcPr>
            <w:tcW w:w="1125" w:type="dxa"/>
            <w:gridSpan w:val="2"/>
            <w:tcBorders>
              <w:top w:val="nil"/>
              <w:left w:val="single" w:sz="4" w:space="0" w:color="auto"/>
              <w:bottom w:val="single" w:sz="4" w:space="0" w:color="auto"/>
              <w:right w:val="single" w:sz="4" w:space="0" w:color="auto"/>
            </w:tcBorders>
            <w:vAlign w:val="center"/>
          </w:tcPr>
          <w:p w:rsidR="00822D50" w:rsidRPr="00601715" w:rsidRDefault="00822D50" w:rsidP="00843CF6">
            <w:pPr>
              <w:jc w:val="center"/>
              <w:rPr>
                <w:rFonts w:cs="Lucida Sans Unicode"/>
                <w:b/>
                <w:bCs/>
                <w:szCs w:val="20"/>
              </w:rPr>
            </w:pPr>
            <w:r>
              <w:rPr>
                <w:b/>
              </w:rPr>
              <w:t>€ million</w:t>
            </w:r>
          </w:p>
        </w:tc>
        <w:tc>
          <w:tcPr>
            <w:tcW w:w="1077" w:type="dxa"/>
            <w:tcBorders>
              <w:top w:val="nil"/>
              <w:left w:val="single" w:sz="4" w:space="0" w:color="auto"/>
              <w:bottom w:val="single" w:sz="4" w:space="0" w:color="auto"/>
              <w:right w:val="single" w:sz="4" w:space="0" w:color="auto"/>
            </w:tcBorders>
            <w:vAlign w:val="center"/>
          </w:tcPr>
          <w:p w:rsidR="00822D50" w:rsidRPr="00601715" w:rsidRDefault="00822D50" w:rsidP="00843CF6">
            <w:pPr>
              <w:jc w:val="center"/>
              <w:rPr>
                <w:rFonts w:cs="Lucida Sans Unicode"/>
                <w:b/>
                <w:bCs/>
                <w:szCs w:val="20"/>
              </w:rPr>
            </w:pPr>
            <w:r>
              <w:rPr>
                <w:b/>
              </w:rPr>
              <w:t>in %</w:t>
            </w:r>
          </w:p>
        </w:tc>
      </w:tr>
      <w:tr w:rsidR="00822D50" w:rsidRPr="00601715" w:rsidTr="00843CF6">
        <w:trPr>
          <w:trHeight w:val="300"/>
        </w:trPr>
        <w:tc>
          <w:tcPr>
            <w:tcW w:w="3193" w:type="dxa"/>
            <w:tcBorders>
              <w:top w:val="single" w:sz="4" w:space="0" w:color="auto"/>
              <w:left w:val="single" w:sz="4" w:space="0" w:color="auto"/>
              <w:bottom w:val="single" w:sz="4" w:space="0" w:color="auto"/>
              <w:right w:val="single" w:sz="4" w:space="0" w:color="auto"/>
            </w:tcBorders>
            <w:noWrap/>
            <w:vAlign w:val="center"/>
          </w:tcPr>
          <w:p w:rsidR="00822D50" w:rsidRPr="00601715" w:rsidRDefault="00822D50" w:rsidP="00843CF6">
            <w:pPr>
              <w:rPr>
                <w:rFonts w:cs="Lucida Sans Unicode"/>
                <w:szCs w:val="20"/>
              </w:rPr>
            </w:pPr>
            <w:r>
              <w:t>Nutrition &amp; Care</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822D50" w:rsidRPr="00601715" w:rsidRDefault="00822D50" w:rsidP="00843CF6">
            <w:pPr>
              <w:jc w:val="right"/>
              <w:rPr>
                <w:rFonts w:cs="Lucida Sans Unicode"/>
                <w:szCs w:val="20"/>
              </w:rPr>
            </w:pPr>
            <w:r>
              <w:t>1,066</w:t>
            </w:r>
          </w:p>
        </w:tc>
        <w:tc>
          <w:tcPr>
            <w:tcW w:w="1125" w:type="dxa"/>
            <w:tcBorders>
              <w:top w:val="single" w:sz="4" w:space="0" w:color="auto"/>
              <w:left w:val="single" w:sz="4" w:space="0" w:color="auto"/>
              <w:bottom w:val="single" w:sz="4" w:space="0" w:color="auto"/>
              <w:right w:val="single" w:sz="4" w:space="0" w:color="auto"/>
            </w:tcBorders>
            <w:noWrap/>
            <w:vAlign w:val="center"/>
          </w:tcPr>
          <w:p w:rsidR="00822D50" w:rsidRPr="00601715" w:rsidRDefault="00822D50" w:rsidP="00843CF6">
            <w:pPr>
              <w:jc w:val="right"/>
              <w:rPr>
                <w:rFonts w:cs="Lucida Sans Unicode"/>
                <w:szCs w:val="20"/>
              </w:rPr>
            </w:pPr>
            <w:r>
              <w:t>1,240</w:t>
            </w:r>
          </w:p>
        </w:tc>
        <w:tc>
          <w:tcPr>
            <w:tcW w:w="1125" w:type="dxa"/>
            <w:tcBorders>
              <w:top w:val="nil"/>
              <w:left w:val="single" w:sz="4" w:space="0" w:color="auto"/>
              <w:bottom w:val="single" w:sz="4" w:space="0" w:color="auto"/>
              <w:right w:val="single" w:sz="4" w:space="0" w:color="auto"/>
            </w:tcBorders>
            <w:noWrap/>
            <w:vAlign w:val="bottom"/>
          </w:tcPr>
          <w:p w:rsidR="00822D50" w:rsidRPr="00601715" w:rsidRDefault="00822D50" w:rsidP="00843CF6">
            <w:pPr>
              <w:jc w:val="right"/>
              <w:rPr>
                <w:rFonts w:cs="Lucida Sans Unicode"/>
                <w:szCs w:val="20"/>
              </w:rPr>
            </w:pPr>
            <w:r>
              <w:t>-14</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822D50" w:rsidRPr="00601715" w:rsidRDefault="00822D50" w:rsidP="00843CF6">
            <w:pPr>
              <w:jc w:val="right"/>
              <w:rPr>
                <w:rFonts w:cs="Lucida Sans Unicode"/>
                <w:szCs w:val="20"/>
              </w:rPr>
            </w:pPr>
            <w:r>
              <w:t>239</w:t>
            </w:r>
          </w:p>
        </w:tc>
        <w:tc>
          <w:tcPr>
            <w:tcW w:w="1125" w:type="dxa"/>
            <w:gridSpan w:val="2"/>
            <w:tcBorders>
              <w:top w:val="single" w:sz="4" w:space="0" w:color="auto"/>
              <w:left w:val="single" w:sz="4" w:space="0" w:color="auto"/>
              <w:bottom w:val="single" w:sz="4" w:space="0" w:color="auto"/>
              <w:right w:val="single" w:sz="4" w:space="0" w:color="auto"/>
            </w:tcBorders>
            <w:noWrap/>
            <w:vAlign w:val="center"/>
          </w:tcPr>
          <w:p w:rsidR="00822D50" w:rsidRPr="00601715" w:rsidRDefault="00822D50" w:rsidP="00843CF6">
            <w:pPr>
              <w:jc w:val="right"/>
              <w:rPr>
                <w:rFonts w:cs="Lucida Sans Unicode"/>
                <w:szCs w:val="20"/>
              </w:rPr>
            </w:pPr>
            <w:r>
              <w:t>382</w:t>
            </w:r>
          </w:p>
        </w:tc>
        <w:tc>
          <w:tcPr>
            <w:tcW w:w="1077" w:type="dxa"/>
            <w:tcBorders>
              <w:top w:val="nil"/>
              <w:left w:val="single" w:sz="4" w:space="0" w:color="auto"/>
              <w:bottom w:val="single" w:sz="4" w:space="0" w:color="auto"/>
              <w:right w:val="single" w:sz="4" w:space="0" w:color="auto"/>
            </w:tcBorders>
            <w:noWrap/>
            <w:vAlign w:val="bottom"/>
          </w:tcPr>
          <w:p w:rsidR="00822D50" w:rsidRPr="00601715" w:rsidRDefault="00822D50" w:rsidP="00843CF6">
            <w:pPr>
              <w:jc w:val="right"/>
              <w:rPr>
                <w:rFonts w:cs="Lucida Sans Unicode"/>
                <w:szCs w:val="20"/>
              </w:rPr>
            </w:pPr>
            <w:r>
              <w:t>-37</w:t>
            </w:r>
          </w:p>
        </w:tc>
      </w:tr>
      <w:tr w:rsidR="00822D50" w:rsidRPr="00601715" w:rsidTr="00843CF6">
        <w:trPr>
          <w:trHeight w:val="300"/>
        </w:trPr>
        <w:tc>
          <w:tcPr>
            <w:tcW w:w="3193" w:type="dxa"/>
            <w:tcBorders>
              <w:top w:val="nil"/>
              <w:left w:val="single" w:sz="4" w:space="0" w:color="auto"/>
              <w:bottom w:val="single" w:sz="4" w:space="0" w:color="auto"/>
              <w:right w:val="single" w:sz="4" w:space="0" w:color="auto"/>
            </w:tcBorders>
            <w:noWrap/>
            <w:vAlign w:val="center"/>
          </w:tcPr>
          <w:p w:rsidR="00822D50" w:rsidRPr="00601715" w:rsidRDefault="00822D50" w:rsidP="00843CF6">
            <w:pPr>
              <w:rPr>
                <w:rFonts w:cs="Lucida Sans Unicode"/>
                <w:szCs w:val="20"/>
              </w:rPr>
            </w:pPr>
            <w:r>
              <w:t>Resource Efficiency</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822D50" w:rsidRPr="00601715" w:rsidRDefault="00822D50" w:rsidP="00843CF6">
            <w:pPr>
              <w:jc w:val="right"/>
              <w:rPr>
                <w:rFonts w:cs="Lucida Sans Unicode"/>
                <w:szCs w:val="20"/>
              </w:rPr>
            </w:pPr>
            <w:r>
              <w:t>1,117</w:t>
            </w:r>
          </w:p>
        </w:tc>
        <w:tc>
          <w:tcPr>
            <w:tcW w:w="1125" w:type="dxa"/>
            <w:tcBorders>
              <w:top w:val="nil"/>
              <w:left w:val="single" w:sz="4" w:space="0" w:color="auto"/>
              <w:bottom w:val="single" w:sz="4" w:space="0" w:color="auto"/>
              <w:right w:val="single" w:sz="4" w:space="0" w:color="auto"/>
            </w:tcBorders>
            <w:noWrap/>
            <w:vAlign w:val="center"/>
          </w:tcPr>
          <w:p w:rsidR="00822D50" w:rsidRPr="00601715" w:rsidRDefault="00822D50" w:rsidP="00843CF6">
            <w:pPr>
              <w:jc w:val="right"/>
              <w:rPr>
                <w:rFonts w:cs="Lucida Sans Unicode"/>
                <w:szCs w:val="20"/>
              </w:rPr>
            </w:pPr>
            <w:r>
              <w:t>1,044</w:t>
            </w:r>
          </w:p>
        </w:tc>
        <w:tc>
          <w:tcPr>
            <w:tcW w:w="1125" w:type="dxa"/>
            <w:tcBorders>
              <w:top w:val="nil"/>
              <w:left w:val="single" w:sz="4" w:space="0" w:color="auto"/>
              <w:bottom w:val="single" w:sz="4" w:space="0" w:color="auto"/>
              <w:right w:val="single" w:sz="4" w:space="0" w:color="auto"/>
            </w:tcBorders>
            <w:noWrap/>
            <w:vAlign w:val="bottom"/>
          </w:tcPr>
          <w:p w:rsidR="00822D50" w:rsidRPr="00601715" w:rsidRDefault="00822D50" w:rsidP="00843CF6">
            <w:pPr>
              <w:jc w:val="right"/>
              <w:rPr>
                <w:rFonts w:cs="Lucida Sans Unicode"/>
                <w:szCs w:val="20"/>
              </w:rPr>
            </w:pPr>
            <w:r>
              <w:t>7</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822D50" w:rsidRPr="00601715" w:rsidRDefault="00822D50" w:rsidP="00843CF6">
            <w:pPr>
              <w:jc w:val="right"/>
              <w:rPr>
                <w:rFonts w:cs="Lucida Sans Unicode"/>
                <w:szCs w:val="20"/>
              </w:rPr>
            </w:pPr>
            <w:r>
              <w:t>262</w:t>
            </w:r>
          </w:p>
        </w:tc>
        <w:tc>
          <w:tcPr>
            <w:tcW w:w="1125" w:type="dxa"/>
            <w:gridSpan w:val="2"/>
            <w:tcBorders>
              <w:top w:val="nil"/>
              <w:left w:val="single" w:sz="4" w:space="0" w:color="auto"/>
              <w:bottom w:val="single" w:sz="4" w:space="0" w:color="auto"/>
              <w:right w:val="single" w:sz="4" w:space="0" w:color="auto"/>
            </w:tcBorders>
            <w:noWrap/>
            <w:vAlign w:val="center"/>
          </w:tcPr>
          <w:p w:rsidR="00822D50" w:rsidRPr="00601715" w:rsidRDefault="00822D50" w:rsidP="00843CF6">
            <w:pPr>
              <w:jc w:val="right"/>
              <w:rPr>
                <w:rFonts w:cs="Lucida Sans Unicode"/>
                <w:szCs w:val="20"/>
              </w:rPr>
            </w:pPr>
            <w:r>
              <w:t>216</w:t>
            </w:r>
          </w:p>
        </w:tc>
        <w:tc>
          <w:tcPr>
            <w:tcW w:w="1077" w:type="dxa"/>
            <w:tcBorders>
              <w:top w:val="nil"/>
              <w:left w:val="single" w:sz="4" w:space="0" w:color="auto"/>
              <w:bottom w:val="single" w:sz="4" w:space="0" w:color="auto"/>
              <w:right w:val="single" w:sz="4" w:space="0" w:color="auto"/>
            </w:tcBorders>
            <w:noWrap/>
            <w:vAlign w:val="bottom"/>
          </w:tcPr>
          <w:p w:rsidR="00822D50" w:rsidRPr="00601715" w:rsidRDefault="00822D50" w:rsidP="00843CF6">
            <w:pPr>
              <w:jc w:val="right"/>
              <w:rPr>
                <w:rFonts w:cs="Lucida Sans Unicode"/>
                <w:szCs w:val="20"/>
              </w:rPr>
            </w:pPr>
            <w:r>
              <w:t>21</w:t>
            </w:r>
          </w:p>
        </w:tc>
      </w:tr>
      <w:tr w:rsidR="00822D50" w:rsidRPr="00601715" w:rsidTr="00843CF6">
        <w:trPr>
          <w:trHeight w:val="300"/>
        </w:trPr>
        <w:tc>
          <w:tcPr>
            <w:tcW w:w="3193" w:type="dxa"/>
            <w:tcBorders>
              <w:top w:val="nil"/>
              <w:left w:val="single" w:sz="4" w:space="0" w:color="auto"/>
              <w:bottom w:val="single" w:sz="4" w:space="0" w:color="auto"/>
              <w:right w:val="single" w:sz="4" w:space="0" w:color="auto"/>
            </w:tcBorders>
            <w:noWrap/>
            <w:vAlign w:val="center"/>
          </w:tcPr>
          <w:p w:rsidR="00822D50" w:rsidRPr="00601715" w:rsidRDefault="00822D50" w:rsidP="00843CF6">
            <w:pPr>
              <w:rPr>
                <w:rFonts w:cs="Lucida Sans Unicode"/>
                <w:szCs w:val="20"/>
              </w:rPr>
            </w:pPr>
            <w:r>
              <w:t>Performance Materials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822D50" w:rsidRPr="00601715" w:rsidRDefault="00822D50" w:rsidP="00843CF6">
            <w:pPr>
              <w:jc w:val="right"/>
              <w:rPr>
                <w:rFonts w:cs="Lucida Sans Unicode"/>
                <w:szCs w:val="20"/>
              </w:rPr>
            </w:pPr>
            <w:r>
              <w:t>797</w:t>
            </w:r>
          </w:p>
        </w:tc>
        <w:tc>
          <w:tcPr>
            <w:tcW w:w="1125" w:type="dxa"/>
            <w:tcBorders>
              <w:top w:val="nil"/>
              <w:left w:val="single" w:sz="4" w:space="0" w:color="auto"/>
              <w:bottom w:val="single" w:sz="4" w:space="0" w:color="auto"/>
              <w:right w:val="single" w:sz="4" w:space="0" w:color="auto"/>
            </w:tcBorders>
            <w:noWrap/>
            <w:vAlign w:val="center"/>
          </w:tcPr>
          <w:p w:rsidR="00822D50" w:rsidRPr="00601715" w:rsidRDefault="00822D50" w:rsidP="00843CF6">
            <w:pPr>
              <w:jc w:val="right"/>
              <w:rPr>
                <w:rFonts w:cs="Lucida Sans Unicode"/>
                <w:szCs w:val="20"/>
              </w:rPr>
            </w:pPr>
            <w:r>
              <w:t>858</w:t>
            </w:r>
          </w:p>
        </w:tc>
        <w:tc>
          <w:tcPr>
            <w:tcW w:w="1125" w:type="dxa"/>
            <w:tcBorders>
              <w:top w:val="nil"/>
              <w:left w:val="single" w:sz="4" w:space="0" w:color="auto"/>
              <w:bottom w:val="single" w:sz="4" w:space="0" w:color="auto"/>
              <w:right w:val="single" w:sz="4" w:space="0" w:color="auto"/>
            </w:tcBorders>
            <w:noWrap/>
            <w:vAlign w:val="bottom"/>
          </w:tcPr>
          <w:p w:rsidR="00822D50" w:rsidRPr="00601715" w:rsidRDefault="00822D50" w:rsidP="00843CF6">
            <w:pPr>
              <w:jc w:val="right"/>
              <w:rPr>
                <w:rFonts w:cs="Lucida Sans Unicode"/>
                <w:szCs w:val="20"/>
              </w:rPr>
            </w:pPr>
            <w:r>
              <w:t>-7</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822D50" w:rsidRPr="00601715" w:rsidRDefault="00822D50" w:rsidP="00843CF6">
            <w:pPr>
              <w:jc w:val="right"/>
              <w:rPr>
                <w:rFonts w:cs="Lucida Sans Unicode"/>
                <w:szCs w:val="20"/>
              </w:rPr>
            </w:pPr>
            <w:r>
              <w:t>104</w:t>
            </w:r>
          </w:p>
        </w:tc>
        <w:tc>
          <w:tcPr>
            <w:tcW w:w="1125" w:type="dxa"/>
            <w:gridSpan w:val="2"/>
            <w:tcBorders>
              <w:top w:val="nil"/>
              <w:left w:val="single" w:sz="4" w:space="0" w:color="auto"/>
              <w:bottom w:val="single" w:sz="4" w:space="0" w:color="auto"/>
              <w:right w:val="single" w:sz="4" w:space="0" w:color="auto"/>
            </w:tcBorders>
            <w:noWrap/>
            <w:vAlign w:val="center"/>
          </w:tcPr>
          <w:p w:rsidR="00822D50" w:rsidRPr="00601715" w:rsidRDefault="00822D50" w:rsidP="00843CF6">
            <w:pPr>
              <w:jc w:val="right"/>
              <w:rPr>
                <w:rFonts w:cs="Lucida Sans Unicode"/>
                <w:szCs w:val="20"/>
              </w:rPr>
            </w:pPr>
            <w:r>
              <w:t>94</w:t>
            </w:r>
          </w:p>
        </w:tc>
        <w:tc>
          <w:tcPr>
            <w:tcW w:w="1077" w:type="dxa"/>
            <w:tcBorders>
              <w:top w:val="nil"/>
              <w:left w:val="single" w:sz="4" w:space="0" w:color="auto"/>
              <w:bottom w:val="single" w:sz="4" w:space="0" w:color="auto"/>
              <w:right w:val="single" w:sz="4" w:space="0" w:color="auto"/>
            </w:tcBorders>
            <w:noWrap/>
            <w:vAlign w:val="bottom"/>
          </w:tcPr>
          <w:p w:rsidR="00822D50" w:rsidRPr="00601715" w:rsidRDefault="00822D50" w:rsidP="00843CF6">
            <w:pPr>
              <w:jc w:val="right"/>
              <w:rPr>
                <w:rFonts w:cs="Lucida Sans Unicode"/>
                <w:szCs w:val="20"/>
              </w:rPr>
            </w:pPr>
            <w:r>
              <w:t>11</w:t>
            </w:r>
          </w:p>
        </w:tc>
      </w:tr>
      <w:tr w:rsidR="00822D50" w:rsidRPr="00601715" w:rsidTr="00843CF6">
        <w:trPr>
          <w:trHeight w:val="300"/>
        </w:trPr>
        <w:tc>
          <w:tcPr>
            <w:tcW w:w="3193" w:type="dxa"/>
            <w:tcBorders>
              <w:top w:val="nil"/>
              <w:left w:val="single" w:sz="4" w:space="0" w:color="auto"/>
              <w:bottom w:val="single" w:sz="4" w:space="0" w:color="auto"/>
              <w:right w:val="single" w:sz="4" w:space="0" w:color="auto"/>
            </w:tcBorders>
            <w:noWrap/>
            <w:vAlign w:val="center"/>
          </w:tcPr>
          <w:p w:rsidR="00822D50" w:rsidRPr="00601715" w:rsidRDefault="00822D50" w:rsidP="00843CF6">
            <w:pPr>
              <w:rPr>
                <w:rFonts w:cs="Lucida Sans Unicode"/>
                <w:szCs w:val="20"/>
              </w:rPr>
            </w:pPr>
            <w:r>
              <w:t>Services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822D50" w:rsidRPr="00601715" w:rsidRDefault="00822D50" w:rsidP="00843CF6">
            <w:pPr>
              <w:jc w:val="right"/>
              <w:rPr>
                <w:rFonts w:cs="Lucida Sans Unicode"/>
                <w:szCs w:val="20"/>
              </w:rPr>
            </w:pPr>
            <w:r>
              <w:t>173</w:t>
            </w:r>
          </w:p>
        </w:tc>
        <w:tc>
          <w:tcPr>
            <w:tcW w:w="1125" w:type="dxa"/>
            <w:tcBorders>
              <w:top w:val="nil"/>
              <w:left w:val="single" w:sz="4" w:space="0" w:color="auto"/>
              <w:bottom w:val="single" w:sz="4" w:space="0" w:color="auto"/>
              <w:right w:val="single" w:sz="4" w:space="0" w:color="auto"/>
            </w:tcBorders>
            <w:noWrap/>
            <w:vAlign w:val="center"/>
          </w:tcPr>
          <w:p w:rsidR="00822D50" w:rsidRPr="00601715" w:rsidRDefault="00822D50" w:rsidP="00843CF6">
            <w:pPr>
              <w:jc w:val="right"/>
              <w:rPr>
                <w:rFonts w:cs="Lucida Sans Unicode"/>
                <w:szCs w:val="20"/>
              </w:rPr>
            </w:pPr>
            <w:r>
              <w:t>207</w:t>
            </w:r>
          </w:p>
        </w:tc>
        <w:tc>
          <w:tcPr>
            <w:tcW w:w="1125" w:type="dxa"/>
            <w:tcBorders>
              <w:top w:val="nil"/>
              <w:left w:val="single" w:sz="4" w:space="0" w:color="auto"/>
              <w:bottom w:val="single" w:sz="4" w:space="0" w:color="auto"/>
              <w:right w:val="single" w:sz="4" w:space="0" w:color="auto"/>
            </w:tcBorders>
            <w:noWrap/>
            <w:vAlign w:val="bottom"/>
          </w:tcPr>
          <w:p w:rsidR="00822D50" w:rsidRPr="00601715" w:rsidRDefault="00822D50" w:rsidP="00843CF6">
            <w:pPr>
              <w:jc w:val="right"/>
              <w:rPr>
                <w:rFonts w:cs="Lucida Sans Unicode"/>
                <w:szCs w:val="20"/>
              </w:rPr>
            </w:pPr>
            <w:r>
              <w:t>-16</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822D50" w:rsidRPr="00601715" w:rsidRDefault="00822D50" w:rsidP="00843CF6">
            <w:pPr>
              <w:jc w:val="right"/>
              <w:rPr>
                <w:rFonts w:cs="Lucida Sans Unicode"/>
                <w:szCs w:val="20"/>
              </w:rPr>
            </w:pPr>
            <w:r>
              <w:t>50</w:t>
            </w:r>
          </w:p>
        </w:tc>
        <w:tc>
          <w:tcPr>
            <w:tcW w:w="1125" w:type="dxa"/>
            <w:gridSpan w:val="2"/>
            <w:tcBorders>
              <w:top w:val="nil"/>
              <w:left w:val="single" w:sz="4" w:space="0" w:color="auto"/>
              <w:bottom w:val="single" w:sz="4" w:space="0" w:color="auto"/>
              <w:right w:val="single" w:sz="4" w:space="0" w:color="auto"/>
            </w:tcBorders>
            <w:noWrap/>
            <w:vAlign w:val="center"/>
          </w:tcPr>
          <w:p w:rsidR="00822D50" w:rsidRPr="00601715" w:rsidRDefault="00822D50" w:rsidP="00843CF6">
            <w:pPr>
              <w:jc w:val="right"/>
              <w:rPr>
                <w:rFonts w:cs="Lucida Sans Unicode"/>
                <w:szCs w:val="20"/>
              </w:rPr>
            </w:pPr>
            <w:r>
              <w:t>46</w:t>
            </w:r>
          </w:p>
        </w:tc>
        <w:tc>
          <w:tcPr>
            <w:tcW w:w="1077" w:type="dxa"/>
            <w:tcBorders>
              <w:top w:val="nil"/>
              <w:left w:val="single" w:sz="4" w:space="0" w:color="auto"/>
              <w:bottom w:val="single" w:sz="4" w:space="0" w:color="auto"/>
              <w:right w:val="single" w:sz="4" w:space="0" w:color="auto"/>
            </w:tcBorders>
            <w:noWrap/>
            <w:vAlign w:val="bottom"/>
          </w:tcPr>
          <w:p w:rsidR="00822D50" w:rsidRPr="00601715" w:rsidRDefault="00822D50" w:rsidP="00843CF6">
            <w:pPr>
              <w:jc w:val="right"/>
              <w:rPr>
                <w:rFonts w:cs="Lucida Sans Unicode"/>
                <w:szCs w:val="20"/>
              </w:rPr>
            </w:pPr>
            <w:r>
              <w:t>9</w:t>
            </w:r>
          </w:p>
        </w:tc>
      </w:tr>
      <w:tr w:rsidR="00822D50" w:rsidRPr="00601715" w:rsidTr="00843CF6">
        <w:trPr>
          <w:trHeight w:val="300"/>
        </w:trPr>
        <w:tc>
          <w:tcPr>
            <w:tcW w:w="3193" w:type="dxa"/>
            <w:tcBorders>
              <w:top w:val="nil"/>
              <w:left w:val="single" w:sz="4" w:space="0" w:color="auto"/>
              <w:bottom w:val="single" w:sz="4" w:space="0" w:color="auto"/>
              <w:right w:val="single" w:sz="4" w:space="0" w:color="auto"/>
            </w:tcBorders>
            <w:noWrap/>
            <w:vAlign w:val="center"/>
          </w:tcPr>
          <w:p w:rsidR="00822D50" w:rsidRPr="00601715" w:rsidRDefault="00822D50" w:rsidP="00843CF6">
            <w:pPr>
              <w:rPr>
                <w:rFonts w:cs="Lucida Sans Unicode"/>
                <w:szCs w:val="20"/>
              </w:rPr>
            </w:pPr>
            <w:r>
              <w:t>Other operations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822D50" w:rsidRPr="00601715" w:rsidRDefault="00822D50" w:rsidP="00843CF6">
            <w:pPr>
              <w:jc w:val="right"/>
              <w:rPr>
                <w:rFonts w:cs="Lucida Sans Unicode"/>
                <w:szCs w:val="20"/>
              </w:rPr>
            </w:pPr>
            <w:r>
              <w:t>11</w:t>
            </w:r>
          </w:p>
        </w:tc>
        <w:tc>
          <w:tcPr>
            <w:tcW w:w="1125" w:type="dxa"/>
            <w:tcBorders>
              <w:top w:val="nil"/>
              <w:left w:val="single" w:sz="4" w:space="0" w:color="auto"/>
              <w:bottom w:val="single" w:sz="4" w:space="0" w:color="auto"/>
              <w:right w:val="single" w:sz="4" w:space="0" w:color="auto"/>
            </w:tcBorders>
            <w:noWrap/>
            <w:vAlign w:val="center"/>
          </w:tcPr>
          <w:p w:rsidR="00822D50" w:rsidRPr="00601715" w:rsidRDefault="00822D50" w:rsidP="00843CF6">
            <w:pPr>
              <w:jc w:val="right"/>
              <w:rPr>
                <w:rFonts w:cs="Lucida Sans Unicode"/>
                <w:szCs w:val="20"/>
              </w:rPr>
            </w:pPr>
            <w:r>
              <w:t>16</w:t>
            </w:r>
          </w:p>
        </w:tc>
        <w:tc>
          <w:tcPr>
            <w:tcW w:w="1125" w:type="dxa"/>
            <w:tcBorders>
              <w:top w:val="nil"/>
              <w:left w:val="single" w:sz="4" w:space="0" w:color="auto"/>
              <w:bottom w:val="single" w:sz="4" w:space="0" w:color="auto"/>
              <w:right w:val="single" w:sz="4" w:space="0" w:color="auto"/>
            </w:tcBorders>
            <w:noWrap/>
            <w:vAlign w:val="bottom"/>
          </w:tcPr>
          <w:p w:rsidR="00822D50" w:rsidRPr="00601715" w:rsidRDefault="00822D50" w:rsidP="00843CF6">
            <w:pPr>
              <w:jc w:val="right"/>
              <w:rPr>
                <w:rFonts w:cs="Lucida Sans Unicode"/>
                <w:szCs w:val="20"/>
              </w:rPr>
            </w:pP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822D50" w:rsidRPr="00601715" w:rsidRDefault="00822D50" w:rsidP="00843CF6">
            <w:pPr>
              <w:jc w:val="right"/>
              <w:rPr>
                <w:rFonts w:cs="Lucida Sans Unicode"/>
                <w:szCs w:val="20"/>
              </w:rPr>
            </w:pPr>
            <w:r>
              <w:t>-21</w:t>
            </w:r>
          </w:p>
        </w:tc>
        <w:tc>
          <w:tcPr>
            <w:tcW w:w="1125" w:type="dxa"/>
            <w:gridSpan w:val="2"/>
            <w:tcBorders>
              <w:top w:val="nil"/>
              <w:left w:val="single" w:sz="4" w:space="0" w:color="auto"/>
              <w:bottom w:val="single" w:sz="4" w:space="0" w:color="auto"/>
              <w:right w:val="single" w:sz="4" w:space="0" w:color="auto"/>
            </w:tcBorders>
            <w:noWrap/>
            <w:vAlign w:val="center"/>
          </w:tcPr>
          <w:p w:rsidR="00822D50" w:rsidRPr="00601715" w:rsidRDefault="00822D50" w:rsidP="00843CF6">
            <w:pPr>
              <w:jc w:val="right"/>
              <w:rPr>
                <w:rFonts w:cs="Lucida Sans Unicode"/>
                <w:szCs w:val="20"/>
              </w:rPr>
            </w:pPr>
            <w:r>
              <w:t>-34</w:t>
            </w:r>
          </w:p>
        </w:tc>
        <w:tc>
          <w:tcPr>
            <w:tcW w:w="1077" w:type="dxa"/>
            <w:tcBorders>
              <w:top w:val="nil"/>
              <w:left w:val="single" w:sz="4" w:space="0" w:color="auto"/>
              <w:bottom w:val="single" w:sz="4" w:space="0" w:color="auto"/>
              <w:right w:val="single" w:sz="4" w:space="0" w:color="auto"/>
            </w:tcBorders>
            <w:noWrap/>
            <w:vAlign w:val="bottom"/>
          </w:tcPr>
          <w:p w:rsidR="00822D50" w:rsidRPr="00601715" w:rsidRDefault="00822D50" w:rsidP="00843CF6">
            <w:pPr>
              <w:jc w:val="right"/>
              <w:rPr>
                <w:rFonts w:cs="Lucida Sans Unicode"/>
                <w:szCs w:val="20"/>
              </w:rPr>
            </w:pPr>
          </w:p>
        </w:tc>
      </w:tr>
      <w:tr w:rsidR="00822D50" w:rsidRPr="00601715" w:rsidTr="00843CF6">
        <w:trPr>
          <w:trHeight w:val="300"/>
        </w:trPr>
        <w:tc>
          <w:tcPr>
            <w:tcW w:w="3193" w:type="dxa"/>
            <w:tcBorders>
              <w:top w:val="single" w:sz="4" w:space="0" w:color="auto"/>
              <w:left w:val="single" w:sz="4" w:space="0" w:color="auto"/>
              <w:bottom w:val="single" w:sz="4" w:space="0" w:color="auto"/>
              <w:right w:val="single" w:sz="4" w:space="0" w:color="auto"/>
            </w:tcBorders>
            <w:noWrap/>
            <w:vAlign w:val="center"/>
          </w:tcPr>
          <w:p w:rsidR="00822D50" w:rsidRPr="00601715" w:rsidRDefault="00822D50" w:rsidP="00843CF6">
            <w:pPr>
              <w:rPr>
                <w:rFonts w:cs="Lucida Sans Unicode"/>
                <w:b/>
                <w:bCs/>
                <w:szCs w:val="20"/>
              </w:rPr>
            </w:pPr>
            <w:r>
              <w:rPr>
                <w:b/>
              </w:rPr>
              <w:t>Group</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822D50" w:rsidRPr="00601715" w:rsidRDefault="00822D50" w:rsidP="00843CF6">
            <w:pPr>
              <w:jc w:val="right"/>
              <w:rPr>
                <w:rFonts w:cs="Lucida Sans Unicode"/>
                <w:bCs/>
                <w:szCs w:val="20"/>
              </w:rPr>
            </w:pPr>
            <w:r>
              <w:t>3,164</w:t>
            </w:r>
          </w:p>
        </w:tc>
        <w:tc>
          <w:tcPr>
            <w:tcW w:w="1125" w:type="dxa"/>
            <w:tcBorders>
              <w:top w:val="single" w:sz="4" w:space="0" w:color="auto"/>
              <w:left w:val="single" w:sz="4" w:space="0" w:color="auto"/>
              <w:bottom w:val="single" w:sz="4" w:space="0" w:color="auto"/>
              <w:right w:val="single" w:sz="4" w:space="0" w:color="auto"/>
            </w:tcBorders>
            <w:noWrap/>
            <w:vAlign w:val="center"/>
          </w:tcPr>
          <w:p w:rsidR="00822D50" w:rsidRPr="00601715" w:rsidRDefault="00822D50" w:rsidP="00843CF6">
            <w:pPr>
              <w:jc w:val="right"/>
              <w:rPr>
                <w:rFonts w:cs="Lucida Sans Unicode"/>
                <w:bCs/>
                <w:szCs w:val="20"/>
              </w:rPr>
            </w:pPr>
            <w:r>
              <w:t>3,365</w:t>
            </w:r>
          </w:p>
        </w:tc>
        <w:tc>
          <w:tcPr>
            <w:tcW w:w="1125" w:type="dxa"/>
            <w:tcBorders>
              <w:top w:val="single" w:sz="4" w:space="0" w:color="auto"/>
              <w:left w:val="single" w:sz="4" w:space="0" w:color="auto"/>
              <w:bottom w:val="single" w:sz="4" w:space="0" w:color="auto"/>
              <w:right w:val="single" w:sz="4" w:space="0" w:color="auto"/>
            </w:tcBorders>
            <w:noWrap/>
            <w:vAlign w:val="bottom"/>
          </w:tcPr>
          <w:p w:rsidR="00822D50" w:rsidRPr="00601715" w:rsidRDefault="00822D50" w:rsidP="00843CF6">
            <w:pPr>
              <w:jc w:val="right"/>
              <w:rPr>
                <w:rFonts w:cs="Lucida Sans Unicode"/>
                <w:bCs/>
                <w:szCs w:val="20"/>
              </w:rPr>
            </w:pPr>
            <w:r>
              <w:rPr>
                <w:rFonts w:cs="Lucida Sans Unicode"/>
                <w:bCs/>
                <w:szCs w:val="20"/>
              </w:rPr>
              <w:t>-6</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822D50" w:rsidRPr="00601715" w:rsidRDefault="00822D50" w:rsidP="00843CF6">
            <w:pPr>
              <w:jc w:val="right"/>
              <w:rPr>
                <w:rFonts w:cs="Lucida Sans Unicode"/>
                <w:bCs/>
                <w:szCs w:val="20"/>
              </w:rPr>
            </w:pPr>
            <w:r>
              <w:t>578</w:t>
            </w:r>
          </w:p>
        </w:tc>
        <w:tc>
          <w:tcPr>
            <w:tcW w:w="1125" w:type="dxa"/>
            <w:gridSpan w:val="2"/>
            <w:tcBorders>
              <w:top w:val="single" w:sz="4" w:space="0" w:color="auto"/>
              <w:left w:val="single" w:sz="4" w:space="0" w:color="auto"/>
              <w:bottom w:val="single" w:sz="4" w:space="0" w:color="auto"/>
              <w:right w:val="single" w:sz="4" w:space="0" w:color="auto"/>
            </w:tcBorders>
            <w:noWrap/>
            <w:vAlign w:val="center"/>
          </w:tcPr>
          <w:p w:rsidR="00822D50" w:rsidRPr="00601715" w:rsidRDefault="00822D50" w:rsidP="00843CF6">
            <w:pPr>
              <w:jc w:val="right"/>
              <w:rPr>
                <w:rFonts w:cs="Lucida Sans Unicode"/>
                <w:bCs/>
                <w:szCs w:val="20"/>
              </w:rPr>
            </w:pPr>
            <w:r>
              <w:t>653</w:t>
            </w:r>
          </w:p>
        </w:tc>
        <w:tc>
          <w:tcPr>
            <w:tcW w:w="1077" w:type="dxa"/>
            <w:tcBorders>
              <w:top w:val="single" w:sz="4" w:space="0" w:color="auto"/>
              <w:left w:val="single" w:sz="4" w:space="0" w:color="auto"/>
              <w:bottom w:val="single" w:sz="4" w:space="0" w:color="auto"/>
              <w:right w:val="single" w:sz="4" w:space="0" w:color="auto"/>
            </w:tcBorders>
            <w:noWrap/>
            <w:vAlign w:val="bottom"/>
          </w:tcPr>
          <w:p w:rsidR="00822D50" w:rsidRPr="00601715" w:rsidRDefault="00822D50" w:rsidP="00843CF6">
            <w:pPr>
              <w:jc w:val="right"/>
              <w:rPr>
                <w:rFonts w:cs="Lucida Sans Unicode"/>
                <w:bCs/>
                <w:szCs w:val="20"/>
              </w:rPr>
            </w:pPr>
            <w:r>
              <w:t>-11</w:t>
            </w:r>
          </w:p>
        </w:tc>
      </w:tr>
      <w:tr w:rsidR="00822D50" w:rsidRPr="00601715" w:rsidTr="00843CF6">
        <w:trPr>
          <w:trHeight w:val="255"/>
        </w:trPr>
        <w:tc>
          <w:tcPr>
            <w:tcW w:w="3193" w:type="dxa"/>
            <w:tcBorders>
              <w:top w:val="single" w:sz="4" w:space="0" w:color="auto"/>
              <w:left w:val="single" w:sz="4" w:space="0" w:color="auto"/>
              <w:bottom w:val="nil"/>
              <w:right w:val="single" w:sz="4" w:space="0" w:color="auto"/>
            </w:tcBorders>
            <w:noWrap/>
            <w:vAlign w:val="center"/>
          </w:tcPr>
          <w:p w:rsidR="00822D50" w:rsidRPr="00601715" w:rsidRDefault="00822D50" w:rsidP="00843CF6">
            <w:pPr>
              <w:jc w:val="right"/>
              <w:rPr>
                <w:rFonts w:cs="Lucida Sans Unicode"/>
                <w:b/>
                <w:bCs/>
                <w:szCs w:val="20"/>
              </w:rPr>
            </w:pPr>
            <w:r>
              <w:rPr>
                <w:b/>
              </w:rPr>
              <w:t> </w:t>
            </w:r>
          </w:p>
        </w:tc>
        <w:tc>
          <w:tcPr>
            <w:tcW w:w="3375" w:type="dxa"/>
            <w:gridSpan w:val="3"/>
            <w:tcBorders>
              <w:top w:val="single" w:sz="4" w:space="0" w:color="auto"/>
              <w:left w:val="nil"/>
              <w:bottom w:val="single" w:sz="4" w:space="0" w:color="auto"/>
              <w:right w:val="single" w:sz="4" w:space="0" w:color="auto"/>
            </w:tcBorders>
            <w:noWrap/>
            <w:vAlign w:val="bottom"/>
          </w:tcPr>
          <w:p w:rsidR="00822D50" w:rsidRPr="00601715" w:rsidRDefault="00822D50" w:rsidP="00843CF6">
            <w:pPr>
              <w:jc w:val="center"/>
              <w:rPr>
                <w:rFonts w:cs="Lucida Sans Unicode"/>
                <w:b/>
                <w:bCs/>
                <w:szCs w:val="20"/>
              </w:rPr>
            </w:pPr>
            <w:r>
              <w:rPr>
                <w:b/>
              </w:rPr>
              <w:t>Sales 9M</w:t>
            </w:r>
          </w:p>
        </w:tc>
        <w:tc>
          <w:tcPr>
            <w:tcW w:w="3316" w:type="dxa"/>
            <w:gridSpan w:val="4"/>
            <w:tcBorders>
              <w:top w:val="single" w:sz="4" w:space="0" w:color="auto"/>
              <w:left w:val="single" w:sz="4" w:space="0" w:color="auto"/>
              <w:bottom w:val="single" w:sz="4" w:space="0" w:color="auto"/>
              <w:right w:val="single" w:sz="4" w:space="0" w:color="auto"/>
            </w:tcBorders>
            <w:noWrap/>
            <w:vAlign w:val="bottom"/>
          </w:tcPr>
          <w:p w:rsidR="00822D50" w:rsidRPr="00601715" w:rsidRDefault="00822D50" w:rsidP="00843CF6">
            <w:pPr>
              <w:jc w:val="center"/>
              <w:rPr>
                <w:rFonts w:cs="Lucida Sans Unicode"/>
                <w:b/>
                <w:bCs/>
                <w:szCs w:val="20"/>
              </w:rPr>
            </w:pPr>
            <w:r>
              <w:rPr>
                <w:b/>
              </w:rPr>
              <w:t>Adjusted EBITDA 9M</w:t>
            </w:r>
          </w:p>
        </w:tc>
      </w:tr>
      <w:tr w:rsidR="00822D50" w:rsidRPr="00601715" w:rsidTr="00843CF6">
        <w:trPr>
          <w:trHeight w:val="255"/>
        </w:trPr>
        <w:tc>
          <w:tcPr>
            <w:tcW w:w="3193" w:type="dxa"/>
            <w:tcBorders>
              <w:top w:val="nil"/>
              <w:left w:val="single" w:sz="4" w:space="0" w:color="auto"/>
              <w:bottom w:val="nil"/>
              <w:right w:val="single" w:sz="4" w:space="0" w:color="auto"/>
            </w:tcBorders>
            <w:noWrap/>
            <w:vAlign w:val="center"/>
          </w:tcPr>
          <w:p w:rsidR="00822D50" w:rsidRPr="00601715" w:rsidRDefault="00822D50" w:rsidP="00843CF6">
            <w:pPr>
              <w:rPr>
                <w:rFonts w:cs="Lucida Sans Unicode"/>
                <w:b/>
                <w:bCs/>
                <w:szCs w:val="20"/>
              </w:rPr>
            </w:pPr>
          </w:p>
        </w:tc>
        <w:tc>
          <w:tcPr>
            <w:tcW w:w="1125" w:type="dxa"/>
            <w:tcBorders>
              <w:top w:val="single" w:sz="4" w:space="0" w:color="auto"/>
              <w:left w:val="nil"/>
              <w:right w:val="single" w:sz="4" w:space="0" w:color="auto"/>
            </w:tcBorders>
            <w:shd w:val="clear" w:color="auto" w:fill="CCCCCC"/>
            <w:noWrap/>
            <w:vAlign w:val="bottom"/>
          </w:tcPr>
          <w:p w:rsidR="00822D50" w:rsidRPr="00601715" w:rsidRDefault="00822D50" w:rsidP="00843CF6">
            <w:pPr>
              <w:jc w:val="center"/>
              <w:rPr>
                <w:rFonts w:cs="Lucida Sans Unicode"/>
                <w:b/>
                <w:bCs/>
                <w:szCs w:val="20"/>
              </w:rPr>
            </w:pPr>
            <w:r>
              <w:rPr>
                <w:b/>
              </w:rPr>
              <w:t>2016</w:t>
            </w:r>
          </w:p>
        </w:tc>
        <w:tc>
          <w:tcPr>
            <w:tcW w:w="1125" w:type="dxa"/>
            <w:tcBorders>
              <w:top w:val="single" w:sz="4" w:space="0" w:color="auto"/>
              <w:left w:val="single" w:sz="4" w:space="0" w:color="auto"/>
              <w:bottom w:val="nil"/>
              <w:right w:val="single" w:sz="4" w:space="0" w:color="auto"/>
            </w:tcBorders>
            <w:noWrap/>
            <w:vAlign w:val="bottom"/>
          </w:tcPr>
          <w:p w:rsidR="00822D50" w:rsidRPr="00601715" w:rsidRDefault="00822D50" w:rsidP="00843CF6">
            <w:pPr>
              <w:jc w:val="center"/>
              <w:rPr>
                <w:rFonts w:cs="Lucida Sans Unicode"/>
                <w:b/>
                <w:bCs/>
                <w:szCs w:val="20"/>
              </w:rPr>
            </w:pPr>
            <w:r>
              <w:rPr>
                <w:b/>
              </w:rPr>
              <w:t>2015</w:t>
            </w:r>
          </w:p>
        </w:tc>
        <w:tc>
          <w:tcPr>
            <w:tcW w:w="1125" w:type="dxa"/>
            <w:tcBorders>
              <w:top w:val="single" w:sz="4" w:space="0" w:color="auto"/>
              <w:left w:val="single" w:sz="4" w:space="0" w:color="auto"/>
              <w:bottom w:val="nil"/>
              <w:right w:val="single" w:sz="4" w:space="0" w:color="auto"/>
            </w:tcBorders>
            <w:noWrap/>
            <w:vAlign w:val="bottom"/>
          </w:tcPr>
          <w:p w:rsidR="00822D50" w:rsidRPr="00601715" w:rsidRDefault="00822D50" w:rsidP="00843CF6">
            <w:pPr>
              <w:jc w:val="center"/>
              <w:rPr>
                <w:rFonts w:cs="Lucida Sans Unicode"/>
                <w:b/>
                <w:bCs/>
                <w:szCs w:val="20"/>
              </w:rPr>
            </w:pPr>
            <w:r>
              <w:rPr>
                <w:b/>
              </w:rPr>
              <w:t>Change</w:t>
            </w:r>
          </w:p>
        </w:tc>
        <w:tc>
          <w:tcPr>
            <w:tcW w:w="1114" w:type="dxa"/>
            <w:tcBorders>
              <w:top w:val="single" w:sz="4" w:space="0" w:color="auto"/>
              <w:left w:val="nil"/>
              <w:right w:val="single" w:sz="4" w:space="0" w:color="auto"/>
            </w:tcBorders>
            <w:shd w:val="clear" w:color="auto" w:fill="CCCCCC"/>
            <w:noWrap/>
            <w:vAlign w:val="bottom"/>
          </w:tcPr>
          <w:p w:rsidR="00822D50" w:rsidRPr="00601715" w:rsidRDefault="00822D50" w:rsidP="00843CF6">
            <w:pPr>
              <w:jc w:val="center"/>
              <w:rPr>
                <w:rFonts w:cs="Lucida Sans Unicode"/>
                <w:b/>
                <w:bCs/>
                <w:szCs w:val="20"/>
              </w:rPr>
            </w:pPr>
            <w:r>
              <w:rPr>
                <w:b/>
              </w:rPr>
              <w:t xml:space="preserve"> 2016</w:t>
            </w:r>
          </w:p>
        </w:tc>
        <w:tc>
          <w:tcPr>
            <w:tcW w:w="1080" w:type="dxa"/>
            <w:tcBorders>
              <w:top w:val="single" w:sz="4" w:space="0" w:color="auto"/>
              <w:left w:val="single" w:sz="4" w:space="0" w:color="auto"/>
              <w:bottom w:val="nil"/>
              <w:right w:val="single" w:sz="4" w:space="0" w:color="auto"/>
            </w:tcBorders>
            <w:noWrap/>
            <w:vAlign w:val="bottom"/>
          </w:tcPr>
          <w:p w:rsidR="00822D50" w:rsidRPr="00601715" w:rsidRDefault="00822D50" w:rsidP="00843CF6">
            <w:pPr>
              <w:jc w:val="center"/>
              <w:rPr>
                <w:rFonts w:cs="Lucida Sans Unicode"/>
                <w:b/>
                <w:bCs/>
                <w:szCs w:val="20"/>
              </w:rPr>
            </w:pPr>
            <w:r>
              <w:rPr>
                <w:b/>
              </w:rPr>
              <w:t xml:space="preserve"> 2015</w:t>
            </w:r>
          </w:p>
        </w:tc>
        <w:tc>
          <w:tcPr>
            <w:tcW w:w="1122" w:type="dxa"/>
            <w:gridSpan w:val="2"/>
            <w:tcBorders>
              <w:top w:val="single" w:sz="4" w:space="0" w:color="auto"/>
              <w:left w:val="single" w:sz="4" w:space="0" w:color="auto"/>
              <w:bottom w:val="nil"/>
              <w:right w:val="single" w:sz="4" w:space="0" w:color="auto"/>
            </w:tcBorders>
            <w:noWrap/>
            <w:vAlign w:val="bottom"/>
          </w:tcPr>
          <w:p w:rsidR="00822D50" w:rsidRPr="00601715" w:rsidRDefault="00822D50" w:rsidP="00843CF6">
            <w:pPr>
              <w:jc w:val="center"/>
              <w:rPr>
                <w:rFonts w:cs="Lucida Sans Unicode"/>
                <w:b/>
                <w:bCs/>
                <w:szCs w:val="20"/>
              </w:rPr>
            </w:pPr>
            <w:r>
              <w:rPr>
                <w:b/>
              </w:rPr>
              <w:t>Change</w:t>
            </w:r>
          </w:p>
        </w:tc>
      </w:tr>
      <w:tr w:rsidR="00822D50" w:rsidRPr="00601715" w:rsidTr="00843CF6">
        <w:trPr>
          <w:trHeight w:val="255"/>
        </w:trPr>
        <w:tc>
          <w:tcPr>
            <w:tcW w:w="3193" w:type="dxa"/>
            <w:tcBorders>
              <w:top w:val="nil"/>
              <w:left w:val="single" w:sz="4" w:space="0" w:color="auto"/>
              <w:bottom w:val="single" w:sz="4" w:space="0" w:color="auto"/>
              <w:right w:val="single" w:sz="4" w:space="0" w:color="auto"/>
            </w:tcBorders>
            <w:noWrap/>
            <w:vAlign w:val="center"/>
          </w:tcPr>
          <w:p w:rsidR="00822D50" w:rsidRPr="00601715" w:rsidRDefault="00822D50" w:rsidP="00843CF6">
            <w:pPr>
              <w:rPr>
                <w:rFonts w:cs="Lucida Sans Unicode"/>
                <w:b/>
                <w:bCs/>
                <w:szCs w:val="20"/>
              </w:rPr>
            </w:pPr>
            <w:r>
              <w:rPr>
                <w:b/>
              </w:rPr>
              <w:t> </w:t>
            </w:r>
          </w:p>
        </w:tc>
        <w:tc>
          <w:tcPr>
            <w:tcW w:w="1125" w:type="dxa"/>
            <w:tcBorders>
              <w:left w:val="nil"/>
              <w:bottom w:val="single" w:sz="4" w:space="0" w:color="auto"/>
              <w:right w:val="single" w:sz="4" w:space="0" w:color="auto"/>
            </w:tcBorders>
            <w:shd w:val="clear" w:color="auto" w:fill="CCCCCC"/>
            <w:vAlign w:val="center"/>
          </w:tcPr>
          <w:p w:rsidR="00822D50" w:rsidRPr="00601715" w:rsidRDefault="00822D50" w:rsidP="00843CF6">
            <w:pPr>
              <w:jc w:val="center"/>
              <w:rPr>
                <w:rFonts w:cs="Lucida Sans Unicode"/>
                <w:b/>
                <w:bCs/>
                <w:szCs w:val="20"/>
              </w:rPr>
            </w:pPr>
            <w:r>
              <w:rPr>
                <w:b/>
              </w:rPr>
              <w:t>€ million</w:t>
            </w:r>
          </w:p>
        </w:tc>
        <w:tc>
          <w:tcPr>
            <w:tcW w:w="1125" w:type="dxa"/>
            <w:tcBorders>
              <w:top w:val="nil"/>
              <w:left w:val="single" w:sz="4" w:space="0" w:color="auto"/>
              <w:bottom w:val="single" w:sz="4" w:space="0" w:color="auto"/>
              <w:right w:val="single" w:sz="4" w:space="0" w:color="auto"/>
            </w:tcBorders>
            <w:vAlign w:val="center"/>
          </w:tcPr>
          <w:p w:rsidR="00822D50" w:rsidRPr="00601715" w:rsidRDefault="00822D50" w:rsidP="00843CF6">
            <w:pPr>
              <w:jc w:val="center"/>
              <w:rPr>
                <w:rFonts w:cs="Lucida Sans Unicode"/>
                <w:b/>
                <w:bCs/>
                <w:szCs w:val="20"/>
              </w:rPr>
            </w:pPr>
            <w:r>
              <w:rPr>
                <w:b/>
              </w:rPr>
              <w:t>€ million</w:t>
            </w:r>
          </w:p>
        </w:tc>
        <w:tc>
          <w:tcPr>
            <w:tcW w:w="1125" w:type="dxa"/>
            <w:tcBorders>
              <w:top w:val="nil"/>
              <w:left w:val="single" w:sz="4" w:space="0" w:color="auto"/>
              <w:bottom w:val="single" w:sz="4" w:space="0" w:color="auto"/>
              <w:right w:val="single" w:sz="4" w:space="0" w:color="auto"/>
            </w:tcBorders>
            <w:vAlign w:val="center"/>
          </w:tcPr>
          <w:p w:rsidR="00822D50" w:rsidRPr="00601715" w:rsidRDefault="00822D50" w:rsidP="00843CF6">
            <w:pPr>
              <w:jc w:val="center"/>
              <w:rPr>
                <w:rFonts w:cs="Lucida Sans Unicode"/>
                <w:b/>
                <w:bCs/>
                <w:szCs w:val="20"/>
              </w:rPr>
            </w:pPr>
            <w:r>
              <w:rPr>
                <w:b/>
              </w:rPr>
              <w:t>in %</w:t>
            </w:r>
          </w:p>
        </w:tc>
        <w:tc>
          <w:tcPr>
            <w:tcW w:w="1114" w:type="dxa"/>
            <w:tcBorders>
              <w:left w:val="nil"/>
              <w:bottom w:val="single" w:sz="4" w:space="0" w:color="auto"/>
              <w:right w:val="single" w:sz="4" w:space="0" w:color="auto"/>
            </w:tcBorders>
            <w:shd w:val="clear" w:color="auto" w:fill="CCCCCC"/>
            <w:vAlign w:val="center"/>
          </w:tcPr>
          <w:p w:rsidR="00822D50" w:rsidRPr="00601715" w:rsidRDefault="00822D50" w:rsidP="00843CF6">
            <w:pPr>
              <w:jc w:val="center"/>
              <w:rPr>
                <w:rFonts w:cs="Lucida Sans Unicode"/>
                <w:b/>
                <w:bCs/>
                <w:szCs w:val="20"/>
              </w:rPr>
            </w:pPr>
            <w:r>
              <w:rPr>
                <w:b/>
              </w:rPr>
              <w:t>€ million</w:t>
            </w:r>
          </w:p>
        </w:tc>
        <w:tc>
          <w:tcPr>
            <w:tcW w:w="1080" w:type="dxa"/>
            <w:tcBorders>
              <w:top w:val="nil"/>
              <w:left w:val="single" w:sz="4" w:space="0" w:color="auto"/>
              <w:bottom w:val="single" w:sz="4" w:space="0" w:color="auto"/>
              <w:right w:val="single" w:sz="4" w:space="0" w:color="auto"/>
            </w:tcBorders>
            <w:vAlign w:val="center"/>
          </w:tcPr>
          <w:p w:rsidR="00822D50" w:rsidRPr="00601715" w:rsidRDefault="00822D50" w:rsidP="00843CF6">
            <w:pPr>
              <w:jc w:val="center"/>
              <w:rPr>
                <w:rFonts w:cs="Lucida Sans Unicode"/>
                <w:b/>
                <w:bCs/>
                <w:szCs w:val="20"/>
              </w:rPr>
            </w:pPr>
            <w:r>
              <w:rPr>
                <w:b/>
              </w:rPr>
              <w:t>€ million</w:t>
            </w:r>
          </w:p>
        </w:tc>
        <w:tc>
          <w:tcPr>
            <w:tcW w:w="1122" w:type="dxa"/>
            <w:gridSpan w:val="2"/>
            <w:tcBorders>
              <w:top w:val="nil"/>
              <w:left w:val="single" w:sz="4" w:space="0" w:color="auto"/>
              <w:bottom w:val="single" w:sz="4" w:space="0" w:color="auto"/>
              <w:right w:val="single" w:sz="4" w:space="0" w:color="auto"/>
            </w:tcBorders>
            <w:vAlign w:val="center"/>
          </w:tcPr>
          <w:p w:rsidR="00822D50" w:rsidRPr="00601715" w:rsidRDefault="00822D50" w:rsidP="00843CF6">
            <w:pPr>
              <w:jc w:val="center"/>
              <w:rPr>
                <w:rFonts w:cs="Lucida Sans Unicode"/>
                <w:b/>
                <w:bCs/>
                <w:szCs w:val="20"/>
              </w:rPr>
            </w:pPr>
            <w:r>
              <w:rPr>
                <w:b/>
              </w:rPr>
              <w:t>in %</w:t>
            </w:r>
          </w:p>
        </w:tc>
      </w:tr>
      <w:tr w:rsidR="00822D50" w:rsidRPr="00601715" w:rsidTr="00843CF6">
        <w:trPr>
          <w:trHeight w:val="255"/>
        </w:trPr>
        <w:tc>
          <w:tcPr>
            <w:tcW w:w="3193" w:type="dxa"/>
            <w:tcBorders>
              <w:top w:val="single" w:sz="4" w:space="0" w:color="auto"/>
              <w:left w:val="single" w:sz="4" w:space="0" w:color="auto"/>
              <w:bottom w:val="single" w:sz="4" w:space="0" w:color="auto"/>
              <w:right w:val="single" w:sz="4" w:space="0" w:color="auto"/>
            </w:tcBorders>
            <w:noWrap/>
            <w:vAlign w:val="center"/>
          </w:tcPr>
          <w:p w:rsidR="00822D50" w:rsidRPr="00601715" w:rsidRDefault="00822D50" w:rsidP="00843CF6">
            <w:pPr>
              <w:rPr>
                <w:rFonts w:cs="Lucida Sans Unicode"/>
                <w:szCs w:val="20"/>
              </w:rPr>
            </w:pPr>
            <w:r>
              <w:t>Nutrition &amp; Care</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822D50" w:rsidRPr="00601715" w:rsidRDefault="00822D50" w:rsidP="00843CF6">
            <w:pPr>
              <w:jc w:val="right"/>
              <w:rPr>
                <w:rFonts w:cs="Lucida Sans Unicode"/>
                <w:szCs w:val="20"/>
              </w:rPr>
            </w:pPr>
            <w:r>
              <w:t>3,223</w:t>
            </w:r>
          </w:p>
        </w:tc>
        <w:tc>
          <w:tcPr>
            <w:tcW w:w="1125" w:type="dxa"/>
            <w:tcBorders>
              <w:top w:val="single" w:sz="4" w:space="0" w:color="auto"/>
              <w:left w:val="single" w:sz="4" w:space="0" w:color="auto"/>
              <w:bottom w:val="single" w:sz="4" w:space="0" w:color="auto"/>
              <w:right w:val="single" w:sz="4" w:space="0" w:color="auto"/>
            </w:tcBorders>
            <w:noWrap/>
            <w:vAlign w:val="center"/>
          </w:tcPr>
          <w:p w:rsidR="00822D50" w:rsidRPr="00601715" w:rsidRDefault="00822D50" w:rsidP="00843CF6">
            <w:pPr>
              <w:jc w:val="right"/>
              <w:rPr>
                <w:rFonts w:cs="Lucida Sans Unicode"/>
                <w:szCs w:val="20"/>
              </w:rPr>
            </w:pPr>
            <w:r>
              <w:t>3,716</w:t>
            </w:r>
          </w:p>
        </w:tc>
        <w:tc>
          <w:tcPr>
            <w:tcW w:w="1125" w:type="dxa"/>
            <w:tcBorders>
              <w:top w:val="nil"/>
              <w:left w:val="single" w:sz="4" w:space="0" w:color="auto"/>
              <w:bottom w:val="single" w:sz="4" w:space="0" w:color="auto"/>
              <w:right w:val="single" w:sz="4" w:space="0" w:color="auto"/>
            </w:tcBorders>
            <w:noWrap/>
            <w:vAlign w:val="bottom"/>
          </w:tcPr>
          <w:p w:rsidR="00822D50" w:rsidRPr="00601715" w:rsidRDefault="00822D50" w:rsidP="00843CF6">
            <w:pPr>
              <w:jc w:val="right"/>
              <w:rPr>
                <w:rFonts w:cs="Lucida Sans Unicode"/>
                <w:szCs w:val="20"/>
              </w:rPr>
            </w:pPr>
            <w:r>
              <w:t>-13</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822D50" w:rsidRPr="00601715" w:rsidRDefault="00822D50" w:rsidP="00843CF6">
            <w:pPr>
              <w:jc w:val="right"/>
              <w:rPr>
                <w:rFonts w:cs="Lucida Sans Unicode"/>
                <w:szCs w:val="20"/>
              </w:rPr>
            </w:pPr>
            <w:r>
              <w:t>796</w:t>
            </w:r>
          </w:p>
        </w:tc>
        <w:tc>
          <w:tcPr>
            <w:tcW w:w="1080" w:type="dxa"/>
            <w:tcBorders>
              <w:top w:val="single" w:sz="4" w:space="0" w:color="auto"/>
              <w:left w:val="single" w:sz="4" w:space="0" w:color="auto"/>
              <w:bottom w:val="single" w:sz="4" w:space="0" w:color="auto"/>
              <w:right w:val="single" w:sz="4" w:space="0" w:color="auto"/>
            </w:tcBorders>
            <w:noWrap/>
            <w:vAlign w:val="center"/>
          </w:tcPr>
          <w:p w:rsidR="00822D50" w:rsidRPr="00601715" w:rsidRDefault="00822D50" w:rsidP="00843CF6">
            <w:pPr>
              <w:jc w:val="right"/>
              <w:rPr>
                <w:rFonts w:cs="Lucida Sans Unicode"/>
                <w:szCs w:val="20"/>
              </w:rPr>
            </w:pPr>
            <w:r>
              <w:t>1,116</w:t>
            </w:r>
          </w:p>
        </w:tc>
        <w:tc>
          <w:tcPr>
            <w:tcW w:w="1122" w:type="dxa"/>
            <w:gridSpan w:val="2"/>
            <w:tcBorders>
              <w:top w:val="nil"/>
              <w:left w:val="single" w:sz="4" w:space="0" w:color="auto"/>
              <w:bottom w:val="single" w:sz="4" w:space="0" w:color="auto"/>
              <w:right w:val="single" w:sz="4" w:space="0" w:color="auto"/>
            </w:tcBorders>
            <w:noWrap/>
            <w:vAlign w:val="bottom"/>
          </w:tcPr>
          <w:p w:rsidR="00822D50" w:rsidRPr="00601715" w:rsidRDefault="00822D50" w:rsidP="00843CF6">
            <w:pPr>
              <w:jc w:val="right"/>
              <w:rPr>
                <w:rFonts w:cs="Lucida Sans Unicode"/>
                <w:szCs w:val="20"/>
              </w:rPr>
            </w:pPr>
            <w:r>
              <w:t>-29</w:t>
            </w:r>
          </w:p>
        </w:tc>
      </w:tr>
      <w:tr w:rsidR="00822D50" w:rsidRPr="00601715" w:rsidTr="00843CF6">
        <w:trPr>
          <w:trHeight w:val="255"/>
        </w:trPr>
        <w:tc>
          <w:tcPr>
            <w:tcW w:w="3193" w:type="dxa"/>
            <w:tcBorders>
              <w:top w:val="single" w:sz="4" w:space="0" w:color="auto"/>
              <w:left w:val="single" w:sz="4" w:space="0" w:color="auto"/>
              <w:bottom w:val="single" w:sz="4" w:space="0" w:color="auto"/>
              <w:right w:val="single" w:sz="4" w:space="0" w:color="auto"/>
            </w:tcBorders>
            <w:noWrap/>
            <w:vAlign w:val="center"/>
          </w:tcPr>
          <w:p w:rsidR="00822D50" w:rsidRPr="00601715" w:rsidRDefault="00822D50" w:rsidP="00843CF6">
            <w:pPr>
              <w:rPr>
                <w:rFonts w:cs="Lucida Sans Unicode"/>
                <w:szCs w:val="20"/>
              </w:rPr>
            </w:pPr>
            <w:r>
              <w:t>Resource Efficiency</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822D50" w:rsidRPr="00601715" w:rsidRDefault="00822D50" w:rsidP="00843CF6">
            <w:pPr>
              <w:jc w:val="right"/>
              <w:rPr>
                <w:rFonts w:cs="Lucida Sans Unicode"/>
                <w:szCs w:val="20"/>
              </w:rPr>
            </w:pPr>
            <w:r>
              <w:t>3,392</w:t>
            </w:r>
          </w:p>
        </w:tc>
        <w:tc>
          <w:tcPr>
            <w:tcW w:w="1125" w:type="dxa"/>
            <w:tcBorders>
              <w:top w:val="single" w:sz="4" w:space="0" w:color="auto"/>
              <w:left w:val="single" w:sz="4" w:space="0" w:color="auto"/>
              <w:bottom w:val="single" w:sz="4" w:space="0" w:color="auto"/>
              <w:right w:val="single" w:sz="4" w:space="0" w:color="auto"/>
            </w:tcBorders>
            <w:noWrap/>
            <w:vAlign w:val="center"/>
          </w:tcPr>
          <w:p w:rsidR="00822D50" w:rsidRPr="00601715" w:rsidRDefault="00822D50" w:rsidP="00843CF6">
            <w:pPr>
              <w:jc w:val="right"/>
              <w:rPr>
                <w:rFonts w:cs="Lucida Sans Unicode"/>
                <w:szCs w:val="20"/>
              </w:rPr>
            </w:pPr>
            <w:r>
              <w:t>3,278</w:t>
            </w:r>
          </w:p>
        </w:tc>
        <w:tc>
          <w:tcPr>
            <w:tcW w:w="1125" w:type="dxa"/>
            <w:tcBorders>
              <w:top w:val="nil"/>
              <w:left w:val="single" w:sz="4" w:space="0" w:color="auto"/>
              <w:bottom w:val="single" w:sz="4" w:space="0" w:color="auto"/>
              <w:right w:val="single" w:sz="4" w:space="0" w:color="auto"/>
            </w:tcBorders>
            <w:noWrap/>
            <w:vAlign w:val="bottom"/>
          </w:tcPr>
          <w:p w:rsidR="00822D50" w:rsidRPr="00601715" w:rsidRDefault="00822D50" w:rsidP="00843CF6">
            <w:pPr>
              <w:jc w:val="right"/>
              <w:rPr>
                <w:rFonts w:cs="Lucida Sans Unicode"/>
                <w:szCs w:val="20"/>
              </w:rPr>
            </w:pPr>
            <w:r>
              <w:t>3</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822D50" w:rsidRPr="00601715" w:rsidRDefault="00822D50" w:rsidP="00843CF6">
            <w:pPr>
              <w:jc w:val="right"/>
              <w:rPr>
                <w:rFonts w:cs="Lucida Sans Unicode"/>
                <w:szCs w:val="20"/>
              </w:rPr>
            </w:pPr>
            <w:r>
              <w:t>788</w:t>
            </w:r>
          </w:p>
        </w:tc>
        <w:tc>
          <w:tcPr>
            <w:tcW w:w="1080" w:type="dxa"/>
            <w:tcBorders>
              <w:top w:val="single" w:sz="4" w:space="0" w:color="auto"/>
              <w:left w:val="single" w:sz="4" w:space="0" w:color="auto"/>
              <w:bottom w:val="single" w:sz="4" w:space="0" w:color="auto"/>
              <w:right w:val="single" w:sz="4" w:space="0" w:color="auto"/>
            </w:tcBorders>
            <w:noWrap/>
            <w:vAlign w:val="center"/>
          </w:tcPr>
          <w:p w:rsidR="00822D50" w:rsidRPr="00601715" w:rsidRDefault="00822D50" w:rsidP="00843CF6">
            <w:pPr>
              <w:jc w:val="right"/>
              <w:rPr>
                <w:rFonts w:cs="Lucida Sans Unicode"/>
                <w:szCs w:val="20"/>
              </w:rPr>
            </w:pPr>
            <w:r>
              <w:t>714</w:t>
            </w:r>
          </w:p>
        </w:tc>
        <w:tc>
          <w:tcPr>
            <w:tcW w:w="1122" w:type="dxa"/>
            <w:gridSpan w:val="2"/>
            <w:tcBorders>
              <w:top w:val="nil"/>
              <w:left w:val="single" w:sz="4" w:space="0" w:color="auto"/>
              <w:bottom w:val="single" w:sz="4" w:space="0" w:color="auto"/>
              <w:right w:val="single" w:sz="4" w:space="0" w:color="auto"/>
            </w:tcBorders>
            <w:noWrap/>
            <w:vAlign w:val="bottom"/>
          </w:tcPr>
          <w:p w:rsidR="00822D50" w:rsidRPr="00601715" w:rsidRDefault="00822D50" w:rsidP="00843CF6">
            <w:pPr>
              <w:jc w:val="right"/>
              <w:rPr>
                <w:rFonts w:cs="Lucida Sans Unicode"/>
                <w:szCs w:val="20"/>
              </w:rPr>
            </w:pPr>
            <w:r>
              <w:t>10</w:t>
            </w:r>
          </w:p>
        </w:tc>
      </w:tr>
      <w:tr w:rsidR="00822D50" w:rsidRPr="00601715" w:rsidTr="00843CF6">
        <w:trPr>
          <w:trHeight w:val="255"/>
        </w:trPr>
        <w:tc>
          <w:tcPr>
            <w:tcW w:w="3193" w:type="dxa"/>
            <w:tcBorders>
              <w:top w:val="single" w:sz="4" w:space="0" w:color="auto"/>
              <w:left w:val="single" w:sz="4" w:space="0" w:color="auto"/>
              <w:bottom w:val="single" w:sz="4" w:space="0" w:color="auto"/>
              <w:right w:val="single" w:sz="4" w:space="0" w:color="auto"/>
            </w:tcBorders>
            <w:noWrap/>
            <w:vAlign w:val="center"/>
          </w:tcPr>
          <w:p w:rsidR="00822D50" w:rsidRPr="00601715" w:rsidRDefault="00822D50" w:rsidP="00843CF6">
            <w:pPr>
              <w:rPr>
                <w:rFonts w:cs="Lucida Sans Unicode"/>
                <w:szCs w:val="20"/>
              </w:rPr>
            </w:pPr>
            <w:r>
              <w:t>Performance Materials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822D50" w:rsidRPr="00601715" w:rsidRDefault="00822D50" w:rsidP="00843CF6">
            <w:pPr>
              <w:jc w:val="right"/>
              <w:rPr>
                <w:rFonts w:cs="Lucida Sans Unicode"/>
                <w:szCs w:val="20"/>
              </w:rPr>
            </w:pPr>
            <w:r>
              <w:t>2,399</w:t>
            </w:r>
          </w:p>
        </w:tc>
        <w:tc>
          <w:tcPr>
            <w:tcW w:w="1125" w:type="dxa"/>
            <w:tcBorders>
              <w:top w:val="single" w:sz="4" w:space="0" w:color="auto"/>
              <w:left w:val="single" w:sz="4" w:space="0" w:color="auto"/>
              <w:bottom w:val="single" w:sz="4" w:space="0" w:color="auto"/>
              <w:right w:val="single" w:sz="4" w:space="0" w:color="auto"/>
            </w:tcBorders>
            <w:noWrap/>
            <w:vAlign w:val="center"/>
          </w:tcPr>
          <w:p w:rsidR="00822D50" w:rsidRPr="00601715" w:rsidRDefault="00822D50" w:rsidP="00843CF6">
            <w:pPr>
              <w:jc w:val="right"/>
              <w:rPr>
                <w:rFonts w:cs="Lucida Sans Unicode"/>
                <w:szCs w:val="20"/>
              </w:rPr>
            </w:pPr>
            <w:r>
              <w:t>2,646</w:t>
            </w:r>
          </w:p>
        </w:tc>
        <w:tc>
          <w:tcPr>
            <w:tcW w:w="1125" w:type="dxa"/>
            <w:tcBorders>
              <w:top w:val="nil"/>
              <w:left w:val="single" w:sz="4" w:space="0" w:color="auto"/>
              <w:bottom w:val="single" w:sz="4" w:space="0" w:color="auto"/>
              <w:right w:val="single" w:sz="4" w:space="0" w:color="auto"/>
            </w:tcBorders>
            <w:noWrap/>
            <w:vAlign w:val="bottom"/>
          </w:tcPr>
          <w:p w:rsidR="00822D50" w:rsidRPr="00601715" w:rsidRDefault="00822D50" w:rsidP="00843CF6">
            <w:pPr>
              <w:jc w:val="right"/>
              <w:rPr>
                <w:rFonts w:cs="Lucida Sans Unicode"/>
                <w:szCs w:val="20"/>
              </w:rPr>
            </w:pPr>
            <w:r>
              <w:t>-9</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822D50" w:rsidRPr="00601715" w:rsidRDefault="00822D50" w:rsidP="00843CF6">
            <w:pPr>
              <w:jc w:val="right"/>
              <w:rPr>
                <w:rFonts w:cs="Lucida Sans Unicode"/>
                <w:szCs w:val="20"/>
              </w:rPr>
            </w:pPr>
            <w:r>
              <w:t>273</w:t>
            </w:r>
          </w:p>
        </w:tc>
        <w:tc>
          <w:tcPr>
            <w:tcW w:w="1080" w:type="dxa"/>
            <w:tcBorders>
              <w:top w:val="single" w:sz="4" w:space="0" w:color="auto"/>
              <w:left w:val="single" w:sz="4" w:space="0" w:color="auto"/>
              <w:bottom w:val="single" w:sz="4" w:space="0" w:color="auto"/>
              <w:right w:val="single" w:sz="4" w:space="0" w:color="auto"/>
            </w:tcBorders>
            <w:noWrap/>
            <w:vAlign w:val="center"/>
          </w:tcPr>
          <w:p w:rsidR="00822D50" w:rsidRPr="00601715" w:rsidRDefault="00822D50" w:rsidP="00843CF6">
            <w:pPr>
              <w:jc w:val="right"/>
              <w:rPr>
                <w:rFonts w:cs="Lucida Sans Unicode"/>
                <w:szCs w:val="20"/>
              </w:rPr>
            </w:pPr>
            <w:r>
              <w:t>247</w:t>
            </w:r>
          </w:p>
        </w:tc>
        <w:tc>
          <w:tcPr>
            <w:tcW w:w="1122" w:type="dxa"/>
            <w:gridSpan w:val="2"/>
            <w:tcBorders>
              <w:top w:val="nil"/>
              <w:left w:val="single" w:sz="4" w:space="0" w:color="auto"/>
              <w:bottom w:val="single" w:sz="4" w:space="0" w:color="auto"/>
              <w:right w:val="single" w:sz="4" w:space="0" w:color="auto"/>
            </w:tcBorders>
            <w:noWrap/>
            <w:vAlign w:val="bottom"/>
          </w:tcPr>
          <w:p w:rsidR="00822D50" w:rsidRPr="00601715" w:rsidRDefault="00822D50" w:rsidP="00843CF6">
            <w:pPr>
              <w:jc w:val="right"/>
              <w:rPr>
                <w:rFonts w:cs="Lucida Sans Unicode"/>
                <w:szCs w:val="20"/>
              </w:rPr>
            </w:pPr>
            <w:r>
              <w:t>11</w:t>
            </w:r>
          </w:p>
        </w:tc>
      </w:tr>
      <w:tr w:rsidR="00822D50" w:rsidRPr="00601715" w:rsidTr="00843CF6">
        <w:trPr>
          <w:trHeight w:val="255"/>
        </w:trPr>
        <w:tc>
          <w:tcPr>
            <w:tcW w:w="3193" w:type="dxa"/>
            <w:tcBorders>
              <w:top w:val="nil"/>
              <w:left w:val="single" w:sz="4" w:space="0" w:color="auto"/>
              <w:bottom w:val="single" w:sz="4" w:space="0" w:color="auto"/>
              <w:right w:val="single" w:sz="4" w:space="0" w:color="auto"/>
            </w:tcBorders>
            <w:noWrap/>
            <w:vAlign w:val="center"/>
          </w:tcPr>
          <w:p w:rsidR="00822D50" w:rsidRPr="00601715" w:rsidRDefault="00822D50" w:rsidP="00843CF6">
            <w:pPr>
              <w:rPr>
                <w:rFonts w:cs="Lucida Sans Unicode"/>
                <w:szCs w:val="20"/>
              </w:rPr>
            </w:pPr>
            <w:r>
              <w:t>Services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822D50" w:rsidRPr="00601715" w:rsidRDefault="00822D50" w:rsidP="00843CF6">
            <w:pPr>
              <w:jc w:val="right"/>
              <w:rPr>
                <w:rFonts w:cs="Lucida Sans Unicode"/>
                <w:szCs w:val="20"/>
              </w:rPr>
            </w:pPr>
            <w:r>
              <w:t>503</w:t>
            </w:r>
          </w:p>
        </w:tc>
        <w:tc>
          <w:tcPr>
            <w:tcW w:w="1125" w:type="dxa"/>
            <w:tcBorders>
              <w:top w:val="nil"/>
              <w:left w:val="single" w:sz="4" w:space="0" w:color="auto"/>
              <w:bottom w:val="single" w:sz="4" w:space="0" w:color="auto"/>
              <w:right w:val="single" w:sz="4" w:space="0" w:color="auto"/>
            </w:tcBorders>
            <w:noWrap/>
            <w:vAlign w:val="center"/>
          </w:tcPr>
          <w:p w:rsidR="00822D50" w:rsidRPr="00601715" w:rsidRDefault="00822D50" w:rsidP="00843CF6">
            <w:pPr>
              <w:jc w:val="right"/>
              <w:rPr>
                <w:rFonts w:cs="Lucida Sans Unicode"/>
                <w:szCs w:val="20"/>
              </w:rPr>
            </w:pPr>
            <w:r>
              <w:t>626</w:t>
            </w:r>
          </w:p>
        </w:tc>
        <w:tc>
          <w:tcPr>
            <w:tcW w:w="1125" w:type="dxa"/>
            <w:tcBorders>
              <w:top w:val="nil"/>
              <w:left w:val="single" w:sz="4" w:space="0" w:color="auto"/>
              <w:bottom w:val="single" w:sz="4" w:space="0" w:color="auto"/>
              <w:right w:val="single" w:sz="4" w:space="0" w:color="auto"/>
            </w:tcBorders>
            <w:noWrap/>
            <w:vAlign w:val="bottom"/>
          </w:tcPr>
          <w:p w:rsidR="00822D50" w:rsidRPr="00601715" w:rsidRDefault="00822D50" w:rsidP="00843CF6">
            <w:pPr>
              <w:jc w:val="right"/>
              <w:rPr>
                <w:rFonts w:cs="Lucida Sans Unicode"/>
                <w:szCs w:val="20"/>
              </w:rPr>
            </w:pPr>
            <w:r>
              <w:t>-20</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822D50" w:rsidRPr="00601715" w:rsidRDefault="00822D50" w:rsidP="00843CF6">
            <w:pPr>
              <w:jc w:val="right"/>
              <w:rPr>
                <w:rFonts w:cs="Lucida Sans Unicode"/>
                <w:szCs w:val="20"/>
              </w:rPr>
            </w:pPr>
            <w:r>
              <w:t>119</w:t>
            </w:r>
          </w:p>
        </w:tc>
        <w:tc>
          <w:tcPr>
            <w:tcW w:w="1080" w:type="dxa"/>
            <w:tcBorders>
              <w:top w:val="nil"/>
              <w:left w:val="single" w:sz="4" w:space="0" w:color="auto"/>
              <w:bottom w:val="single" w:sz="4" w:space="0" w:color="auto"/>
              <w:right w:val="single" w:sz="4" w:space="0" w:color="auto"/>
            </w:tcBorders>
            <w:noWrap/>
            <w:vAlign w:val="center"/>
          </w:tcPr>
          <w:p w:rsidR="00822D50" w:rsidRPr="00601715" w:rsidRDefault="00822D50" w:rsidP="00843CF6">
            <w:pPr>
              <w:jc w:val="right"/>
              <w:rPr>
                <w:rFonts w:cs="Lucida Sans Unicode"/>
                <w:szCs w:val="20"/>
              </w:rPr>
            </w:pPr>
            <w:r>
              <w:t>119</w:t>
            </w:r>
          </w:p>
        </w:tc>
        <w:tc>
          <w:tcPr>
            <w:tcW w:w="1122" w:type="dxa"/>
            <w:gridSpan w:val="2"/>
            <w:tcBorders>
              <w:top w:val="nil"/>
              <w:left w:val="single" w:sz="4" w:space="0" w:color="auto"/>
              <w:bottom w:val="single" w:sz="4" w:space="0" w:color="auto"/>
              <w:right w:val="single" w:sz="4" w:space="0" w:color="auto"/>
            </w:tcBorders>
            <w:noWrap/>
            <w:vAlign w:val="bottom"/>
          </w:tcPr>
          <w:p w:rsidR="00822D50" w:rsidRPr="00601715" w:rsidRDefault="00822D50" w:rsidP="00843CF6">
            <w:pPr>
              <w:jc w:val="right"/>
              <w:rPr>
                <w:rFonts w:cs="Lucida Sans Unicode"/>
                <w:szCs w:val="20"/>
              </w:rPr>
            </w:pPr>
            <w:r>
              <w:t>-</w:t>
            </w:r>
          </w:p>
        </w:tc>
      </w:tr>
      <w:tr w:rsidR="00822D50" w:rsidRPr="00601715" w:rsidTr="00843CF6">
        <w:trPr>
          <w:trHeight w:val="255"/>
        </w:trPr>
        <w:tc>
          <w:tcPr>
            <w:tcW w:w="3193" w:type="dxa"/>
            <w:tcBorders>
              <w:top w:val="nil"/>
              <w:left w:val="single" w:sz="4" w:space="0" w:color="auto"/>
              <w:bottom w:val="single" w:sz="4" w:space="0" w:color="auto"/>
              <w:right w:val="single" w:sz="4" w:space="0" w:color="auto"/>
            </w:tcBorders>
            <w:noWrap/>
            <w:vAlign w:val="center"/>
          </w:tcPr>
          <w:p w:rsidR="00822D50" w:rsidRPr="00601715" w:rsidRDefault="00822D50" w:rsidP="00843CF6">
            <w:pPr>
              <w:rPr>
                <w:rFonts w:cs="Lucida Sans Unicode"/>
                <w:szCs w:val="20"/>
              </w:rPr>
            </w:pPr>
            <w:r>
              <w:t>Other operations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822D50" w:rsidRPr="00601715" w:rsidRDefault="00822D50" w:rsidP="00843CF6">
            <w:pPr>
              <w:jc w:val="right"/>
              <w:rPr>
                <w:rFonts w:cs="Lucida Sans Unicode"/>
                <w:szCs w:val="20"/>
              </w:rPr>
            </w:pPr>
            <w:r>
              <w:t>10</w:t>
            </w:r>
          </w:p>
        </w:tc>
        <w:tc>
          <w:tcPr>
            <w:tcW w:w="1125" w:type="dxa"/>
            <w:tcBorders>
              <w:top w:val="nil"/>
              <w:left w:val="single" w:sz="4" w:space="0" w:color="auto"/>
              <w:bottom w:val="single" w:sz="4" w:space="0" w:color="auto"/>
              <w:right w:val="single" w:sz="4" w:space="0" w:color="auto"/>
            </w:tcBorders>
            <w:noWrap/>
            <w:vAlign w:val="center"/>
          </w:tcPr>
          <w:p w:rsidR="00822D50" w:rsidRPr="00601715" w:rsidRDefault="00822D50" w:rsidP="00843CF6">
            <w:pPr>
              <w:jc w:val="right"/>
              <w:rPr>
                <w:rFonts w:cs="Lucida Sans Unicode"/>
                <w:szCs w:val="20"/>
              </w:rPr>
            </w:pPr>
            <w:r>
              <w:t>54</w:t>
            </w:r>
          </w:p>
        </w:tc>
        <w:tc>
          <w:tcPr>
            <w:tcW w:w="1125" w:type="dxa"/>
            <w:tcBorders>
              <w:top w:val="nil"/>
              <w:left w:val="single" w:sz="4" w:space="0" w:color="auto"/>
              <w:bottom w:val="single" w:sz="4" w:space="0" w:color="auto"/>
              <w:right w:val="single" w:sz="4" w:space="0" w:color="auto"/>
            </w:tcBorders>
            <w:noWrap/>
            <w:vAlign w:val="bottom"/>
          </w:tcPr>
          <w:p w:rsidR="00822D50" w:rsidRPr="00601715" w:rsidRDefault="00822D50" w:rsidP="00843CF6">
            <w:pPr>
              <w:jc w:val="right"/>
              <w:rPr>
                <w:rFonts w:cs="Lucida Sans Unicode"/>
                <w:szCs w:val="20"/>
              </w:rPr>
            </w:pP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822D50" w:rsidRPr="00601715" w:rsidRDefault="00822D50" w:rsidP="00843CF6">
            <w:pPr>
              <w:jc w:val="right"/>
              <w:rPr>
                <w:rFonts w:cs="Lucida Sans Unicode"/>
                <w:szCs w:val="20"/>
              </w:rPr>
            </w:pPr>
            <w:r>
              <w:t>-80</w:t>
            </w:r>
          </w:p>
        </w:tc>
        <w:tc>
          <w:tcPr>
            <w:tcW w:w="1080" w:type="dxa"/>
            <w:tcBorders>
              <w:top w:val="nil"/>
              <w:left w:val="single" w:sz="4" w:space="0" w:color="auto"/>
              <w:bottom w:val="single" w:sz="4" w:space="0" w:color="auto"/>
              <w:right w:val="single" w:sz="4" w:space="0" w:color="auto"/>
            </w:tcBorders>
            <w:noWrap/>
            <w:vAlign w:val="center"/>
          </w:tcPr>
          <w:p w:rsidR="00822D50" w:rsidRPr="00601715" w:rsidRDefault="00822D50" w:rsidP="00843CF6">
            <w:pPr>
              <w:jc w:val="right"/>
              <w:rPr>
                <w:rFonts w:cs="Lucida Sans Unicode"/>
                <w:szCs w:val="20"/>
              </w:rPr>
            </w:pPr>
            <w:r>
              <w:t>-79</w:t>
            </w:r>
          </w:p>
        </w:tc>
        <w:tc>
          <w:tcPr>
            <w:tcW w:w="1122" w:type="dxa"/>
            <w:gridSpan w:val="2"/>
            <w:tcBorders>
              <w:top w:val="nil"/>
              <w:left w:val="single" w:sz="4" w:space="0" w:color="auto"/>
              <w:bottom w:val="single" w:sz="4" w:space="0" w:color="auto"/>
              <w:right w:val="single" w:sz="4" w:space="0" w:color="auto"/>
            </w:tcBorders>
            <w:noWrap/>
            <w:vAlign w:val="bottom"/>
          </w:tcPr>
          <w:p w:rsidR="00822D50" w:rsidRPr="00601715" w:rsidRDefault="00822D50" w:rsidP="00843CF6">
            <w:pPr>
              <w:jc w:val="right"/>
              <w:rPr>
                <w:rFonts w:cs="Lucida Sans Unicode"/>
                <w:szCs w:val="20"/>
              </w:rPr>
            </w:pPr>
          </w:p>
        </w:tc>
      </w:tr>
      <w:tr w:rsidR="00822D50" w:rsidRPr="00601715" w:rsidTr="00843CF6">
        <w:trPr>
          <w:trHeight w:val="255"/>
        </w:trPr>
        <w:tc>
          <w:tcPr>
            <w:tcW w:w="3193" w:type="dxa"/>
            <w:tcBorders>
              <w:top w:val="single" w:sz="4" w:space="0" w:color="auto"/>
              <w:left w:val="single" w:sz="4" w:space="0" w:color="auto"/>
              <w:bottom w:val="single" w:sz="4" w:space="0" w:color="auto"/>
              <w:right w:val="single" w:sz="4" w:space="0" w:color="auto"/>
            </w:tcBorders>
            <w:noWrap/>
            <w:vAlign w:val="center"/>
          </w:tcPr>
          <w:p w:rsidR="00822D50" w:rsidRPr="00601715" w:rsidRDefault="00822D50" w:rsidP="00843CF6">
            <w:pPr>
              <w:rPr>
                <w:rFonts w:cs="Lucida Sans Unicode"/>
                <w:b/>
                <w:bCs/>
                <w:szCs w:val="20"/>
              </w:rPr>
            </w:pPr>
            <w:r>
              <w:rPr>
                <w:b/>
              </w:rPr>
              <w:t>Group</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822D50" w:rsidRPr="00601715" w:rsidRDefault="00822D50" w:rsidP="00843CF6">
            <w:pPr>
              <w:jc w:val="right"/>
              <w:rPr>
                <w:rFonts w:cs="Lucida Sans Unicode"/>
                <w:bCs/>
                <w:szCs w:val="20"/>
              </w:rPr>
            </w:pPr>
            <w:r>
              <w:t>9,527</w:t>
            </w:r>
          </w:p>
        </w:tc>
        <w:tc>
          <w:tcPr>
            <w:tcW w:w="1125" w:type="dxa"/>
            <w:tcBorders>
              <w:top w:val="single" w:sz="4" w:space="0" w:color="auto"/>
              <w:left w:val="single" w:sz="4" w:space="0" w:color="auto"/>
              <w:bottom w:val="single" w:sz="4" w:space="0" w:color="auto"/>
              <w:right w:val="single" w:sz="4" w:space="0" w:color="auto"/>
            </w:tcBorders>
            <w:noWrap/>
            <w:vAlign w:val="center"/>
          </w:tcPr>
          <w:p w:rsidR="00822D50" w:rsidRPr="00601715" w:rsidRDefault="00822D50" w:rsidP="00843CF6">
            <w:pPr>
              <w:jc w:val="right"/>
              <w:rPr>
                <w:rFonts w:cs="Lucida Sans Unicode"/>
                <w:bCs/>
                <w:szCs w:val="20"/>
              </w:rPr>
            </w:pPr>
            <w:r>
              <w:t>10,309</w:t>
            </w:r>
          </w:p>
        </w:tc>
        <w:tc>
          <w:tcPr>
            <w:tcW w:w="1125" w:type="dxa"/>
            <w:tcBorders>
              <w:top w:val="single" w:sz="4" w:space="0" w:color="auto"/>
              <w:left w:val="single" w:sz="4" w:space="0" w:color="auto"/>
              <w:bottom w:val="single" w:sz="4" w:space="0" w:color="auto"/>
              <w:right w:val="single" w:sz="4" w:space="0" w:color="auto"/>
            </w:tcBorders>
            <w:noWrap/>
            <w:vAlign w:val="bottom"/>
          </w:tcPr>
          <w:p w:rsidR="00822D50" w:rsidRPr="00601715" w:rsidRDefault="00822D50" w:rsidP="00843CF6">
            <w:pPr>
              <w:jc w:val="right"/>
              <w:rPr>
                <w:rFonts w:cs="Lucida Sans Unicode"/>
                <w:bCs/>
                <w:szCs w:val="20"/>
              </w:rPr>
            </w:pPr>
            <w:r>
              <w:rPr>
                <w:rFonts w:cs="Lucida Sans Unicode"/>
                <w:bCs/>
                <w:szCs w:val="20"/>
              </w:rPr>
              <w:t>-8</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822D50" w:rsidRPr="00601715" w:rsidRDefault="00822D50" w:rsidP="00843CF6">
            <w:pPr>
              <w:jc w:val="right"/>
              <w:rPr>
                <w:rFonts w:cs="Lucida Sans Unicode"/>
                <w:bCs/>
                <w:szCs w:val="20"/>
              </w:rPr>
            </w:pPr>
            <w:r>
              <w:t>1,728</w:t>
            </w:r>
          </w:p>
        </w:tc>
        <w:tc>
          <w:tcPr>
            <w:tcW w:w="1080" w:type="dxa"/>
            <w:tcBorders>
              <w:top w:val="single" w:sz="4" w:space="0" w:color="auto"/>
              <w:left w:val="single" w:sz="4" w:space="0" w:color="auto"/>
              <w:bottom w:val="single" w:sz="4" w:space="0" w:color="auto"/>
              <w:right w:val="single" w:sz="4" w:space="0" w:color="auto"/>
            </w:tcBorders>
            <w:noWrap/>
            <w:vAlign w:val="center"/>
          </w:tcPr>
          <w:p w:rsidR="00822D50" w:rsidRPr="00601715" w:rsidRDefault="00822D50" w:rsidP="00843CF6">
            <w:pPr>
              <w:jc w:val="right"/>
              <w:rPr>
                <w:rFonts w:cs="Lucida Sans Unicode"/>
                <w:bCs/>
                <w:szCs w:val="20"/>
              </w:rPr>
            </w:pPr>
            <w:r>
              <w:t>1,964</w:t>
            </w:r>
          </w:p>
        </w:tc>
        <w:tc>
          <w:tcPr>
            <w:tcW w:w="1122" w:type="dxa"/>
            <w:gridSpan w:val="2"/>
            <w:tcBorders>
              <w:top w:val="single" w:sz="4" w:space="0" w:color="auto"/>
              <w:left w:val="single" w:sz="4" w:space="0" w:color="auto"/>
              <w:bottom w:val="single" w:sz="4" w:space="0" w:color="auto"/>
              <w:right w:val="single" w:sz="4" w:space="0" w:color="auto"/>
            </w:tcBorders>
            <w:noWrap/>
            <w:vAlign w:val="bottom"/>
          </w:tcPr>
          <w:p w:rsidR="00822D50" w:rsidRPr="00601715" w:rsidRDefault="00822D50" w:rsidP="00843CF6">
            <w:pPr>
              <w:jc w:val="right"/>
              <w:rPr>
                <w:rFonts w:cs="Lucida Sans Unicode"/>
                <w:bCs/>
                <w:szCs w:val="20"/>
              </w:rPr>
            </w:pPr>
            <w:r>
              <w:t>-12</w:t>
            </w:r>
          </w:p>
        </w:tc>
      </w:tr>
    </w:tbl>
    <w:p w:rsidR="00822D50" w:rsidRPr="00601715" w:rsidRDefault="00822D50" w:rsidP="00822D50">
      <w:pPr>
        <w:rPr>
          <w:bCs/>
          <w:sz w:val="16"/>
          <w:szCs w:val="16"/>
        </w:rPr>
      </w:pPr>
      <w:r>
        <w:rPr>
          <w:sz w:val="16"/>
          <w:lang w:val="en-US" w:eastAsia="en-US"/>
        </w:rPr>
        <w:t>Prior-year figures restated</w:t>
      </w:r>
    </w:p>
    <w:p w:rsidR="00822D50" w:rsidRPr="00601715" w:rsidRDefault="00822D50" w:rsidP="00822D50">
      <w:pPr>
        <w:spacing w:after="160" w:line="259" w:lineRule="auto"/>
        <w:rPr>
          <w:bCs/>
          <w:sz w:val="16"/>
          <w:szCs w:val="16"/>
        </w:rPr>
      </w:pPr>
    </w:p>
    <w:p w:rsidR="009D71A1" w:rsidRDefault="009D71A1">
      <w:pPr>
        <w:spacing w:line="240" w:lineRule="auto"/>
        <w:rPr>
          <w:b/>
          <w:bCs/>
        </w:rPr>
      </w:pPr>
    </w:p>
    <w:p w:rsidR="009D71A1" w:rsidRDefault="009D71A1">
      <w:pPr>
        <w:spacing w:line="240" w:lineRule="auto"/>
        <w:rPr>
          <w:b/>
          <w:bCs/>
        </w:rPr>
      </w:pPr>
    </w:p>
    <w:p w:rsidR="009D71A1" w:rsidRPr="00601715" w:rsidRDefault="009D71A1" w:rsidP="009D71A1">
      <w:pPr>
        <w:spacing w:after="120" w:line="300" w:lineRule="atLeast"/>
        <w:rPr>
          <w:rFonts w:cs="Lucida Sans Unicode"/>
          <w:b/>
          <w:bCs/>
          <w:sz w:val="20"/>
          <w:szCs w:val="20"/>
        </w:rPr>
      </w:pPr>
      <w:r>
        <w:rPr>
          <w:b/>
          <w:sz w:val="20"/>
          <w:lang w:val="en-US" w:eastAsia="en-US"/>
        </w:rPr>
        <w:t>Employees by segment</w:t>
      </w:r>
    </w:p>
    <w:tbl>
      <w:tblPr>
        <w:tblW w:w="8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2"/>
        <w:gridCol w:w="2172"/>
        <w:gridCol w:w="2173"/>
      </w:tblGrid>
      <w:tr w:rsidR="009D71A1" w:rsidRPr="00601715" w:rsidTr="00843CF6">
        <w:tc>
          <w:tcPr>
            <w:tcW w:w="4122" w:type="dxa"/>
          </w:tcPr>
          <w:p w:rsidR="009D71A1" w:rsidRPr="00601715" w:rsidRDefault="009D71A1" w:rsidP="00843CF6">
            <w:pPr>
              <w:rPr>
                <w:bCs/>
              </w:rPr>
            </w:pPr>
          </w:p>
        </w:tc>
        <w:tc>
          <w:tcPr>
            <w:tcW w:w="2172" w:type="dxa"/>
          </w:tcPr>
          <w:p w:rsidR="009D71A1" w:rsidRPr="00601715" w:rsidRDefault="009D71A1" w:rsidP="00843CF6">
            <w:pPr>
              <w:jc w:val="center"/>
              <w:rPr>
                <w:b/>
                <w:bCs/>
              </w:rPr>
            </w:pPr>
            <w:r>
              <w:rPr>
                <w:b/>
              </w:rPr>
              <w:t>Sept. 30, 2016</w:t>
            </w:r>
          </w:p>
        </w:tc>
        <w:tc>
          <w:tcPr>
            <w:tcW w:w="2173" w:type="dxa"/>
          </w:tcPr>
          <w:p w:rsidR="009D71A1" w:rsidRPr="00601715" w:rsidRDefault="009D71A1" w:rsidP="00843CF6">
            <w:pPr>
              <w:jc w:val="center"/>
              <w:rPr>
                <w:b/>
                <w:bCs/>
              </w:rPr>
            </w:pPr>
            <w:r>
              <w:rPr>
                <w:b/>
              </w:rPr>
              <w:t>Dec. 31, 2015</w:t>
            </w:r>
          </w:p>
        </w:tc>
      </w:tr>
      <w:tr w:rsidR="009D71A1" w:rsidRPr="00601715" w:rsidTr="00843CF6">
        <w:tc>
          <w:tcPr>
            <w:tcW w:w="4122" w:type="dxa"/>
          </w:tcPr>
          <w:p w:rsidR="009D71A1" w:rsidRPr="00601715" w:rsidRDefault="009D71A1" w:rsidP="00843CF6">
            <w:pPr>
              <w:rPr>
                <w:bCs/>
              </w:rPr>
            </w:pPr>
            <w:r>
              <w:t>Nutrition &amp; Care</w:t>
            </w:r>
          </w:p>
        </w:tc>
        <w:tc>
          <w:tcPr>
            <w:tcW w:w="2172" w:type="dxa"/>
          </w:tcPr>
          <w:p w:rsidR="009D71A1" w:rsidRPr="00601715" w:rsidRDefault="009D71A1" w:rsidP="00843CF6">
            <w:pPr>
              <w:jc w:val="right"/>
              <w:rPr>
                <w:bCs/>
              </w:rPr>
            </w:pPr>
            <w:r>
              <w:t>7,550</w:t>
            </w:r>
          </w:p>
        </w:tc>
        <w:tc>
          <w:tcPr>
            <w:tcW w:w="2173" w:type="dxa"/>
          </w:tcPr>
          <w:p w:rsidR="009D71A1" w:rsidRPr="00601715" w:rsidRDefault="009D71A1" w:rsidP="00843CF6">
            <w:pPr>
              <w:jc w:val="right"/>
              <w:rPr>
                <w:bCs/>
              </w:rPr>
            </w:pPr>
            <w:r>
              <w:t>7,165</w:t>
            </w:r>
          </w:p>
        </w:tc>
      </w:tr>
      <w:tr w:rsidR="009D71A1" w:rsidRPr="00601715" w:rsidTr="00843CF6">
        <w:tc>
          <w:tcPr>
            <w:tcW w:w="4122" w:type="dxa"/>
          </w:tcPr>
          <w:p w:rsidR="009D71A1" w:rsidRPr="00601715" w:rsidRDefault="009D71A1" w:rsidP="00843CF6">
            <w:pPr>
              <w:rPr>
                <w:bCs/>
              </w:rPr>
            </w:pPr>
            <w:r>
              <w:t>Resource Efficiency</w:t>
            </w:r>
          </w:p>
        </w:tc>
        <w:tc>
          <w:tcPr>
            <w:tcW w:w="2172" w:type="dxa"/>
          </w:tcPr>
          <w:p w:rsidR="009D71A1" w:rsidRPr="00601715" w:rsidRDefault="009D71A1" w:rsidP="00843CF6">
            <w:pPr>
              <w:jc w:val="right"/>
              <w:rPr>
                <w:bCs/>
              </w:rPr>
            </w:pPr>
            <w:r>
              <w:t>8,879</w:t>
            </w:r>
          </w:p>
        </w:tc>
        <w:tc>
          <w:tcPr>
            <w:tcW w:w="2173" w:type="dxa"/>
          </w:tcPr>
          <w:p w:rsidR="009D71A1" w:rsidRPr="00601715" w:rsidRDefault="009D71A1" w:rsidP="00843CF6">
            <w:pPr>
              <w:jc w:val="right"/>
              <w:rPr>
                <w:bCs/>
              </w:rPr>
            </w:pPr>
            <w:r>
              <w:t>8,662</w:t>
            </w:r>
          </w:p>
        </w:tc>
      </w:tr>
      <w:tr w:rsidR="009D71A1" w:rsidRPr="00601715" w:rsidTr="00843CF6">
        <w:tc>
          <w:tcPr>
            <w:tcW w:w="4122" w:type="dxa"/>
          </w:tcPr>
          <w:p w:rsidR="009D71A1" w:rsidRPr="00601715" w:rsidRDefault="009D71A1" w:rsidP="00843CF6">
            <w:pPr>
              <w:rPr>
                <w:bCs/>
              </w:rPr>
            </w:pPr>
            <w:r>
              <w:t>Performance Materials</w:t>
            </w:r>
          </w:p>
        </w:tc>
        <w:tc>
          <w:tcPr>
            <w:tcW w:w="2172" w:type="dxa"/>
          </w:tcPr>
          <w:p w:rsidR="009D71A1" w:rsidRPr="00601715" w:rsidRDefault="009D71A1" w:rsidP="00843CF6">
            <w:pPr>
              <w:jc w:val="right"/>
              <w:rPr>
                <w:bCs/>
              </w:rPr>
            </w:pPr>
            <w:r>
              <w:t>4,421</w:t>
            </w:r>
          </w:p>
        </w:tc>
        <w:tc>
          <w:tcPr>
            <w:tcW w:w="2173" w:type="dxa"/>
          </w:tcPr>
          <w:p w:rsidR="009D71A1" w:rsidRPr="00601715" w:rsidRDefault="009D71A1" w:rsidP="00843CF6">
            <w:pPr>
              <w:jc w:val="right"/>
              <w:rPr>
                <w:bCs/>
              </w:rPr>
            </w:pPr>
            <w:r>
              <w:t>4,380</w:t>
            </w:r>
          </w:p>
        </w:tc>
      </w:tr>
      <w:tr w:rsidR="009D71A1" w:rsidRPr="00601715" w:rsidTr="00843CF6">
        <w:tc>
          <w:tcPr>
            <w:tcW w:w="4122" w:type="dxa"/>
          </w:tcPr>
          <w:p w:rsidR="009D71A1" w:rsidRPr="00601715" w:rsidRDefault="009D71A1" w:rsidP="00843CF6">
            <w:pPr>
              <w:rPr>
                <w:bCs/>
              </w:rPr>
            </w:pPr>
            <w:r>
              <w:t>Services</w:t>
            </w:r>
          </w:p>
        </w:tc>
        <w:tc>
          <w:tcPr>
            <w:tcW w:w="2172" w:type="dxa"/>
          </w:tcPr>
          <w:p w:rsidR="009D71A1" w:rsidRPr="00601715" w:rsidRDefault="009D71A1" w:rsidP="00843CF6">
            <w:pPr>
              <w:jc w:val="right"/>
              <w:rPr>
                <w:bCs/>
              </w:rPr>
            </w:pPr>
            <w:r>
              <w:t>12,896</w:t>
            </w:r>
          </w:p>
        </w:tc>
        <w:tc>
          <w:tcPr>
            <w:tcW w:w="2173" w:type="dxa"/>
          </w:tcPr>
          <w:p w:rsidR="009D71A1" w:rsidRPr="00601715" w:rsidRDefault="009D71A1" w:rsidP="00843CF6">
            <w:pPr>
              <w:jc w:val="right"/>
              <w:rPr>
                <w:bCs/>
              </w:rPr>
            </w:pPr>
            <w:r>
              <w:t>12,668</w:t>
            </w:r>
          </w:p>
        </w:tc>
      </w:tr>
      <w:tr w:rsidR="009D71A1" w:rsidRPr="00601715" w:rsidTr="00843CF6">
        <w:tc>
          <w:tcPr>
            <w:tcW w:w="4122" w:type="dxa"/>
          </w:tcPr>
          <w:p w:rsidR="009D71A1" w:rsidRPr="00601715" w:rsidRDefault="009D71A1" w:rsidP="00843CF6">
            <w:pPr>
              <w:rPr>
                <w:bCs/>
              </w:rPr>
            </w:pPr>
            <w:r>
              <w:t xml:space="preserve">Other operations </w:t>
            </w:r>
          </w:p>
        </w:tc>
        <w:tc>
          <w:tcPr>
            <w:tcW w:w="2172" w:type="dxa"/>
          </w:tcPr>
          <w:p w:rsidR="009D71A1" w:rsidRPr="00601715" w:rsidRDefault="009D71A1" w:rsidP="00843CF6">
            <w:pPr>
              <w:jc w:val="right"/>
              <w:rPr>
                <w:bCs/>
              </w:rPr>
            </w:pPr>
            <w:r>
              <w:t>531</w:t>
            </w:r>
          </w:p>
        </w:tc>
        <w:tc>
          <w:tcPr>
            <w:tcW w:w="2173" w:type="dxa"/>
          </w:tcPr>
          <w:p w:rsidR="009D71A1" w:rsidRPr="00601715" w:rsidRDefault="009D71A1" w:rsidP="00843CF6">
            <w:pPr>
              <w:jc w:val="right"/>
              <w:rPr>
                <w:bCs/>
              </w:rPr>
            </w:pPr>
            <w:r>
              <w:t>701</w:t>
            </w:r>
          </w:p>
        </w:tc>
      </w:tr>
      <w:tr w:rsidR="009D71A1" w:rsidRPr="00601715" w:rsidTr="00843CF6">
        <w:tc>
          <w:tcPr>
            <w:tcW w:w="4122" w:type="dxa"/>
          </w:tcPr>
          <w:p w:rsidR="009D71A1" w:rsidRPr="00601715" w:rsidRDefault="009D71A1" w:rsidP="00843CF6">
            <w:pPr>
              <w:rPr>
                <w:b/>
                <w:bCs/>
              </w:rPr>
            </w:pPr>
            <w:r>
              <w:rPr>
                <w:b/>
              </w:rPr>
              <w:t>Evonik</w:t>
            </w:r>
          </w:p>
        </w:tc>
        <w:tc>
          <w:tcPr>
            <w:tcW w:w="2172" w:type="dxa"/>
          </w:tcPr>
          <w:p w:rsidR="009D71A1" w:rsidRPr="00601715" w:rsidRDefault="009D71A1" w:rsidP="00843CF6">
            <w:pPr>
              <w:jc w:val="right"/>
              <w:rPr>
                <w:b/>
                <w:bCs/>
              </w:rPr>
            </w:pPr>
            <w:r>
              <w:rPr>
                <w:b/>
              </w:rPr>
              <w:t>34,277</w:t>
            </w:r>
          </w:p>
        </w:tc>
        <w:tc>
          <w:tcPr>
            <w:tcW w:w="2173" w:type="dxa"/>
          </w:tcPr>
          <w:p w:rsidR="009D71A1" w:rsidRPr="00601715" w:rsidRDefault="009D71A1" w:rsidP="00843CF6">
            <w:pPr>
              <w:jc w:val="right"/>
              <w:rPr>
                <w:b/>
                <w:bCs/>
              </w:rPr>
            </w:pPr>
            <w:r>
              <w:rPr>
                <w:b/>
              </w:rPr>
              <w:t>33,576</w:t>
            </w:r>
          </w:p>
        </w:tc>
      </w:tr>
    </w:tbl>
    <w:p w:rsidR="009D71A1" w:rsidRPr="00601715" w:rsidRDefault="009D71A1" w:rsidP="009D71A1">
      <w:pPr>
        <w:rPr>
          <w:bCs/>
          <w:sz w:val="16"/>
          <w:szCs w:val="16"/>
        </w:rPr>
      </w:pPr>
      <w:r>
        <w:rPr>
          <w:sz w:val="16"/>
          <w:lang w:val="en-US" w:eastAsia="en-US"/>
        </w:rPr>
        <w:t>Prior-year figures restated</w:t>
      </w:r>
    </w:p>
    <w:p w:rsidR="009D71A1" w:rsidRPr="00601715" w:rsidRDefault="009D71A1" w:rsidP="009D71A1"/>
    <w:p w:rsidR="009D71A1" w:rsidRDefault="009D71A1">
      <w:pPr>
        <w:spacing w:line="240" w:lineRule="auto"/>
        <w:rPr>
          <w:b/>
          <w:bCs/>
        </w:rPr>
      </w:pPr>
    </w:p>
    <w:p w:rsidR="009D71A1" w:rsidRDefault="009D71A1">
      <w:pPr>
        <w:spacing w:line="240" w:lineRule="auto"/>
        <w:rPr>
          <w:b/>
          <w:bCs/>
        </w:rPr>
      </w:pPr>
      <w:r>
        <w:rPr>
          <w:b/>
          <w:bCs/>
        </w:rPr>
        <w:br w:type="page"/>
      </w:r>
    </w:p>
    <w:p w:rsidR="004F1918" w:rsidRDefault="004F1918" w:rsidP="00CD1EE7"/>
    <w:p w:rsidR="004F1918" w:rsidRPr="004F1918" w:rsidRDefault="004F1918" w:rsidP="004F1918">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 xml:space="preserve">Company information </w:t>
      </w:r>
    </w:p>
    <w:p w:rsidR="004F1918" w:rsidRPr="004F1918" w:rsidRDefault="004F1918" w:rsidP="004F1918">
      <w:pPr>
        <w:autoSpaceDE w:val="0"/>
        <w:autoSpaceDN w:val="0"/>
        <w:adjustRightInd w:val="0"/>
        <w:spacing w:line="220" w:lineRule="exact"/>
        <w:rPr>
          <w:rFonts w:cs="Lucida Sans Unicode"/>
          <w:sz w:val="18"/>
          <w:szCs w:val="18"/>
          <w:lang w:val="en-US"/>
        </w:rPr>
      </w:pPr>
      <w:r w:rsidRPr="004F1918">
        <w:rPr>
          <w:rFonts w:cs="Lucida Sans Unicode"/>
          <w:sz w:val="18"/>
          <w:szCs w:val="18"/>
          <w:lang w:val="en-US"/>
        </w:rPr>
        <w:t xml:space="preserve">Evonik, the creative industrial group from Germany, is one of the world leaders </w:t>
      </w:r>
      <w:r w:rsidRPr="004F1918">
        <w:rPr>
          <w:rFonts w:cs="Lucida Sans Unicode"/>
          <w:sz w:val="18"/>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4F1918" w:rsidRPr="004F1918" w:rsidRDefault="004F1918" w:rsidP="004F1918">
      <w:pPr>
        <w:autoSpaceDE w:val="0"/>
        <w:autoSpaceDN w:val="0"/>
        <w:adjustRightInd w:val="0"/>
        <w:spacing w:line="220" w:lineRule="exact"/>
        <w:rPr>
          <w:rFonts w:cs="Lucida Sans Unicode"/>
          <w:sz w:val="18"/>
          <w:szCs w:val="18"/>
          <w:lang w:val="en-US"/>
        </w:rPr>
      </w:pPr>
    </w:p>
    <w:p w:rsidR="004F1918" w:rsidRPr="004F1918" w:rsidRDefault="004F1918" w:rsidP="004F1918">
      <w:pPr>
        <w:autoSpaceDE w:val="0"/>
        <w:autoSpaceDN w:val="0"/>
        <w:adjustRightInd w:val="0"/>
        <w:spacing w:line="220" w:lineRule="exact"/>
        <w:rPr>
          <w:rFonts w:cs="Lucida Sans Unicode"/>
          <w:sz w:val="18"/>
          <w:szCs w:val="18"/>
          <w:lang w:val="en-US"/>
        </w:rPr>
      </w:pPr>
      <w:r w:rsidRPr="004F1918">
        <w:rPr>
          <w:rFonts w:cs="Lucida Sans Unicode"/>
          <w:sz w:val="18"/>
          <w:szCs w:val="18"/>
          <w:lang w:val="en-US"/>
        </w:rPr>
        <w:t>Evonik is active in over 100 countries around the world. In fiscal 2015 more than 33,500 employees generated sales of around €13.5 billion and an operating profit (adjusted EBITDA) of about €2.47 billion.</w:t>
      </w:r>
    </w:p>
    <w:p w:rsidR="004F1918" w:rsidRDefault="004F1918" w:rsidP="004F1918">
      <w:pPr>
        <w:spacing w:line="220" w:lineRule="exact"/>
        <w:rPr>
          <w:sz w:val="18"/>
          <w:szCs w:val="18"/>
          <w:lang w:val="en-US"/>
        </w:rPr>
      </w:pPr>
    </w:p>
    <w:p w:rsidR="004F1918" w:rsidRPr="004F1918" w:rsidRDefault="004F1918" w:rsidP="004F1918">
      <w:pPr>
        <w:spacing w:line="220" w:lineRule="exact"/>
        <w:rPr>
          <w:sz w:val="18"/>
          <w:szCs w:val="18"/>
          <w:lang w:val="en-US"/>
        </w:rPr>
      </w:pPr>
    </w:p>
    <w:p w:rsidR="004F1918" w:rsidRPr="004F1918" w:rsidRDefault="004F1918" w:rsidP="004F1918">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Disclaimer</w:t>
      </w:r>
    </w:p>
    <w:p w:rsidR="004F1918" w:rsidRPr="004F1918" w:rsidRDefault="004F1918" w:rsidP="004F1918">
      <w:pPr>
        <w:spacing w:line="220" w:lineRule="exact"/>
        <w:rPr>
          <w:rFonts w:cs="Lucida Sans Unicode"/>
          <w:sz w:val="18"/>
          <w:szCs w:val="18"/>
          <w:lang w:val="en-US"/>
        </w:rPr>
      </w:pPr>
      <w:r w:rsidRPr="004F1918">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4F1918" w:rsidRPr="004F1918" w:rsidRDefault="004F1918" w:rsidP="004F1918">
      <w:pPr>
        <w:spacing w:line="220" w:lineRule="exact"/>
        <w:rPr>
          <w:rFonts w:cs="Lucida Sans Unicode"/>
          <w:sz w:val="18"/>
          <w:szCs w:val="18"/>
          <w:lang w:val="en-US"/>
        </w:rPr>
      </w:pPr>
    </w:p>
    <w:sectPr w:rsidR="004F1918" w:rsidRPr="004F1918" w:rsidSect="005C5615">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CF6" w:rsidRDefault="00843CF6" w:rsidP="00FD1184">
      <w:r>
        <w:separator/>
      </w:r>
    </w:p>
  </w:endnote>
  <w:endnote w:type="continuationSeparator" w:id="0">
    <w:p w:rsidR="00843CF6" w:rsidRDefault="00843CF6"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CF6" w:rsidRDefault="00843CF6">
    <w:pPr>
      <w:pStyle w:val="Fuzeile"/>
    </w:pPr>
  </w:p>
  <w:p w:rsidR="00843CF6" w:rsidRDefault="00843CF6">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5F5FF0">
      <w:rPr>
        <w:rStyle w:val="Seitenzahl"/>
        <w:noProof/>
      </w:rPr>
      <w:t>4</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5F5FF0">
      <w:rPr>
        <w:rStyle w:val="Seitenzahl"/>
        <w:noProof/>
      </w:rPr>
      <w:t>6</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CF6" w:rsidRDefault="00843CF6" w:rsidP="00316EC0">
    <w:pPr>
      <w:pStyle w:val="Fuzeile"/>
    </w:pPr>
  </w:p>
  <w:p w:rsidR="00843CF6" w:rsidRPr="005225EC" w:rsidRDefault="00843CF6"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5F5FF0">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5F5FF0">
      <w:rPr>
        <w:rStyle w:val="Seitenzahl"/>
        <w:noProof/>
        <w:szCs w:val="18"/>
      </w:rPr>
      <w:t>6</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CF6" w:rsidRDefault="00843CF6" w:rsidP="00FD1184">
      <w:r>
        <w:separator/>
      </w:r>
    </w:p>
  </w:footnote>
  <w:footnote w:type="continuationSeparator" w:id="0">
    <w:p w:rsidR="00843CF6" w:rsidRDefault="00843CF6"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CF6" w:rsidRPr="003F4CD0" w:rsidRDefault="00843CF6"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CF6" w:rsidRPr="003F4CD0" w:rsidRDefault="00843CF6">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19C4"/>
    <w:rsid w:val="00046C72"/>
    <w:rsid w:val="00047E57"/>
    <w:rsid w:val="00053D1D"/>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E0C21"/>
    <w:rsid w:val="001F7C26"/>
    <w:rsid w:val="00221C32"/>
    <w:rsid w:val="002427AA"/>
    <w:rsid w:val="0024351A"/>
    <w:rsid w:val="0024351E"/>
    <w:rsid w:val="0025212F"/>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33AD"/>
    <w:rsid w:val="003067D4"/>
    <w:rsid w:val="0031020E"/>
    <w:rsid w:val="00310BD6"/>
    <w:rsid w:val="00316EC0"/>
    <w:rsid w:val="00344169"/>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4F52"/>
    <w:rsid w:val="00464856"/>
    <w:rsid w:val="00476F6F"/>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338B"/>
    <w:rsid w:val="005E6AE3"/>
    <w:rsid w:val="005E799F"/>
    <w:rsid w:val="005F234C"/>
    <w:rsid w:val="005F50D9"/>
    <w:rsid w:val="005F5FF0"/>
    <w:rsid w:val="0060031A"/>
    <w:rsid w:val="00600E86"/>
    <w:rsid w:val="00605C02"/>
    <w:rsid w:val="00606A38"/>
    <w:rsid w:val="00635F70"/>
    <w:rsid w:val="00645F2F"/>
    <w:rsid w:val="00652A75"/>
    <w:rsid w:val="006651E2"/>
    <w:rsid w:val="006724DE"/>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2D50"/>
    <w:rsid w:val="00825D88"/>
    <w:rsid w:val="008352AA"/>
    <w:rsid w:val="00836B9A"/>
    <w:rsid w:val="0084389E"/>
    <w:rsid w:val="00843CF6"/>
    <w:rsid w:val="00860A6B"/>
    <w:rsid w:val="0088508F"/>
    <w:rsid w:val="00885442"/>
    <w:rsid w:val="00885F2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27"/>
    <w:rsid w:val="009A16A5"/>
    <w:rsid w:val="009A7CDC"/>
    <w:rsid w:val="009C2B65"/>
    <w:rsid w:val="009C40DA"/>
    <w:rsid w:val="009C5F4B"/>
    <w:rsid w:val="009D71A1"/>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E62C2"/>
    <w:rsid w:val="00CF2E07"/>
    <w:rsid w:val="00CF3942"/>
    <w:rsid w:val="00D12103"/>
    <w:rsid w:val="00D37F3A"/>
    <w:rsid w:val="00D46695"/>
    <w:rsid w:val="00D46DAB"/>
    <w:rsid w:val="00D50B3E"/>
    <w:rsid w:val="00D5275A"/>
    <w:rsid w:val="00D60C11"/>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1329"/>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3D723AFD</Template>
  <TotalTime>0</TotalTime>
  <Pages>6</Pages>
  <Words>1569</Words>
  <Characters>8621</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10170</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10</cp:revision>
  <cp:lastPrinted>2016-11-03T15:58:00Z</cp:lastPrinted>
  <dcterms:created xsi:type="dcterms:W3CDTF">2016-11-03T10:15:00Z</dcterms:created>
  <dcterms:modified xsi:type="dcterms:W3CDTF">2016-11-03T15:58:00Z</dcterms:modified>
</cp:coreProperties>
</file>