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rsidP="00EF521C">
      <w:pPr>
        <w:spacing w:line="300" w:lineRule="exact"/>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909F1" w:rsidP="00A029E1">
            <w:pPr>
              <w:pStyle w:val="E-Datum"/>
              <w:framePr w:wrap="auto" w:vAnchor="margin" w:hAnchor="text" w:xAlign="left" w:yAlign="inline"/>
              <w:suppressOverlap w:val="0"/>
            </w:pPr>
            <w:proofErr w:type="spellStart"/>
            <w:r>
              <w:t>October</w:t>
            </w:r>
            <w:proofErr w:type="spellEnd"/>
            <w:r>
              <w:t xml:space="preserve"> 30</w:t>
            </w:r>
            <w:r w:rsidR="00552E51">
              <w:t>, 2014</w:t>
            </w:r>
          </w:p>
        </w:tc>
      </w:tr>
      <w:tr w:rsidR="00CC5D98" w:rsidTr="00B14022">
        <w:trPr>
          <w:trHeight w:hRule="exact" w:val="304"/>
        </w:trPr>
        <w:tc>
          <w:tcPr>
            <w:tcW w:w="2271" w:type="dxa"/>
            <w:shd w:val="clear" w:color="auto" w:fill="auto"/>
          </w:tcPr>
          <w:p w:rsidR="00CC5D98" w:rsidRDefault="00CC5D98" w:rsidP="00A029E1">
            <w:pPr>
              <w:spacing w:line="180" w:lineRule="exact"/>
              <w:ind w:left="0"/>
            </w:pPr>
          </w:p>
        </w:tc>
      </w:tr>
      <w:tr w:rsidR="00CC5D98" w:rsidRPr="004303C2" w:rsidTr="00B14022">
        <w:trPr>
          <w:trHeight w:hRule="exact" w:val="1222"/>
        </w:trPr>
        <w:tc>
          <w:tcPr>
            <w:tcW w:w="2271" w:type="dxa"/>
            <w:shd w:val="clear" w:color="auto" w:fill="auto"/>
          </w:tcPr>
          <w:p w:rsidR="00CC5D98" w:rsidRPr="003C3375" w:rsidRDefault="00552E51" w:rsidP="00A029E1">
            <w:pPr>
              <w:pStyle w:val="M7"/>
              <w:framePr w:wrap="auto" w:vAnchor="margin" w:hAnchor="text" w:xAlign="left" w:yAlign="inline"/>
              <w:suppressOverlap w:val="0"/>
              <w:rPr>
                <w:lang w:val="en-US"/>
              </w:rPr>
            </w:pPr>
            <w:r>
              <w:rPr>
                <w:lang w:val="en-US"/>
              </w:rPr>
              <w:t>Barbara Müller</w:t>
            </w:r>
          </w:p>
          <w:p w:rsidR="00CC5D98" w:rsidRPr="00E12886" w:rsidRDefault="00552E51" w:rsidP="00A029E1">
            <w:pPr>
              <w:pStyle w:val="M8"/>
              <w:framePr w:wrap="auto" w:vAnchor="margin" w:hAnchor="text" w:xAlign="left" w:yAlign="inline"/>
              <w:suppressOverlap w:val="0"/>
              <w:rPr>
                <w:lang w:val="en-US"/>
              </w:rPr>
            </w:pPr>
            <w:r>
              <w:rPr>
                <w:lang w:val="en-US"/>
              </w:rPr>
              <w:t>Head of Corporate Press</w:t>
            </w:r>
            <w:r w:rsidR="00B14022" w:rsidRPr="00E12886">
              <w:rPr>
                <w:lang w:val="en-US"/>
              </w:rPr>
              <w:t xml:space="preserve"> </w:t>
            </w:r>
          </w:p>
          <w:p w:rsidR="00CC5D98" w:rsidRPr="00E12886" w:rsidRDefault="00F31F7C" w:rsidP="00A029E1">
            <w:pPr>
              <w:pStyle w:val="M9"/>
              <w:framePr w:wrap="auto" w:vAnchor="margin" w:hAnchor="text" w:xAlign="left" w:yAlign="inline"/>
              <w:suppressOverlap w:val="0"/>
              <w:rPr>
                <w:lang w:val="en-US"/>
              </w:rPr>
            </w:pPr>
            <w:r>
              <w:rPr>
                <w:lang w:val="en-US"/>
              </w:rPr>
              <w:t>Phone +</w:t>
            </w:r>
            <w:r w:rsidR="00B81424">
              <w:rPr>
                <w:lang w:val="en-US"/>
              </w:rPr>
              <w:t>49</w:t>
            </w:r>
            <w:r>
              <w:rPr>
                <w:lang w:val="en-US"/>
              </w:rPr>
              <w:tab/>
            </w:r>
            <w:r w:rsidR="00552E51">
              <w:rPr>
                <w:lang w:val="en-US"/>
              </w:rPr>
              <w:t>201 177-3423</w:t>
            </w:r>
          </w:p>
          <w:p w:rsidR="00CC5D98" w:rsidRDefault="00F31F7C" w:rsidP="00A029E1">
            <w:pPr>
              <w:pStyle w:val="M10"/>
              <w:framePr w:wrap="auto" w:vAnchor="margin" w:hAnchor="text" w:xAlign="left" w:yAlign="inline"/>
              <w:suppressOverlap w:val="0"/>
            </w:pPr>
            <w:r>
              <w:t>F</w:t>
            </w:r>
            <w:r w:rsidR="00B81424">
              <w:t>ax +49</w:t>
            </w:r>
            <w:r w:rsidR="00B81424">
              <w:tab/>
            </w:r>
            <w:r w:rsidR="00552E51">
              <w:t>201 177-3030</w:t>
            </w:r>
          </w:p>
          <w:p w:rsidR="00CC5D98" w:rsidRDefault="00552E51" w:rsidP="00A029E1">
            <w:pPr>
              <w:pStyle w:val="M10"/>
              <w:framePr w:wrap="auto" w:vAnchor="margin" w:hAnchor="text" w:xAlign="left" w:yAlign="inline"/>
              <w:suppressOverlap w:val="0"/>
            </w:pPr>
            <w:r>
              <w:t>barbara.mueller</w:t>
            </w:r>
            <w:r w:rsidR="00B14022">
              <w:t>@evonik.com</w:t>
            </w:r>
            <w:r w:rsidR="00B14022">
              <w:rPr>
                <w:lang w:val="sv-SE"/>
              </w:rPr>
              <w:t xml:space="preserve"> </w:t>
            </w:r>
          </w:p>
        </w:tc>
      </w:tr>
      <w:tr w:rsidR="00CC5D98" w:rsidRPr="004303C2" w:rsidTr="00B14022">
        <w:trPr>
          <w:trHeight w:val="2609"/>
        </w:trPr>
        <w:tc>
          <w:tcPr>
            <w:tcW w:w="2271" w:type="dxa"/>
            <w:shd w:val="clear" w:color="auto" w:fill="auto"/>
          </w:tcPr>
          <w:p w:rsidR="00CC5D98" w:rsidRPr="00E12886" w:rsidRDefault="00CC5D98" w:rsidP="00A029E1">
            <w:pPr>
              <w:pStyle w:val="M12"/>
              <w:framePr w:wrap="auto" w:vAnchor="margin" w:hAnchor="text" w:xAlign="left" w:yAlign="inline"/>
              <w:suppressOverlap w:val="0"/>
              <w:rPr>
                <w:lang w:val="en-US"/>
              </w:rPr>
            </w:pPr>
          </w:p>
          <w:p w:rsidR="00CC5D98" w:rsidRPr="003C3375" w:rsidRDefault="00552E51" w:rsidP="00A029E1">
            <w:pPr>
              <w:pStyle w:val="M7"/>
              <w:framePr w:wrap="auto" w:vAnchor="margin" w:hAnchor="text" w:xAlign="left" w:yAlign="inline"/>
              <w:suppressOverlap w:val="0"/>
              <w:rPr>
                <w:lang w:val="en-US"/>
              </w:rPr>
            </w:pPr>
            <w:r>
              <w:rPr>
                <w:lang w:val="en-US"/>
              </w:rPr>
              <w:t>Alexandra Boy</w:t>
            </w:r>
          </w:p>
          <w:p w:rsidR="00552E51" w:rsidRPr="00F31F7C" w:rsidRDefault="00552E51" w:rsidP="00A029E1">
            <w:pPr>
              <w:pStyle w:val="M8"/>
              <w:framePr w:wrap="auto" w:vAnchor="margin" w:hAnchor="text" w:xAlign="left" w:yAlign="inline"/>
              <w:suppressOverlap w:val="0"/>
              <w:rPr>
                <w:lang w:val="en-US"/>
              </w:rPr>
            </w:pPr>
            <w:r>
              <w:rPr>
                <w:lang w:val="en-US"/>
              </w:rPr>
              <w:t>Deputy Head Corporate Press</w:t>
            </w:r>
          </w:p>
          <w:p w:rsidR="00CC5D98" w:rsidRPr="00BC3F95" w:rsidRDefault="00F31F7C" w:rsidP="00A029E1">
            <w:pPr>
              <w:pStyle w:val="M9"/>
              <w:framePr w:wrap="auto" w:vAnchor="margin" w:hAnchor="text" w:xAlign="left" w:yAlign="inline"/>
              <w:suppressOverlap w:val="0"/>
              <w:rPr>
                <w:lang w:val="en-US"/>
              </w:rPr>
            </w:pPr>
            <w:r w:rsidRPr="00BC3F95">
              <w:rPr>
                <w:lang w:val="en-US"/>
              </w:rPr>
              <w:t>Phone</w:t>
            </w:r>
            <w:r w:rsidR="00B14022" w:rsidRPr="00BC3F95">
              <w:rPr>
                <w:lang w:val="en-US"/>
              </w:rPr>
              <w:t xml:space="preserve"> +49</w:t>
            </w:r>
            <w:r w:rsidR="00B14022" w:rsidRPr="00BC3F95">
              <w:rPr>
                <w:lang w:val="en-US"/>
              </w:rPr>
              <w:tab/>
            </w:r>
            <w:r w:rsidR="00552E51" w:rsidRPr="00BC3F95">
              <w:rPr>
                <w:lang w:val="en-US"/>
              </w:rPr>
              <w:t>201 177-3167</w:t>
            </w:r>
          </w:p>
          <w:p w:rsidR="00CC5D98" w:rsidRDefault="00F31F7C" w:rsidP="00A029E1">
            <w:pPr>
              <w:pStyle w:val="M10"/>
              <w:framePr w:wrap="auto" w:vAnchor="margin" w:hAnchor="text" w:xAlign="left" w:yAlign="inline"/>
              <w:suppressOverlap w:val="0"/>
            </w:pPr>
            <w:r>
              <w:t>F</w:t>
            </w:r>
            <w:r w:rsidR="00B14022">
              <w:t>ax +49</w:t>
            </w:r>
            <w:r w:rsidR="00B14022">
              <w:tab/>
            </w:r>
            <w:r w:rsidR="00552E51">
              <w:t>201 177-3030</w:t>
            </w:r>
            <w:r w:rsidR="00B14022">
              <w:tab/>
            </w:r>
          </w:p>
          <w:p w:rsidR="00CC5D98" w:rsidRDefault="00552E51" w:rsidP="00A029E1">
            <w:pPr>
              <w:pStyle w:val="M10"/>
              <w:framePr w:wrap="auto" w:vAnchor="margin" w:hAnchor="text" w:xAlign="left" w:yAlign="inline"/>
              <w:suppressOverlap w:val="0"/>
            </w:pPr>
            <w:r>
              <w:t>alexandra.boy</w:t>
            </w:r>
            <w:r w:rsidR="00B14022">
              <w:t>@evonik.com</w:t>
            </w:r>
          </w:p>
          <w:p w:rsidR="00CC5D98" w:rsidRPr="00BC3F95" w:rsidRDefault="00B14022" w:rsidP="00A029E1">
            <w:pPr>
              <w:pStyle w:val="M12"/>
              <w:framePr w:wrap="auto" w:vAnchor="margin" w:hAnchor="text" w:xAlign="left" w:yAlign="inline"/>
              <w:suppressOverlap w:val="0"/>
              <w:rPr>
                <w:lang w:val="en-US"/>
              </w:rPr>
            </w:pPr>
            <w:r w:rsidRPr="00BC3F95">
              <w:rPr>
                <w:lang w:val="en-US"/>
              </w:rPr>
              <w:br/>
            </w:r>
          </w:p>
        </w:tc>
      </w:tr>
      <w:tr w:rsidR="00CC5D98" w:rsidRPr="003C3375" w:rsidTr="00B14022">
        <w:trPr>
          <w:trHeight w:hRule="exact" w:val="7880"/>
        </w:trPr>
        <w:tc>
          <w:tcPr>
            <w:tcW w:w="2271" w:type="dxa"/>
            <w:shd w:val="clear" w:color="auto" w:fill="auto"/>
            <w:vAlign w:val="bottom"/>
          </w:tcPr>
          <w:p w:rsidR="00CC5D98" w:rsidRPr="00BC3F95" w:rsidRDefault="00CC5D98" w:rsidP="00A029E1">
            <w:pPr>
              <w:pStyle w:val="Marginalie"/>
              <w:framePr w:w="0" w:hSpace="0" w:wrap="auto" w:vAnchor="margin" w:hAnchor="text" w:xAlign="left" w:yAlign="inline"/>
              <w:rPr>
                <w:b/>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B14022" w:rsidRPr="00BC3F95" w:rsidRDefault="00B14022" w:rsidP="00A029E1">
            <w:pPr>
              <w:pStyle w:val="V1"/>
              <w:framePr w:wrap="auto" w:vAnchor="margin" w:hAnchor="text" w:xAlign="left" w:yAlign="inline"/>
              <w:suppressOverlap w:val="0"/>
              <w:rPr>
                <w:lang w:val="en-US"/>
              </w:rPr>
            </w:pPr>
          </w:p>
          <w:p w:rsidR="00CC5D98" w:rsidRDefault="00B14022" w:rsidP="00A029E1">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4219C">
              <w:rPr>
                <w:noProof/>
              </w:rPr>
              <w:t>Evonik Industries AG</w:t>
            </w:r>
            <w:r>
              <w:fldChar w:fldCharType="end"/>
            </w:r>
          </w:p>
          <w:p w:rsidR="00CC5D98" w:rsidRDefault="00B14022" w:rsidP="00A029E1">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4219C">
              <w:rPr>
                <w:noProof/>
              </w:rPr>
              <w:t>Rellinghauser Straße 1-11</w:t>
            </w:r>
            <w:r>
              <w:fldChar w:fldCharType="end"/>
            </w:r>
          </w:p>
          <w:p w:rsidR="00CC5D98" w:rsidRPr="00F31F7C" w:rsidRDefault="00B14022" w:rsidP="00A029E1">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BC3F95">
              <w:rPr>
                <w:lang w:val="en-US"/>
              </w:rPr>
              <w:instrText xml:space="preserve"> FORMTEXT </w:instrText>
            </w:r>
            <w:r>
              <w:fldChar w:fldCharType="separate"/>
            </w:r>
            <w:r w:rsidR="0024219C">
              <w:rPr>
                <w:noProof/>
              </w:rPr>
              <w:t>45128 Essen</w:t>
            </w:r>
            <w:r>
              <w:fldChar w:fldCharType="end"/>
            </w:r>
            <w:r w:rsidR="003C3375" w:rsidRPr="00BC3F95">
              <w:rPr>
                <w:lang w:val="en-US"/>
              </w:rPr>
              <w:br/>
              <w:t>Ger</w:t>
            </w:r>
            <w:r w:rsidR="003C3375" w:rsidRPr="00F31F7C">
              <w:rPr>
                <w:lang w:val="en-US"/>
              </w:rPr>
              <w:t>many</w:t>
            </w:r>
          </w:p>
          <w:p w:rsidR="00CC5D98" w:rsidRPr="00E12886" w:rsidRDefault="003C3375" w:rsidP="00A029E1">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4219C">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4219C">
              <w:rPr>
                <w:noProof/>
              </w:rPr>
              <w:t>-</w:t>
            </w:r>
            <w:r w:rsidR="00B14022">
              <w:fldChar w:fldCharType="end"/>
            </w:r>
            <w:r w:rsidR="00B14022" w:rsidRPr="00E12886">
              <w:rPr>
                <w:lang w:val="en-US"/>
              </w:rPr>
              <w:t>01</w:t>
            </w:r>
          </w:p>
          <w:p w:rsidR="00CC5D98" w:rsidRDefault="00B14022" w:rsidP="00A029E1">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4219C">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4219C">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4219C">
              <w:rPr>
                <w:noProof/>
              </w:rPr>
              <w:t>-</w:t>
            </w:r>
            <w:r>
              <w:fldChar w:fldCharType="end"/>
            </w:r>
            <w:r>
              <w:t>3475</w:t>
            </w:r>
          </w:p>
          <w:p w:rsidR="00CC5D98" w:rsidRPr="00E12886" w:rsidRDefault="00B14022" w:rsidP="00A029E1">
            <w:pPr>
              <w:pStyle w:val="V6"/>
              <w:framePr w:wrap="auto" w:vAnchor="margin" w:hAnchor="text" w:xAlign="left" w:yAlign="inline"/>
              <w:suppressOverlap w:val="0"/>
              <w:rPr>
                <w:lang w:val="en-US"/>
              </w:rPr>
            </w:pPr>
            <w:r w:rsidRPr="00E12886">
              <w:rPr>
                <w:lang w:val="en-US"/>
              </w:rPr>
              <w:t>www.evonik.de</w:t>
            </w:r>
          </w:p>
          <w:p w:rsidR="00CC5D98" w:rsidRPr="00E12886" w:rsidRDefault="00CC5D98" w:rsidP="00A029E1">
            <w:pPr>
              <w:pStyle w:val="Marginalie"/>
              <w:framePr w:w="0" w:hSpace="0" w:wrap="auto" w:vAnchor="margin" w:hAnchor="text" w:xAlign="left" w:yAlign="inline"/>
              <w:rPr>
                <w:lang w:val="en-US"/>
              </w:rPr>
            </w:pPr>
          </w:p>
          <w:p w:rsidR="00CC5D98" w:rsidRPr="00E12886" w:rsidRDefault="003C3375" w:rsidP="00A029E1">
            <w:pPr>
              <w:pStyle w:val="Marginalie"/>
              <w:framePr w:w="0" w:hSpace="0" w:wrap="auto" w:vAnchor="margin" w:hAnchor="text" w:xAlign="left" w:yAlign="inline"/>
              <w:rPr>
                <w:b/>
                <w:bCs/>
                <w:lang w:val="en-US"/>
              </w:rPr>
            </w:pPr>
            <w:r w:rsidRPr="00E12886">
              <w:rPr>
                <w:b/>
                <w:bCs/>
                <w:lang w:val="en-US"/>
              </w:rPr>
              <w:t>Supervisory Board</w:t>
            </w:r>
          </w:p>
          <w:p w:rsidR="00CC5D98" w:rsidRDefault="00B14022" w:rsidP="00A029E1">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rsidP="00A029E1">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4219C">
              <w:rPr>
                <w:noProof/>
              </w:rPr>
              <w:t>Executive Board</w:t>
            </w:r>
            <w:r>
              <w:fldChar w:fldCharType="end"/>
            </w:r>
          </w:p>
          <w:p w:rsidR="00CC5D98" w:rsidRDefault="00B14022" w:rsidP="00A029E1">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45C89">
              <w:instrText xml:space="preserve"> FORMTEXT </w:instrText>
            </w:r>
            <w:r>
              <w:fldChar w:fldCharType="separate"/>
            </w:r>
            <w:r w:rsidR="0024219C">
              <w:rPr>
                <w:noProof/>
              </w:rPr>
              <w:t>Dr. Klaus Engel</w:t>
            </w:r>
            <w:r>
              <w:fldChar w:fldCharType="end"/>
            </w:r>
            <w:r w:rsidRPr="00945C89">
              <w:t xml:space="preserve">, </w:t>
            </w:r>
            <w:r w:rsidR="003C3375" w:rsidRPr="00945C89">
              <w:t>Chairman</w:t>
            </w:r>
          </w:p>
          <w:p w:rsidR="009B3F1F" w:rsidRPr="00945C89" w:rsidRDefault="009B3F1F" w:rsidP="00A029E1">
            <w:pPr>
              <w:pStyle w:val="V10"/>
              <w:framePr w:wrap="auto" w:vAnchor="margin" w:hAnchor="text" w:xAlign="left" w:yAlign="inline"/>
              <w:suppressOverlap w:val="0"/>
            </w:pPr>
            <w:r>
              <w:t>Christian Kullmann</w:t>
            </w:r>
          </w:p>
          <w:p w:rsidR="00CC5D98" w:rsidRDefault="00B14022" w:rsidP="00A029E1">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24219C">
              <w:rPr>
                <w:noProof/>
              </w:rPr>
              <w:t>Patrik Wohlhauser</w:t>
            </w:r>
            <w:r>
              <w:fldChar w:fldCharType="end"/>
            </w:r>
            <w:r w:rsidR="00554BE4">
              <w:br/>
              <w:t>Ute Wolf</w:t>
            </w:r>
            <w:r w:rsidR="00554BE4">
              <w:br/>
            </w:r>
          </w:p>
          <w:p w:rsidR="00CC5D98" w:rsidRPr="003C3375" w:rsidRDefault="003C3375" w:rsidP="00A029E1">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rsidP="00A029E1">
            <w:pPr>
              <w:pStyle w:val="V15"/>
              <w:framePr w:wrap="auto" w:vAnchor="margin" w:hAnchor="text" w:xAlign="left" w:yAlign="inline"/>
              <w:suppressOverlap w:val="0"/>
              <w:rPr>
                <w:lang w:val="en-US"/>
              </w:rPr>
            </w:pPr>
            <w:r w:rsidRPr="003C3375">
              <w:rPr>
                <w:lang w:val="en-US"/>
              </w:rPr>
              <w:t>Registered court</w:t>
            </w:r>
          </w:p>
          <w:p w:rsidR="00CC5D98" w:rsidRPr="003C3375" w:rsidRDefault="003C3375" w:rsidP="00A029E1">
            <w:pPr>
              <w:pStyle w:val="V16"/>
              <w:framePr w:wrap="auto" w:vAnchor="margin" w:hAnchor="text" w:xAlign="left" w:yAlign="inline"/>
              <w:suppressOverlap w:val="0"/>
              <w:rPr>
                <w:lang w:val="en-US"/>
              </w:rPr>
            </w:pPr>
            <w:r w:rsidRPr="003C3375">
              <w:rPr>
                <w:lang w:val="en-US"/>
              </w:rPr>
              <w:t>Essen local court</w:t>
            </w:r>
          </w:p>
          <w:p w:rsidR="00CC5D98" w:rsidRPr="00E12886" w:rsidRDefault="003C3375" w:rsidP="00A029E1">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rsidP="00A029E1">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rsidP="00A029E1">
            <w:pPr>
              <w:pStyle w:val="V18"/>
              <w:framePr w:wrap="auto" w:vAnchor="margin" w:hAnchor="text" w:xAlign="left" w:yAlign="inline"/>
              <w:suppressOverlap w:val="0"/>
              <w:rPr>
                <w:lang w:val="en-US"/>
              </w:rPr>
            </w:pPr>
          </w:p>
        </w:tc>
      </w:tr>
    </w:tbl>
    <w:p w:rsidR="007E17E5" w:rsidRPr="007E17E5" w:rsidRDefault="007E17E5" w:rsidP="007E17E5">
      <w:pPr>
        <w:rPr>
          <w:u w:val="single"/>
          <w:lang w:val="en-US"/>
        </w:rPr>
      </w:pPr>
      <w:r w:rsidRPr="007E17E5">
        <w:rPr>
          <w:u w:val="single"/>
          <w:lang w:val="en-US"/>
        </w:rPr>
        <w:lastRenderedPageBreak/>
        <w:t>Key Financial Data:</w:t>
      </w:r>
      <w:r w:rsidRPr="007E17E5">
        <w:rPr>
          <w:u w:val="single"/>
          <w:lang w:val="en-US"/>
        </w:rPr>
        <w:br/>
      </w:r>
      <w:bookmarkStart w:id="0" w:name="_GoBack"/>
      <w:r w:rsidRPr="007E17E5">
        <w:rPr>
          <w:u w:val="single"/>
          <w:lang w:val="en-US"/>
        </w:rPr>
        <w:t>January 1 to September 30, 2014 / Q3 2014</w:t>
      </w:r>
      <w:bookmarkEnd w:id="0"/>
    </w:p>
    <w:p w:rsidR="007E17E5" w:rsidRPr="007E17E5" w:rsidRDefault="007E17E5" w:rsidP="007E17E5">
      <w:pPr>
        <w:spacing w:line="300" w:lineRule="exact"/>
        <w:rPr>
          <w:u w:val="single"/>
          <w:lang w:val="en-US"/>
        </w:rPr>
      </w:pPr>
    </w:p>
    <w:p w:rsidR="007E17E5" w:rsidRPr="007E17E5" w:rsidRDefault="007E17E5" w:rsidP="007E17E5">
      <w:pPr>
        <w:rPr>
          <w:b/>
          <w:bCs/>
          <w:sz w:val="22"/>
          <w:szCs w:val="22"/>
          <w:lang w:val="en-US"/>
        </w:rPr>
      </w:pPr>
      <w:bookmarkStart w:id="1" w:name="Überschrift"/>
      <w:r w:rsidRPr="007E17E5">
        <w:rPr>
          <w:b/>
          <w:sz w:val="22"/>
          <w:lang w:val="en-US"/>
        </w:rPr>
        <w:t xml:space="preserve">3rd quarter 2014: Successful in a difficult environment— </w:t>
      </w:r>
      <w:r w:rsidRPr="007E17E5">
        <w:rPr>
          <w:b/>
          <w:bCs/>
          <w:sz w:val="22"/>
          <w:szCs w:val="22"/>
          <w:lang w:val="en-US"/>
        </w:rPr>
        <w:br/>
      </w:r>
      <w:r w:rsidRPr="007E17E5">
        <w:rPr>
          <w:b/>
          <w:sz w:val="22"/>
          <w:lang w:val="en-US"/>
        </w:rPr>
        <w:t xml:space="preserve">Perceptible improvement in operating earnings compared with previous quarters </w:t>
      </w:r>
    </w:p>
    <w:p w:rsidR="007E17E5" w:rsidRPr="007E17E5" w:rsidRDefault="007E17E5" w:rsidP="007E17E5">
      <w:pPr>
        <w:rPr>
          <w:b/>
          <w:bCs/>
          <w:sz w:val="22"/>
          <w:szCs w:val="22"/>
          <w:lang w:val="en-US"/>
        </w:rPr>
      </w:pPr>
    </w:p>
    <w:p w:rsidR="007E17E5" w:rsidRPr="007E17E5" w:rsidRDefault="007E17E5" w:rsidP="007E17E5">
      <w:pPr>
        <w:rPr>
          <w:b/>
          <w:bCs/>
          <w:sz w:val="20"/>
          <w:szCs w:val="20"/>
          <w:lang w:val="en-US"/>
        </w:rPr>
      </w:pPr>
    </w:p>
    <w:p w:rsidR="007E17E5" w:rsidRPr="001C719C" w:rsidRDefault="007E17E5" w:rsidP="007E17E5">
      <w:pPr>
        <w:rPr>
          <w:b/>
          <w:bCs/>
          <w:sz w:val="20"/>
          <w:szCs w:val="20"/>
        </w:rPr>
      </w:pPr>
      <w:r>
        <w:rPr>
          <w:b/>
          <w:sz w:val="20"/>
        </w:rPr>
        <w:t xml:space="preserve">Key </w:t>
      </w:r>
      <w:proofErr w:type="spellStart"/>
      <w:r>
        <w:rPr>
          <w:b/>
          <w:sz w:val="20"/>
        </w:rPr>
        <w:t>data</w:t>
      </w:r>
      <w:proofErr w:type="spellEnd"/>
      <w:r>
        <w:rPr>
          <w:b/>
          <w:sz w:val="20"/>
        </w:rPr>
        <w:t xml:space="preserve"> on Q3 2014:</w:t>
      </w:r>
    </w:p>
    <w:bookmarkEnd w:id="1"/>
    <w:p w:rsidR="007E17E5" w:rsidRPr="007E17E5" w:rsidRDefault="007E17E5" w:rsidP="007E17E5">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7E17E5">
        <w:rPr>
          <w:b/>
          <w:position w:val="0"/>
          <w:sz w:val="20"/>
          <w:lang w:val="en-US"/>
        </w:rPr>
        <w:t>1 percent organic sales growth to €3.2 billion—further volume growth with only slightly lower selling prices</w:t>
      </w:r>
    </w:p>
    <w:p w:rsidR="007E17E5" w:rsidRPr="007E17E5" w:rsidRDefault="007E17E5" w:rsidP="007E17E5">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7E17E5">
        <w:rPr>
          <w:b/>
          <w:position w:val="0"/>
          <w:sz w:val="20"/>
          <w:lang w:val="en-US"/>
        </w:rPr>
        <w:t xml:space="preserve">Adjusted EBITDA far better than in previous quarters at €501 million and now only down slightly year-on-year </w:t>
      </w:r>
    </w:p>
    <w:p w:rsidR="007E17E5" w:rsidRPr="007E17E5" w:rsidRDefault="007E17E5" w:rsidP="007E17E5">
      <w:pPr>
        <w:numPr>
          <w:ilvl w:val="0"/>
          <w:numId w:val="14"/>
        </w:numPr>
        <w:tabs>
          <w:tab w:val="clear" w:pos="1425"/>
          <w:tab w:val="num" w:pos="340"/>
          <w:tab w:val="num" w:pos="1397"/>
        </w:tabs>
        <w:spacing w:line="300" w:lineRule="exact"/>
        <w:ind w:left="312" w:hanging="227"/>
        <w:rPr>
          <w:rFonts w:cs="Lucida Sans Unicode"/>
          <w:b/>
          <w:bCs/>
          <w:position w:val="0"/>
          <w:sz w:val="20"/>
          <w:szCs w:val="20"/>
          <w:lang w:val="en-US"/>
        </w:rPr>
      </w:pPr>
      <w:r w:rsidRPr="007E17E5">
        <w:rPr>
          <w:b/>
          <w:position w:val="0"/>
          <w:sz w:val="20"/>
          <w:lang w:val="en-US"/>
        </w:rPr>
        <w:t>Adjusted earnings increased 3 percent year-on-year to €213 million</w:t>
      </w:r>
      <w:r w:rsidRPr="007E17E5">
        <w:rPr>
          <w:rFonts w:cs="Lucida Sans Unicode"/>
          <w:b/>
          <w:bCs/>
          <w:position w:val="0"/>
          <w:sz w:val="20"/>
          <w:szCs w:val="20"/>
          <w:lang w:val="en-US"/>
        </w:rPr>
        <w:br/>
      </w:r>
    </w:p>
    <w:p w:rsidR="007E17E5" w:rsidRPr="007E17E5" w:rsidRDefault="007E17E5" w:rsidP="007E17E5">
      <w:pPr>
        <w:rPr>
          <w:b/>
          <w:bCs/>
          <w:sz w:val="20"/>
          <w:szCs w:val="20"/>
          <w:lang w:val="en-US"/>
        </w:rPr>
      </w:pPr>
      <w:r w:rsidRPr="007E17E5">
        <w:rPr>
          <w:b/>
          <w:sz w:val="20"/>
          <w:lang w:val="en-US"/>
        </w:rPr>
        <w:t>Key data on the 1st nine months of 2014:</w:t>
      </w:r>
    </w:p>
    <w:p w:rsidR="007E17E5" w:rsidRPr="007E17E5" w:rsidRDefault="007E17E5" w:rsidP="007E17E5">
      <w:pPr>
        <w:numPr>
          <w:ilvl w:val="0"/>
          <w:numId w:val="14"/>
        </w:numPr>
        <w:tabs>
          <w:tab w:val="clear" w:pos="1425"/>
          <w:tab w:val="num" w:pos="340"/>
          <w:tab w:val="num" w:pos="1397"/>
        </w:tabs>
        <w:spacing w:line="300" w:lineRule="exact"/>
        <w:ind w:left="340" w:hanging="255"/>
        <w:rPr>
          <w:rFonts w:cs="Lucida Sans Unicode"/>
          <w:b/>
          <w:bCs/>
          <w:position w:val="0"/>
          <w:sz w:val="20"/>
          <w:szCs w:val="20"/>
          <w:lang w:val="en-US"/>
        </w:rPr>
      </w:pPr>
      <w:r w:rsidRPr="007E17E5">
        <w:rPr>
          <w:b/>
          <w:position w:val="0"/>
          <w:sz w:val="20"/>
          <w:lang w:val="en-US"/>
        </w:rPr>
        <w:t xml:space="preserve">2 percent organic sales growth to around €9.7 billion </w:t>
      </w:r>
    </w:p>
    <w:p w:rsidR="007E17E5" w:rsidRPr="007E17E5" w:rsidRDefault="007E17E5" w:rsidP="007E17E5">
      <w:pPr>
        <w:numPr>
          <w:ilvl w:val="0"/>
          <w:numId w:val="14"/>
        </w:numPr>
        <w:tabs>
          <w:tab w:val="clear" w:pos="1425"/>
          <w:tab w:val="num" w:pos="340"/>
          <w:tab w:val="num" w:pos="1397"/>
        </w:tabs>
        <w:spacing w:line="300" w:lineRule="exact"/>
        <w:ind w:left="340" w:hanging="255"/>
        <w:rPr>
          <w:rFonts w:cs="Lucida Sans Unicode"/>
          <w:b/>
          <w:bCs/>
          <w:position w:val="0"/>
          <w:sz w:val="20"/>
          <w:szCs w:val="20"/>
          <w:lang w:val="en-US"/>
        </w:rPr>
      </w:pPr>
      <w:r w:rsidRPr="007E17E5">
        <w:rPr>
          <w:b/>
          <w:position w:val="0"/>
          <w:sz w:val="20"/>
          <w:lang w:val="en-US"/>
        </w:rPr>
        <w:t xml:space="preserve">Adjusted EBITDA at a solid level of about €1.4 billion but below the good prior-period level due to prices </w:t>
      </w:r>
    </w:p>
    <w:p w:rsidR="007E17E5" w:rsidRDefault="007E17E5" w:rsidP="007E17E5">
      <w:pPr>
        <w:numPr>
          <w:ilvl w:val="0"/>
          <w:numId w:val="14"/>
        </w:numPr>
        <w:tabs>
          <w:tab w:val="clear" w:pos="1425"/>
          <w:tab w:val="num" w:pos="340"/>
          <w:tab w:val="num" w:pos="1397"/>
        </w:tabs>
        <w:spacing w:line="300" w:lineRule="exact"/>
        <w:ind w:left="340" w:hanging="255"/>
        <w:rPr>
          <w:rFonts w:cs="Lucida Sans Unicode"/>
          <w:b/>
          <w:bCs/>
          <w:position w:val="0"/>
          <w:sz w:val="20"/>
          <w:szCs w:val="20"/>
        </w:rPr>
      </w:pPr>
      <w:proofErr w:type="spellStart"/>
      <w:r>
        <w:rPr>
          <w:b/>
          <w:position w:val="0"/>
          <w:sz w:val="20"/>
        </w:rPr>
        <w:t>Adjusted</w:t>
      </w:r>
      <w:proofErr w:type="spellEnd"/>
      <w:r>
        <w:rPr>
          <w:b/>
          <w:position w:val="0"/>
          <w:sz w:val="20"/>
        </w:rPr>
        <w:t xml:space="preserve"> EBITDA </w:t>
      </w:r>
      <w:proofErr w:type="spellStart"/>
      <w:r>
        <w:rPr>
          <w:b/>
          <w:position w:val="0"/>
          <w:sz w:val="20"/>
        </w:rPr>
        <w:t>margin</w:t>
      </w:r>
      <w:proofErr w:type="spellEnd"/>
      <w:r>
        <w:rPr>
          <w:b/>
          <w:position w:val="0"/>
          <w:sz w:val="20"/>
        </w:rPr>
        <w:t xml:space="preserve"> 14.7 </w:t>
      </w:r>
      <w:proofErr w:type="spellStart"/>
      <w:r>
        <w:rPr>
          <w:b/>
          <w:position w:val="0"/>
          <w:sz w:val="20"/>
        </w:rPr>
        <w:t>percent</w:t>
      </w:r>
      <w:proofErr w:type="spellEnd"/>
    </w:p>
    <w:p w:rsidR="007E17E5" w:rsidRPr="007E17E5" w:rsidRDefault="007E17E5" w:rsidP="007E17E5">
      <w:pPr>
        <w:numPr>
          <w:ilvl w:val="0"/>
          <w:numId w:val="14"/>
        </w:numPr>
        <w:tabs>
          <w:tab w:val="clear" w:pos="1425"/>
          <w:tab w:val="num" w:pos="340"/>
          <w:tab w:val="num" w:pos="1397"/>
        </w:tabs>
        <w:spacing w:line="300" w:lineRule="exact"/>
        <w:ind w:left="340" w:hanging="255"/>
        <w:rPr>
          <w:rFonts w:cs="Lucida Sans Unicode"/>
          <w:b/>
          <w:bCs/>
          <w:position w:val="0"/>
          <w:sz w:val="20"/>
          <w:szCs w:val="20"/>
          <w:lang w:val="en-US"/>
        </w:rPr>
      </w:pPr>
      <w:r w:rsidRPr="007E17E5">
        <w:rPr>
          <w:b/>
          <w:position w:val="0"/>
          <w:sz w:val="20"/>
          <w:lang w:val="en-US"/>
        </w:rPr>
        <w:t>Adjusted net income dropped 19 percent to €561 million</w:t>
      </w:r>
    </w:p>
    <w:p w:rsidR="007E17E5" w:rsidRPr="00A02C86" w:rsidRDefault="007E17E5" w:rsidP="007E17E5">
      <w:pPr>
        <w:numPr>
          <w:ilvl w:val="0"/>
          <w:numId w:val="14"/>
        </w:numPr>
        <w:tabs>
          <w:tab w:val="clear" w:pos="1425"/>
          <w:tab w:val="num" w:pos="340"/>
          <w:tab w:val="num" w:pos="1397"/>
        </w:tabs>
        <w:spacing w:line="300" w:lineRule="exact"/>
        <w:ind w:left="340" w:hanging="255"/>
        <w:rPr>
          <w:rFonts w:cs="Lucida Sans Unicode"/>
          <w:b/>
          <w:bCs/>
          <w:position w:val="0"/>
          <w:sz w:val="20"/>
          <w:szCs w:val="20"/>
        </w:rPr>
      </w:pPr>
      <w:r>
        <w:rPr>
          <w:b/>
          <w:position w:val="0"/>
          <w:sz w:val="20"/>
        </w:rPr>
        <w:t xml:space="preserve">Outlook </w:t>
      </w:r>
      <w:proofErr w:type="spellStart"/>
      <w:r>
        <w:rPr>
          <w:b/>
          <w:position w:val="0"/>
          <w:sz w:val="20"/>
        </w:rPr>
        <w:t>for</w:t>
      </w:r>
      <w:proofErr w:type="spellEnd"/>
      <w:r>
        <w:rPr>
          <w:b/>
          <w:position w:val="0"/>
          <w:sz w:val="20"/>
        </w:rPr>
        <w:t xml:space="preserve"> 2014 </w:t>
      </w:r>
      <w:proofErr w:type="spellStart"/>
      <w:r>
        <w:rPr>
          <w:b/>
          <w:position w:val="0"/>
          <w:sz w:val="20"/>
        </w:rPr>
        <w:t>confirmed</w:t>
      </w:r>
      <w:proofErr w:type="spellEnd"/>
      <w:r>
        <w:rPr>
          <w:b/>
          <w:position w:val="0"/>
          <w:sz w:val="20"/>
        </w:rPr>
        <w:t xml:space="preserve"> </w:t>
      </w:r>
      <w:r>
        <w:rPr>
          <w:rFonts w:cs="Lucida Sans Unicode"/>
          <w:b/>
          <w:bCs/>
          <w:position w:val="0"/>
          <w:sz w:val="20"/>
          <w:szCs w:val="20"/>
        </w:rPr>
        <w:br/>
      </w:r>
    </w:p>
    <w:p w:rsidR="007E17E5" w:rsidRPr="007E17E5" w:rsidRDefault="007E17E5" w:rsidP="007E17E5">
      <w:pPr>
        <w:spacing w:line="300" w:lineRule="exact"/>
        <w:rPr>
          <w:rFonts w:cs="Lucida Sans Unicode"/>
          <w:sz w:val="20"/>
          <w:szCs w:val="20"/>
          <w:lang w:val="en-US"/>
        </w:rPr>
      </w:pPr>
      <w:r w:rsidRPr="007E17E5">
        <w:rPr>
          <w:sz w:val="20"/>
          <w:lang w:val="en-US"/>
        </w:rPr>
        <w:t>Essen. "Evonik did well in an increasingly difficult economic environment. There has been a clear upward trend in operating earnings this year and in the third quarter they were only slightly below the prior-period level. Demand for our products was good despite slower global growth,” commented Klaus Engel, Chairman of the Executive Board of Evonik Industries AG</w:t>
      </w:r>
      <w:r w:rsidR="00163078">
        <w:rPr>
          <w:sz w:val="20"/>
          <w:lang w:val="en-US"/>
        </w:rPr>
        <w:t>,</w:t>
      </w:r>
      <w:r w:rsidRPr="007E17E5">
        <w:rPr>
          <w:sz w:val="20"/>
          <w:lang w:val="en-US"/>
        </w:rPr>
        <w:t xml:space="preserve"> today, when the Group published its key financial figures for the third quarter and first nine months of 2014. </w:t>
      </w:r>
    </w:p>
    <w:p w:rsidR="007E17E5" w:rsidRPr="007E17E5" w:rsidRDefault="007E17E5" w:rsidP="007E17E5">
      <w:pPr>
        <w:spacing w:line="300" w:lineRule="exact"/>
        <w:rPr>
          <w:rFonts w:cs="Lucida Sans Unicode"/>
          <w:sz w:val="20"/>
          <w:szCs w:val="20"/>
          <w:lang w:val="en-US"/>
        </w:rPr>
      </w:pPr>
    </w:p>
    <w:p w:rsidR="007E17E5" w:rsidRPr="007E17E5" w:rsidRDefault="007E17E5" w:rsidP="007E17E5">
      <w:pPr>
        <w:spacing w:line="300" w:lineRule="exact"/>
        <w:rPr>
          <w:rFonts w:cs="Lucida Sans Unicode"/>
          <w:sz w:val="20"/>
          <w:szCs w:val="20"/>
          <w:lang w:val="en-US"/>
        </w:rPr>
      </w:pPr>
      <w:r w:rsidRPr="007E17E5">
        <w:rPr>
          <w:sz w:val="20"/>
          <w:lang w:val="en-US"/>
        </w:rPr>
        <w:t xml:space="preserve">Overall, the Group achieved organic sales growth in the first nine months of 2014. Operating earnings improved from quarter to quarter but were below the good prior-year level in the first nine months as selling prices for some important products were lower. </w:t>
      </w:r>
    </w:p>
    <w:p w:rsidR="007E17E5" w:rsidRPr="007E17E5" w:rsidRDefault="007E17E5" w:rsidP="007E17E5">
      <w:pPr>
        <w:spacing w:line="300" w:lineRule="exact"/>
        <w:rPr>
          <w:rFonts w:cs="Lucida Sans Unicode"/>
          <w:sz w:val="20"/>
          <w:szCs w:val="20"/>
          <w:lang w:val="en-US"/>
        </w:rPr>
      </w:pPr>
    </w:p>
    <w:p w:rsidR="007E17E5" w:rsidRPr="007E17E5" w:rsidRDefault="007E17E5" w:rsidP="007E17E5">
      <w:pPr>
        <w:spacing w:line="300" w:lineRule="exact"/>
        <w:rPr>
          <w:rFonts w:cs="Lucida Sans Unicode"/>
          <w:sz w:val="20"/>
          <w:szCs w:val="20"/>
          <w:lang w:val="en-US"/>
        </w:rPr>
      </w:pPr>
      <w:r w:rsidRPr="007E17E5">
        <w:rPr>
          <w:sz w:val="20"/>
          <w:lang w:val="en-US"/>
        </w:rPr>
        <w:t>Despite weaker economic growth overall, Evonik is confirming its outlook for the full year.</w:t>
      </w:r>
      <w:r w:rsidR="00AA7D02">
        <w:rPr>
          <w:sz w:val="20"/>
          <w:lang w:val="en-US"/>
        </w:rPr>
        <w:t xml:space="preserve"> </w:t>
      </w:r>
      <w:r w:rsidRPr="007E17E5">
        <w:rPr>
          <w:sz w:val="20"/>
          <w:lang w:val="en-US"/>
        </w:rPr>
        <w:t xml:space="preserve">Volumes should </w:t>
      </w:r>
      <w:r w:rsidR="00163078">
        <w:rPr>
          <w:sz w:val="20"/>
          <w:lang w:val="en-US"/>
        </w:rPr>
        <w:t xml:space="preserve">continue to </w:t>
      </w:r>
      <w:r w:rsidRPr="007E17E5">
        <w:rPr>
          <w:sz w:val="20"/>
          <w:lang w:val="en-US"/>
        </w:rPr>
        <w:t xml:space="preserve">grow in the remainder of the year, supported by the completion of the first growth investments. On the price front, Evonik expects the stabilization that has been evident so far to continue. Clearly positive price trends are visible in some businesses. However, this does not apply to the Specialty Materials segment, where price trends have remained below the original </w:t>
      </w:r>
      <w:r w:rsidRPr="007E17E5">
        <w:rPr>
          <w:sz w:val="20"/>
          <w:lang w:val="en-US"/>
        </w:rPr>
        <w:lastRenderedPageBreak/>
        <w:t xml:space="preserve">expectations. Overall, Evonik anticipates that </w:t>
      </w:r>
      <w:r w:rsidRPr="007E17E5">
        <w:rPr>
          <w:b/>
          <w:sz w:val="20"/>
          <w:lang w:val="en-US"/>
        </w:rPr>
        <w:t>sales</w:t>
      </w:r>
      <w:r w:rsidRPr="007E17E5">
        <w:rPr>
          <w:sz w:val="20"/>
          <w:lang w:val="en-US"/>
        </w:rPr>
        <w:t xml:space="preserve"> will rise slightly (2013: €12.7 billion) and expects that adjusted </w:t>
      </w:r>
      <w:r w:rsidRPr="007E17E5">
        <w:rPr>
          <w:b/>
          <w:sz w:val="20"/>
          <w:lang w:val="en-US"/>
        </w:rPr>
        <w:t>EBITDA</w:t>
      </w:r>
      <w:r w:rsidRPr="007E17E5">
        <w:rPr>
          <w:sz w:val="20"/>
          <w:lang w:val="en-US"/>
        </w:rPr>
        <w:t xml:space="preserve"> will be in the lower rather than the upper part of the €1.8 billion to €2.1 billion range (2013: €2.0 billion).</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b/>
          <w:sz w:val="20"/>
          <w:szCs w:val="20"/>
          <w:lang w:val="en-US"/>
        </w:rPr>
      </w:pPr>
      <w:r w:rsidRPr="007E17E5">
        <w:rPr>
          <w:b/>
          <w:sz w:val="20"/>
          <w:lang w:val="en-US"/>
        </w:rPr>
        <w:t>Business performance in the first nine months</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The global economic development was weaker than expected in the first nine months of 2014. Following a reduction in momentum in the second quarter, global growth remained subdued in the third quarter. </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In the first nine months of 2014, </w:t>
      </w:r>
      <w:r w:rsidRPr="007E17E5">
        <w:rPr>
          <w:b/>
          <w:sz w:val="20"/>
          <w:lang w:val="en-US"/>
        </w:rPr>
        <w:t>Group sales</w:t>
      </w:r>
      <w:r w:rsidRPr="007E17E5">
        <w:rPr>
          <w:sz w:val="20"/>
          <w:lang w:val="en-US"/>
        </w:rPr>
        <w:t xml:space="preserve"> posted organic growth of 2 percent. This was driven by higher volumes (4 percentage points), while selling prices were lower (-2 percentage points). Taking into account currency effects (-1 percentage point), sales increased 1 percent to €9,691 million (9M 2013: €9,619 million).</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Adjusted </w:t>
      </w:r>
      <w:r w:rsidRPr="007E17E5">
        <w:rPr>
          <w:b/>
          <w:sz w:val="20"/>
          <w:lang w:val="en-US"/>
        </w:rPr>
        <w:t>EBITDA</w:t>
      </w:r>
      <w:r w:rsidRPr="007E17E5">
        <w:rPr>
          <w:sz w:val="20"/>
          <w:lang w:val="en-US"/>
        </w:rPr>
        <w:t xml:space="preserve">  was €1,425 million, 12 percent below the year-back figure of €1,620 million, mainly due to lower selling prices for some important products. The adjusted </w:t>
      </w:r>
      <w:r w:rsidRPr="007E17E5">
        <w:rPr>
          <w:b/>
          <w:sz w:val="20"/>
          <w:lang w:val="en-US"/>
        </w:rPr>
        <w:t>EBITDA margin</w:t>
      </w:r>
      <w:r w:rsidRPr="007E17E5">
        <w:rPr>
          <w:sz w:val="20"/>
          <w:lang w:val="en-US"/>
        </w:rPr>
        <w:t xml:space="preserve"> therefore declined from 16.8 percent to 14.7 percent. </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The </w:t>
      </w:r>
      <w:r w:rsidRPr="007E17E5">
        <w:rPr>
          <w:b/>
          <w:sz w:val="20"/>
          <w:lang w:val="en-US"/>
        </w:rPr>
        <w:t>adjustments</w:t>
      </w:r>
      <w:r w:rsidRPr="007E17E5">
        <w:rPr>
          <w:sz w:val="20"/>
          <w:lang w:val="en-US"/>
        </w:rPr>
        <w:t xml:space="preserve"> of minus €144 million relate, among other things, to restructuring expenses, impairment losses, mainly in connection with two projects in the Specialty Materials segment that were terminated following a routine review of investment projects, and expenses for an increase in provisions for the phased early retirement program to comply with IAS 19 (2011). The prior-year figure of minus €324 million principally comprised restructuring expenses and the establishment of provisions.</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b/>
          <w:sz w:val="20"/>
          <w:lang w:val="en-US"/>
        </w:rPr>
        <w:t>Income before income taxes, continuing operations</w:t>
      </w:r>
      <w:r w:rsidRPr="007E17E5">
        <w:rPr>
          <w:sz w:val="20"/>
          <w:lang w:val="en-US"/>
        </w:rPr>
        <w:t xml:space="preserve"> declined by 5 percent to €633 million (9M 2013: €663 million). </w:t>
      </w:r>
      <w:r w:rsidRPr="007E17E5">
        <w:rPr>
          <w:b/>
          <w:sz w:val="20"/>
          <w:lang w:val="en-US"/>
        </w:rPr>
        <w:t>Income after taxes, discontinued operation</w:t>
      </w:r>
      <w:r w:rsidRPr="007E17E5">
        <w:rPr>
          <w:sz w:val="20"/>
          <w:lang w:val="en-US"/>
        </w:rPr>
        <w:t xml:space="preserve">s was minus €11 million and mainly related to operating income from the remaining 49 percent stake in STEAG, which was divested in September 2014, and the lithium-ion business. The prior-year figure of €1,377 million mainly comprised the proceeds from the divestment of the real estate activities in July 2013. As a result, </w:t>
      </w:r>
      <w:r w:rsidRPr="007E17E5">
        <w:rPr>
          <w:b/>
          <w:sz w:val="20"/>
          <w:lang w:val="en-US"/>
        </w:rPr>
        <w:t>net income</w:t>
      </w:r>
      <w:r w:rsidRPr="007E17E5">
        <w:rPr>
          <w:sz w:val="20"/>
          <w:lang w:val="en-US"/>
        </w:rPr>
        <w:t xml:space="preserve"> was €416 million in the first nine months, well below the very high prior-year figure of €1,959 million.</w:t>
      </w:r>
      <w:r w:rsidRPr="007E17E5">
        <w:rPr>
          <w:sz w:val="20"/>
          <w:highlight w:val="yellow"/>
          <w:lang w:val="en-US"/>
        </w:rPr>
        <w:t xml:space="preserve"> </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b/>
          <w:sz w:val="20"/>
          <w:lang w:val="en-US"/>
        </w:rPr>
        <w:t>Adjusted net income</w:t>
      </w:r>
      <w:r w:rsidRPr="007E17E5">
        <w:rPr>
          <w:sz w:val="20"/>
          <w:lang w:val="en-US"/>
        </w:rPr>
        <w:t xml:space="preserve">, which reflects the operating performance of the continuing operations, declined by 19 percent to €561 million (9M 2013: €694 million). </w:t>
      </w:r>
      <w:r w:rsidRPr="007E17E5">
        <w:rPr>
          <w:b/>
          <w:sz w:val="20"/>
          <w:lang w:val="en-US"/>
        </w:rPr>
        <w:t>Adjusted earnings per share</w:t>
      </w:r>
      <w:r w:rsidRPr="007E17E5">
        <w:rPr>
          <w:sz w:val="20"/>
          <w:lang w:val="en-US"/>
        </w:rPr>
        <w:t xml:space="preserve"> declined from €1.49 to €1.20.</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In line with operating earnings, the </w:t>
      </w:r>
      <w:r w:rsidRPr="007E17E5">
        <w:rPr>
          <w:b/>
          <w:sz w:val="20"/>
          <w:lang w:val="en-US"/>
        </w:rPr>
        <w:t>cash flow from operating activities, continuing operations</w:t>
      </w:r>
      <w:r w:rsidRPr="007E17E5">
        <w:rPr>
          <w:sz w:val="20"/>
          <w:lang w:val="en-US"/>
        </w:rPr>
        <w:t xml:space="preserve"> decreased by €244 million to €591 million in the first nine months of 2014. Including the cash flow from discontinued operations, the </w:t>
      </w:r>
      <w:r w:rsidRPr="007E17E5">
        <w:rPr>
          <w:b/>
          <w:sz w:val="20"/>
          <w:lang w:val="en-US"/>
        </w:rPr>
        <w:t>cash flow from operating activities</w:t>
      </w:r>
      <w:r w:rsidRPr="007E17E5">
        <w:rPr>
          <w:sz w:val="20"/>
          <w:lang w:val="en-US"/>
        </w:rPr>
        <w:t xml:space="preserve"> declined by €244 million to €622 million.</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b/>
          <w:sz w:val="20"/>
          <w:lang w:val="en-US"/>
        </w:rPr>
        <w:t>Capital expenditures</w:t>
      </w:r>
      <w:r w:rsidRPr="007E17E5">
        <w:rPr>
          <w:sz w:val="20"/>
          <w:lang w:val="en-US"/>
        </w:rPr>
        <w:t xml:space="preserve"> increased 4 percent to €753 million (9M 2013: €725 million). To extend its leading market positions, Evonik has started up new production capacity. More than €100 million has been invested in an integrated production complex for </w:t>
      </w:r>
      <w:proofErr w:type="spellStart"/>
      <w:r w:rsidRPr="007E17E5">
        <w:rPr>
          <w:sz w:val="20"/>
          <w:lang w:val="en-US"/>
        </w:rPr>
        <w:t>isophorone</w:t>
      </w:r>
      <w:proofErr w:type="spellEnd"/>
      <w:r w:rsidRPr="007E17E5">
        <w:rPr>
          <w:sz w:val="20"/>
          <w:lang w:val="en-US"/>
        </w:rPr>
        <w:t xml:space="preserve"> and </w:t>
      </w:r>
      <w:proofErr w:type="spellStart"/>
      <w:r w:rsidRPr="007E17E5">
        <w:rPr>
          <w:sz w:val="20"/>
          <w:lang w:val="en-US"/>
        </w:rPr>
        <w:t>isophorone</w:t>
      </w:r>
      <w:proofErr w:type="spellEnd"/>
      <w:r w:rsidRPr="007E17E5">
        <w:rPr>
          <w:sz w:val="20"/>
          <w:lang w:val="en-US"/>
        </w:rPr>
        <w:t xml:space="preserve"> </w:t>
      </w:r>
      <w:proofErr w:type="spellStart"/>
      <w:r w:rsidRPr="007E17E5">
        <w:rPr>
          <w:sz w:val="20"/>
          <w:lang w:val="en-US"/>
        </w:rPr>
        <w:t>diamine</w:t>
      </w:r>
      <w:proofErr w:type="spellEnd"/>
      <w:r w:rsidRPr="007E17E5">
        <w:rPr>
          <w:sz w:val="20"/>
          <w:lang w:val="en-US"/>
        </w:rPr>
        <w:t xml:space="preserve"> in Shanghai (China). </w:t>
      </w:r>
      <w:proofErr w:type="spellStart"/>
      <w:r w:rsidRPr="007E17E5">
        <w:rPr>
          <w:sz w:val="20"/>
          <w:lang w:val="en-US"/>
        </w:rPr>
        <w:t>Isophorone</w:t>
      </w:r>
      <w:proofErr w:type="spellEnd"/>
      <w:r w:rsidRPr="007E17E5">
        <w:rPr>
          <w:sz w:val="20"/>
          <w:lang w:val="en-US"/>
        </w:rPr>
        <w:t xml:space="preserve"> chemicals increase the service life of, for example, heavy-duty surfaces, and also facilitate environment-friendly coating technologies. In </w:t>
      </w:r>
      <w:proofErr w:type="spellStart"/>
      <w:r w:rsidRPr="007E17E5">
        <w:rPr>
          <w:sz w:val="20"/>
          <w:lang w:val="en-US"/>
        </w:rPr>
        <w:t>Rayong</w:t>
      </w:r>
      <w:proofErr w:type="spellEnd"/>
      <w:r w:rsidRPr="007E17E5">
        <w:rPr>
          <w:sz w:val="20"/>
          <w:lang w:val="en-US"/>
        </w:rPr>
        <w:t xml:space="preserve"> (Thailand) and Chester (USA), extended production capacities for precipitated silica were brought into service. The main growth drivers are </w:t>
      </w:r>
      <w:r w:rsidR="00F625B9">
        <w:rPr>
          <w:sz w:val="20"/>
          <w:lang w:val="en-US"/>
        </w:rPr>
        <w:t xml:space="preserve">fuel-saving </w:t>
      </w:r>
      <w:r w:rsidRPr="007E17E5">
        <w:rPr>
          <w:sz w:val="20"/>
          <w:lang w:val="en-US"/>
        </w:rPr>
        <w:t xml:space="preserve">tires and life-science applications. A new hydrogen peroxide plant with production capacity of 230,000 metric tons p.a. has been taken into service in Jilin (China) to supply a neighboring Chinese partner, which will use the hydrogen peroxide to produce propylene oxide at a newly erected plant based on an innovative process developed by Evonik and ThyssenKrupp Industrial Solutions. </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b/>
          <w:sz w:val="20"/>
          <w:szCs w:val="20"/>
          <w:lang w:val="en-US"/>
        </w:rPr>
      </w:pPr>
      <w:r w:rsidRPr="007E17E5">
        <w:rPr>
          <w:sz w:val="20"/>
          <w:lang w:val="en-US"/>
        </w:rPr>
        <w:t xml:space="preserve">Having reported net financial debt of €150 million as of June 30, 2014, at the end of September 2014 Evonik had </w:t>
      </w:r>
      <w:r w:rsidRPr="007E17E5">
        <w:rPr>
          <w:b/>
          <w:sz w:val="20"/>
          <w:lang w:val="en-US"/>
        </w:rPr>
        <w:t>net financial assets</w:t>
      </w:r>
      <w:r w:rsidRPr="007E17E5">
        <w:rPr>
          <w:sz w:val="20"/>
          <w:lang w:val="en-US"/>
        </w:rPr>
        <w:t xml:space="preserve"> of €416 million, principally due to the receipt of the purchase price for the shares in STEAG, which were divested in the third quarter. </w:t>
      </w:r>
    </w:p>
    <w:p w:rsidR="007E17E5" w:rsidRPr="007E17E5" w:rsidRDefault="007E17E5" w:rsidP="007E17E5">
      <w:pPr>
        <w:spacing w:line="300" w:lineRule="exact"/>
        <w:rPr>
          <w:b/>
          <w:sz w:val="20"/>
          <w:szCs w:val="20"/>
          <w:lang w:val="en-US"/>
        </w:rPr>
      </w:pPr>
    </w:p>
    <w:p w:rsidR="007E17E5" w:rsidRPr="007E17E5" w:rsidRDefault="007E17E5" w:rsidP="007E17E5">
      <w:pPr>
        <w:spacing w:line="300" w:lineRule="exact"/>
        <w:rPr>
          <w:b/>
          <w:sz w:val="20"/>
          <w:szCs w:val="20"/>
          <w:lang w:val="en-US"/>
        </w:rPr>
      </w:pPr>
    </w:p>
    <w:p w:rsidR="007E17E5" w:rsidRPr="007E17E5" w:rsidRDefault="007E17E5" w:rsidP="007E17E5">
      <w:pPr>
        <w:spacing w:line="300" w:lineRule="exact"/>
        <w:rPr>
          <w:b/>
          <w:sz w:val="20"/>
          <w:szCs w:val="20"/>
          <w:lang w:val="en-US"/>
        </w:rPr>
      </w:pPr>
      <w:r w:rsidRPr="007E17E5">
        <w:rPr>
          <w:b/>
          <w:sz w:val="20"/>
          <w:lang w:val="en-US"/>
        </w:rPr>
        <w:t>Business performance in Q3 2014</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Despite the more difficult economic environment, Evonik registered buoyant demand for its products worldwide in the third quarter of 2014, leading to a further rise in volume sales. The clear downward trend for some important products in the previous quarters slowed. Adjusted EBITDA improved perceptibly compared with first two quarters of 2014 and is now only slightly below the prior-year level. In particular, the Consumer, Health &amp; Nutrition and Specialty Materials segments reported higher earnings than in previous quarters.</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b/>
          <w:sz w:val="20"/>
          <w:lang w:val="en-US"/>
        </w:rPr>
        <w:t>Group sales</w:t>
      </w:r>
      <w:r w:rsidRPr="007E17E5">
        <w:rPr>
          <w:sz w:val="20"/>
          <w:lang w:val="en-US"/>
        </w:rPr>
        <w:t xml:space="preserve"> grew by 1 percent to €3,243 million in the third quarter of 2014 (Q3 2013: €3,198 million). Evonik posted organic sales growth of 1 percent, driven by higher volumes (2 percentage points), with only slight erosion of selling prices (-1 percentage point). </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Adjusted </w:t>
      </w:r>
      <w:r w:rsidRPr="007E17E5">
        <w:rPr>
          <w:b/>
          <w:sz w:val="20"/>
          <w:lang w:val="en-US"/>
        </w:rPr>
        <w:t>EBITDA</w:t>
      </w:r>
      <w:r w:rsidRPr="007E17E5">
        <w:rPr>
          <w:sz w:val="20"/>
          <w:lang w:val="en-US"/>
        </w:rPr>
        <w:t xml:space="preserve"> decreased 3 percent year-on-year to €501 million (Q3 2013: €517 million). The adjusted </w:t>
      </w:r>
      <w:r w:rsidRPr="007E17E5">
        <w:rPr>
          <w:b/>
          <w:sz w:val="20"/>
          <w:lang w:val="en-US"/>
        </w:rPr>
        <w:t>EBITDA margin</w:t>
      </w:r>
      <w:r w:rsidRPr="007E17E5">
        <w:rPr>
          <w:sz w:val="20"/>
          <w:lang w:val="en-US"/>
        </w:rPr>
        <w:t xml:space="preserve"> slipped from 16.2 percent to 15.4 percent. </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b/>
          <w:sz w:val="20"/>
          <w:lang w:val="en-US"/>
        </w:rPr>
        <w:t>Adjusted net income</w:t>
      </w:r>
      <w:r w:rsidRPr="007E17E5">
        <w:rPr>
          <w:sz w:val="20"/>
          <w:lang w:val="en-US"/>
        </w:rPr>
        <w:t xml:space="preserve"> (continuing operations) rose 3 percent to €213 million (Q3 2013: €206 million).  </w:t>
      </w:r>
      <w:r w:rsidRPr="007E17E5">
        <w:rPr>
          <w:b/>
          <w:sz w:val="20"/>
          <w:lang w:val="en-US"/>
        </w:rPr>
        <w:t>Adjusted earnings per share</w:t>
      </w:r>
      <w:r w:rsidRPr="007E17E5">
        <w:rPr>
          <w:sz w:val="20"/>
          <w:lang w:val="en-US"/>
        </w:rPr>
        <w:t xml:space="preserve"> increased from €0.44 to €0.46.</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b/>
          <w:sz w:val="20"/>
          <w:szCs w:val="20"/>
          <w:lang w:val="en-US"/>
        </w:rPr>
      </w:pPr>
      <w:r w:rsidRPr="007E17E5">
        <w:rPr>
          <w:b/>
          <w:sz w:val="20"/>
          <w:lang w:val="en-US"/>
        </w:rPr>
        <w:t>Remaining shares in STEAG divested</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Evonik has further sharpened its profile as a pure specialty chemicals company. At the start </w:t>
      </w:r>
      <w:r w:rsidR="00F625B9">
        <w:rPr>
          <w:sz w:val="20"/>
          <w:lang w:val="en-US"/>
        </w:rPr>
        <w:t xml:space="preserve">of </w:t>
      </w:r>
      <w:r w:rsidRPr="007E17E5">
        <w:rPr>
          <w:sz w:val="20"/>
          <w:lang w:val="en-US"/>
        </w:rPr>
        <w:t>September it sold the remaining 49 percent stake in STEAG GmbH to the Rhine-Ruhr consortium of municipal utilities for around €570 million. The stake in STEAG was reclassified to discontinued operations in mid-July 2014 when the company received notification that KSBG intended to exercise the call option. Deconsolidation resulted in negative earnings effects in connection with, among other things, the valuation and deconsolidation of the put and call options.</w:t>
      </w:r>
    </w:p>
    <w:p w:rsidR="007E17E5" w:rsidRPr="007E17E5" w:rsidRDefault="007E17E5" w:rsidP="007E17E5">
      <w:pPr>
        <w:spacing w:line="300" w:lineRule="exact"/>
        <w:rPr>
          <w:b/>
          <w:sz w:val="20"/>
          <w:szCs w:val="20"/>
          <w:lang w:val="en-US"/>
        </w:rPr>
      </w:pPr>
    </w:p>
    <w:p w:rsidR="007E17E5" w:rsidRPr="007E17E5" w:rsidRDefault="007E17E5" w:rsidP="007E17E5">
      <w:pPr>
        <w:spacing w:line="300" w:lineRule="exact"/>
        <w:rPr>
          <w:b/>
          <w:sz w:val="20"/>
          <w:szCs w:val="20"/>
          <w:lang w:val="en-US"/>
        </w:rPr>
      </w:pPr>
    </w:p>
    <w:p w:rsidR="007E17E5" w:rsidRPr="007E17E5" w:rsidRDefault="007E17E5" w:rsidP="007E17E5">
      <w:pPr>
        <w:spacing w:line="300" w:lineRule="exact"/>
        <w:rPr>
          <w:b/>
          <w:sz w:val="20"/>
          <w:szCs w:val="20"/>
          <w:lang w:val="en-US"/>
        </w:rPr>
      </w:pPr>
      <w:r w:rsidRPr="007E17E5">
        <w:rPr>
          <w:b/>
          <w:sz w:val="20"/>
          <w:lang w:val="en-US"/>
        </w:rPr>
        <w:t>Performance of the segments in the first nine months</w:t>
      </w:r>
    </w:p>
    <w:p w:rsidR="007E17E5" w:rsidRPr="007E17E5" w:rsidRDefault="007E17E5" w:rsidP="007E17E5">
      <w:pPr>
        <w:spacing w:line="300" w:lineRule="exact"/>
        <w:rPr>
          <w:sz w:val="20"/>
          <w:szCs w:val="20"/>
          <w:lang w:val="en-US"/>
        </w:rPr>
      </w:pPr>
    </w:p>
    <w:p w:rsidR="007E17E5" w:rsidRDefault="007E17E5" w:rsidP="007E17E5">
      <w:pPr>
        <w:spacing w:line="300" w:lineRule="exact"/>
        <w:rPr>
          <w:b/>
          <w:sz w:val="20"/>
          <w:szCs w:val="20"/>
        </w:rPr>
      </w:pPr>
      <w:r>
        <w:rPr>
          <w:b/>
          <w:sz w:val="20"/>
        </w:rPr>
        <w:t>Consumer, Health &amp; Nutrition</w:t>
      </w:r>
    </w:p>
    <w:p w:rsidR="007E17E5" w:rsidRDefault="007E17E5" w:rsidP="007E17E5">
      <w:pPr>
        <w:spacing w:line="300" w:lineRule="exact"/>
        <w:rPr>
          <w:b/>
          <w:sz w:val="20"/>
          <w:szCs w:val="20"/>
        </w:rPr>
      </w:pPr>
    </w:p>
    <w:p w:rsidR="007E17E5" w:rsidRPr="009E699E" w:rsidRDefault="007E17E5" w:rsidP="007E17E5">
      <w:pPr>
        <w:pStyle w:val="Listenabsatz"/>
        <w:numPr>
          <w:ilvl w:val="0"/>
          <w:numId w:val="19"/>
        </w:numPr>
        <w:spacing w:line="300" w:lineRule="exact"/>
        <w:rPr>
          <w:sz w:val="20"/>
          <w:szCs w:val="20"/>
        </w:rPr>
      </w:pPr>
      <w:r>
        <w:rPr>
          <w:sz w:val="20"/>
        </w:rPr>
        <w:t>3rd quarter: higher volumes, perceptible pickup in some selling prices</w:t>
      </w:r>
    </w:p>
    <w:p w:rsidR="007E17E5" w:rsidRPr="009E699E" w:rsidRDefault="007E17E5" w:rsidP="007E17E5">
      <w:pPr>
        <w:pStyle w:val="Listenabsatz"/>
        <w:numPr>
          <w:ilvl w:val="0"/>
          <w:numId w:val="19"/>
        </w:numPr>
        <w:spacing w:line="300" w:lineRule="exact"/>
        <w:rPr>
          <w:sz w:val="20"/>
          <w:szCs w:val="20"/>
        </w:rPr>
      </w:pPr>
      <w:r>
        <w:rPr>
          <w:sz w:val="20"/>
        </w:rPr>
        <w:t>3rd quarter: adjusted EBITDA almost on a par with the prior-year period</w:t>
      </w:r>
    </w:p>
    <w:p w:rsidR="007E17E5" w:rsidRPr="009E699E" w:rsidRDefault="007E17E5" w:rsidP="007E17E5">
      <w:pPr>
        <w:pStyle w:val="Listenabsatz"/>
        <w:numPr>
          <w:ilvl w:val="0"/>
          <w:numId w:val="19"/>
        </w:numPr>
        <w:spacing w:line="300" w:lineRule="exact"/>
        <w:rPr>
          <w:sz w:val="20"/>
          <w:szCs w:val="20"/>
        </w:rPr>
      </w:pPr>
      <w:r>
        <w:rPr>
          <w:sz w:val="20"/>
        </w:rPr>
        <w:t>1st nine months: adjusted EBITDA margin</w:t>
      </w:r>
      <w:r>
        <w:rPr>
          <w:b/>
          <w:sz w:val="20"/>
        </w:rPr>
        <w:t xml:space="preserve"> </w:t>
      </w:r>
      <w:r>
        <w:rPr>
          <w:sz w:val="20"/>
        </w:rPr>
        <w:t>at a good level of 19.4 percent</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The </w:t>
      </w:r>
      <w:r w:rsidRPr="007E17E5">
        <w:rPr>
          <w:b/>
          <w:sz w:val="20"/>
          <w:lang w:val="en-US"/>
        </w:rPr>
        <w:t>Consumer, Health &amp; Nutrition</w:t>
      </w:r>
      <w:r w:rsidRPr="007E17E5">
        <w:rPr>
          <w:sz w:val="20"/>
          <w:lang w:val="en-US"/>
        </w:rPr>
        <w:t xml:space="preserve"> segment produces specialty chemicals, principally for use in consumer goods for daily needs, and in animal nutrition and healthcare products. It comprises the Consumer Specialties and Health &amp; Nutrition Business Units.</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In the first nine months of 2014, </w:t>
      </w:r>
      <w:r w:rsidRPr="007E17E5">
        <w:rPr>
          <w:b/>
          <w:sz w:val="20"/>
          <w:lang w:val="en-US"/>
        </w:rPr>
        <w:t>sales</w:t>
      </w:r>
      <w:r w:rsidRPr="007E17E5">
        <w:rPr>
          <w:sz w:val="20"/>
          <w:lang w:val="en-US"/>
        </w:rPr>
        <w:t xml:space="preserve"> dropped 3 percent to €3,015 million (9M 2013: €3,110 million). The pleasing volume growth was more than canceled out by lower selling prices and a negative exchange rate effect. In particular, volume sales of amino acids for animal nutrition rose further in response to high demand. The significant downward price trend that started in summer 2012 has weakened considerably and in some cases selling prices have picked up perceptibly. Volume sales of </w:t>
      </w:r>
      <w:proofErr w:type="spellStart"/>
      <w:r w:rsidRPr="007E17E5">
        <w:rPr>
          <w:sz w:val="20"/>
          <w:lang w:val="en-US"/>
        </w:rPr>
        <w:t>superabsorbents</w:t>
      </w:r>
      <w:proofErr w:type="spellEnd"/>
      <w:r w:rsidRPr="007E17E5">
        <w:rPr>
          <w:sz w:val="20"/>
          <w:lang w:val="en-US"/>
        </w:rPr>
        <w:t xml:space="preserve"> were below the very high prior-period level. This segment's adjusted </w:t>
      </w:r>
      <w:r w:rsidRPr="007E17E5">
        <w:rPr>
          <w:b/>
          <w:sz w:val="20"/>
          <w:lang w:val="en-US"/>
        </w:rPr>
        <w:t>EBITDA</w:t>
      </w:r>
      <w:r w:rsidRPr="007E17E5">
        <w:rPr>
          <w:sz w:val="20"/>
          <w:lang w:val="en-US"/>
        </w:rPr>
        <w:t xml:space="preserve"> dropped 19 percent to €585 million (9M 2013: €723 million) as a result of lower selling prices and start-up expenses for new production capacities. The adjusted </w:t>
      </w:r>
      <w:r w:rsidRPr="007E17E5">
        <w:rPr>
          <w:b/>
          <w:sz w:val="20"/>
          <w:lang w:val="en-US"/>
        </w:rPr>
        <w:t>EBITDA margin</w:t>
      </w:r>
      <w:r w:rsidRPr="007E17E5">
        <w:rPr>
          <w:sz w:val="20"/>
          <w:lang w:val="en-US"/>
        </w:rPr>
        <w:t xml:space="preserve"> was good at 19.4 percent (9M 2013: 23.2 percent). </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p>
    <w:p w:rsidR="007E17E5" w:rsidRPr="009B6B5E" w:rsidRDefault="007E17E5" w:rsidP="007E17E5">
      <w:pPr>
        <w:spacing w:line="300" w:lineRule="exact"/>
        <w:rPr>
          <w:b/>
          <w:sz w:val="20"/>
          <w:szCs w:val="20"/>
        </w:rPr>
      </w:pPr>
      <w:r>
        <w:rPr>
          <w:b/>
          <w:sz w:val="20"/>
        </w:rPr>
        <w:t>Resource Efficiency</w:t>
      </w:r>
    </w:p>
    <w:p w:rsidR="007E17E5" w:rsidRDefault="007E17E5" w:rsidP="007E17E5">
      <w:pPr>
        <w:spacing w:line="300" w:lineRule="exact"/>
        <w:rPr>
          <w:sz w:val="20"/>
          <w:szCs w:val="20"/>
        </w:rPr>
      </w:pPr>
    </w:p>
    <w:p w:rsidR="007E17E5" w:rsidRPr="009E699E" w:rsidRDefault="007E17E5" w:rsidP="007E17E5">
      <w:pPr>
        <w:pStyle w:val="Listenabsatz"/>
        <w:numPr>
          <w:ilvl w:val="0"/>
          <w:numId w:val="19"/>
        </w:numPr>
        <w:spacing w:line="300" w:lineRule="exact"/>
        <w:rPr>
          <w:sz w:val="20"/>
          <w:szCs w:val="20"/>
        </w:rPr>
      </w:pPr>
      <w:r>
        <w:rPr>
          <w:sz w:val="20"/>
        </w:rPr>
        <w:t>3rd quarter: far higher demand and stable selling prices</w:t>
      </w:r>
    </w:p>
    <w:p w:rsidR="007E17E5" w:rsidRDefault="007E17E5" w:rsidP="007E17E5">
      <w:pPr>
        <w:pStyle w:val="Listenabsatz"/>
        <w:numPr>
          <w:ilvl w:val="0"/>
          <w:numId w:val="19"/>
        </w:numPr>
        <w:spacing w:line="300" w:lineRule="exact"/>
        <w:rPr>
          <w:sz w:val="20"/>
          <w:szCs w:val="20"/>
        </w:rPr>
      </w:pPr>
      <w:r>
        <w:rPr>
          <w:sz w:val="20"/>
        </w:rPr>
        <w:t>3rd quarter: another year-on-year rise in adjusted EBITDA</w:t>
      </w:r>
    </w:p>
    <w:p w:rsidR="007E17E5" w:rsidRPr="009B6B5E" w:rsidRDefault="007E17E5" w:rsidP="007E17E5">
      <w:pPr>
        <w:pStyle w:val="Listenabsatz"/>
        <w:numPr>
          <w:ilvl w:val="0"/>
          <w:numId w:val="19"/>
        </w:numPr>
        <w:spacing w:line="300" w:lineRule="exact"/>
        <w:rPr>
          <w:sz w:val="20"/>
          <w:szCs w:val="20"/>
        </w:rPr>
      </w:pPr>
      <w:r>
        <w:rPr>
          <w:sz w:val="20"/>
        </w:rPr>
        <w:t>1st nine months: adjusted EBITDA margin rose to an excellent 22.6 percent</w:t>
      </w:r>
    </w:p>
    <w:p w:rsidR="007E17E5" w:rsidRPr="007E17E5" w:rsidRDefault="007E17E5" w:rsidP="007E17E5">
      <w:pPr>
        <w:spacing w:line="300" w:lineRule="exact"/>
        <w:rPr>
          <w:sz w:val="20"/>
          <w:szCs w:val="20"/>
          <w:lang w:val="en-US"/>
        </w:rPr>
      </w:pPr>
      <w:r w:rsidRPr="007E17E5">
        <w:rPr>
          <w:sz w:val="20"/>
          <w:szCs w:val="20"/>
          <w:lang w:val="en-US"/>
        </w:rPr>
        <w:br/>
      </w:r>
      <w:r w:rsidRPr="007E17E5">
        <w:rPr>
          <w:sz w:val="20"/>
          <w:lang w:val="en-US"/>
        </w:rPr>
        <w:t xml:space="preserve">The </w:t>
      </w:r>
      <w:r w:rsidRPr="007E17E5">
        <w:rPr>
          <w:b/>
          <w:sz w:val="20"/>
          <w:lang w:val="en-US"/>
        </w:rPr>
        <w:t>Resource Efficiency</w:t>
      </w:r>
      <w:r w:rsidRPr="007E17E5">
        <w:rPr>
          <w:sz w:val="20"/>
          <w:lang w:val="en-US"/>
        </w:rPr>
        <w:t xml:space="preserve"> segment provides environment-friendly and energy-efficient system solutions. It comprises the Inorganic Materials and Coatings &amp; Additives Business Units.</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b/>
          <w:sz w:val="20"/>
          <w:lang w:val="en-US"/>
        </w:rPr>
        <w:t>Sales</w:t>
      </w:r>
      <w:r w:rsidRPr="007E17E5">
        <w:rPr>
          <w:sz w:val="20"/>
          <w:lang w:val="en-US"/>
        </w:rPr>
        <w:t xml:space="preserve"> grew 3 percent to €2,448 million in the first nine months of 2014 (9M 2013: €2,376 million). This segment achieved clear organic sales growth, almost entirely as a result of perceptible increases in volumes. This was countered by negative currency effects. The </w:t>
      </w:r>
      <w:proofErr w:type="spellStart"/>
      <w:r w:rsidRPr="007E17E5">
        <w:rPr>
          <w:sz w:val="20"/>
          <w:lang w:val="en-US"/>
        </w:rPr>
        <w:t>silicas</w:t>
      </w:r>
      <w:proofErr w:type="spellEnd"/>
      <w:r w:rsidRPr="007E17E5">
        <w:rPr>
          <w:sz w:val="20"/>
          <w:lang w:val="en-US"/>
        </w:rPr>
        <w:t xml:space="preserve"> and </w:t>
      </w:r>
      <w:proofErr w:type="spellStart"/>
      <w:r w:rsidRPr="007E17E5">
        <w:rPr>
          <w:sz w:val="20"/>
          <w:lang w:val="en-US"/>
        </w:rPr>
        <w:t>silanes</w:t>
      </w:r>
      <w:proofErr w:type="spellEnd"/>
      <w:r w:rsidRPr="007E17E5">
        <w:rPr>
          <w:sz w:val="20"/>
          <w:lang w:val="en-US"/>
        </w:rPr>
        <w:t xml:space="preserve"> business remained very successful thanks to high demand from the tire industry. Business with high-quality </w:t>
      </w:r>
      <w:proofErr w:type="spellStart"/>
      <w:r w:rsidRPr="007E17E5">
        <w:rPr>
          <w:sz w:val="20"/>
          <w:lang w:val="en-US"/>
        </w:rPr>
        <w:t>crosslinkers</w:t>
      </w:r>
      <w:proofErr w:type="spellEnd"/>
      <w:r w:rsidRPr="007E17E5">
        <w:rPr>
          <w:sz w:val="20"/>
          <w:lang w:val="en-US"/>
        </w:rPr>
        <w:t xml:space="preserve"> was also very pleasing, along with the performance of additives and specialty binders. These products benefited primarily from continued good demand, especially from the automotive and construction sectors. Overall, this segment's adjusted </w:t>
      </w:r>
      <w:r w:rsidRPr="007E17E5">
        <w:rPr>
          <w:b/>
          <w:sz w:val="20"/>
          <w:lang w:val="en-US"/>
        </w:rPr>
        <w:t>EBITDA</w:t>
      </w:r>
      <w:r w:rsidRPr="007E17E5">
        <w:rPr>
          <w:sz w:val="20"/>
          <w:lang w:val="en-US"/>
        </w:rPr>
        <w:t xml:space="preserve"> increased 7 percent to €553 million (9M 2013: €515 million), mainly because of the rise in volumes and high capacity utilization. The adjusted </w:t>
      </w:r>
      <w:r w:rsidRPr="007E17E5">
        <w:rPr>
          <w:b/>
          <w:sz w:val="20"/>
          <w:lang w:val="en-US"/>
        </w:rPr>
        <w:t>EBITDA margin</w:t>
      </w:r>
      <w:r w:rsidRPr="007E17E5">
        <w:rPr>
          <w:sz w:val="20"/>
          <w:lang w:val="en-US"/>
        </w:rPr>
        <w:t xml:space="preserve"> rose from 21.8 percent to 22.6 percent.</w:t>
      </w:r>
    </w:p>
    <w:p w:rsidR="007E17E5" w:rsidRDefault="007E17E5" w:rsidP="007E17E5">
      <w:pPr>
        <w:spacing w:line="300" w:lineRule="exact"/>
        <w:rPr>
          <w:sz w:val="20"/>
          <w:szCs w:val="20"/>
          <w:lang w:val="en-US"/>
        </w:rPr>
      </w:pPr>
    </w:p>
    <w:p w:rsidR="00AA7D02" w:rsidRPr="007E17E5" w:rsidRDefault="00AA7D02" w:rsidP="007E17E5">
      <w:pPr>
        <w:spacing w:line="300" w:lineRule="exact"/>
        <w:rPr>
          <w:sz w:val="20"/>
          <w:szCs w:val="20"/>
          <w:lang w:val="en-US"/>
        </w:rPr>
      </w:pPr>
    </w:p>
    <w:p w:rsidR="007E17E5" w:rsidRPr="007E17E5" w:rsidRDefault="007E17E5" w:rsidP="007E17E5">
      <w:pPr>
        <w:spacing w:line="300" w:lineRule="exact"/>
        <w:rPr>
          <w:b/>
          <w:sz w:val="20"/>
          <w:szCs w:val="20"/>
          <w:lang w:val="en-US"/>
        </w:rPr>
      </w:pPr>
      <w:r w:rsidRPr="007E17E5">
        <w:rPr>
          <w:b/>
          <w:sz w:val="20"/>
          <w:lang w:val="en-US"/>
        </w:rPr>
        <w:t>Specialty Materials</w:t>
      </w:r>
    </w:p>
    <w:p w:rsidR="007E17E5" w:rsidRPr="007E17E5" w:rsidRDefault="007E17E5" w:rsidP="007E17E5">
      <w:pPr>
        <w:spacing w:line="300" w:lineRule="exact"/>
        <w:rPr>
          <w:sz w:val="20"/>
          <w:szCs w:val="20"/>
          <w:lang w:val="en-US"/>
        </w:rPr>
      </w:pPr>
    </w:p>
    <w:p w:rsidR="007E17E5" w:rsidRPr="009B6B5E" w:rsidRDefault="007E17E5" w:rsidP="007E17E5">
      <w:pPr>
        <w:pStyle w:val="Listenabsatz"/>
        <w:numPr>
          <w:ilvl w:val="0"/>
          <w:numId w:val="19"/>
        </w:numPr>
        <w:spacing w:line="300" w:lineRule="exact"/>
        <w:rPr>
          <w:sz w:val="20"/>
          <w:szCs w:val="20"/>
        </w:rPr>
      </w:pPr>
      <w:r>
        <w:rPr>
          <w:sz w:val="20"/>
        </w:rPr>
        <w:t xml:space="preserve">3rd quarter: </w:t>
      </w:r>
      <w:r w:rsidR="0040450C">
        <w:rPr>
          <w:sz w:val="20"/>
        </w:rPr>
        <w:t>volumes up year-on-year with almost</w:t>
      </w:r>
      <w:r>
        <w:rPr>
          <w:sz w:val="20"/>
        </w:rPr>
        <w:t xml:space="preserve"> stable selling prices</w:t>
      </w:r>
    </w:p>
    <w:p w:rsidR="007E17E5" w:rsidRPr="009B6B5E" w:rsidRDefault="007E17E5" w:rsidP="007E17E5">
      <w:pPr>
        <w:pStyle w:val="Listenabsatz"/>
        <w:numPr>
          <w:ilvl w:val="0"/>
          <w:numId w:val="19"/>
        </w:numPr>
        <w:spacing w:line="300" w:lineRule="exact"/>
        <w:rPr>
          <w:sz w:val="20"/>
          <w:szCs w:val="20"/>
        </w:rPr>
      </w:pPr>
      <w:r>
        <w:rPr>
          <w:sz w:val="20"/>
        </w:rPr>
        <w:t xml:space="preserve">3rd quarter: adjusted EBITDA </w:t>
      </w:r>
      <w:r w:rsidR="0040450C">
        <w:rPr>
          <w:sz w:val="20"/>
        </w:rPr>
        <w:t>higher than in previous quarters</w:t>
      </w:r>
    </w:p>
    <w:p w:rsidR="007E17E5" w:rsidRPr="009B6B5E" w:rsidRDefault="007E17E5" w:rsidP="007E17E5">
      <w:pPr>
        <w:pStyle w:val="Listenabsatz"/>
        <w:numPr>
          <w:ilvl w:val="0"/>
          <w:numId w:val="19"/>
        </w:numPr>
        <w:spacing w:line="300" w:lineRule="exact"/>
        <w:rPr>
          <w:sz w:val="20"/>
          <w:szCs w:val="20"/>
        </w:rPr>
      </w:pPr>
      <w:r>
        <w:rPr>
          <w:sz w:val="20"/>
        </w:rPr>
        <w:t>1st nine months: adjusted EBITDA margin slipped to a weak 10.0 percent</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The heart of the </w:t>
      </w:r>
      <w:r w:rsidRPr="007E17E5">
        <w:rPr>
          <w:b/>
          <w:sz w:val="20"/>
          <w:lang w:val="en-US"/>
        </w:rPr>
        <w:t>Specialty Materials</w:t>
      </w:r>
      <w:r w:rsidRPr="007E17E5">
        <w:rPr>
          <w:sz w:val="20"/>
          <w:lang w:val="en-US"/>
        </w:rPr>
        <w:t xml:space="preserve"> segment is the production of polymer materials and intermediates, mainly for the rubber and plastics industries. It comprises the Performance Polymers and Advanced Intermediates Business Units.</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lang w:val="en-US"/>
        </w:rPr>
      </w:pPr>
      <w:r w:rsidRPr="007E17E5">
        <w:rPr>
          <w:b/>
          <w:sz w:val="20"/>
          <w:lang w:val="en-US"/>
        </w:rPr>
        <w:t>Sales</w:t>
      </w:r>
      <w:r w:rsidRPr="007E17E5">
        <w:rPr>
          <w:sz w:val="20"/>
          <w:lang w:val="en-US"/>
        </w:rPr>
        <w:t xml:space="preserve"> grew 2 percent to €3,510 million in the first nine months of 2014 (9M 2013: €3,431), driven by far higher volume sales, while sales growth was held back by lower selling prices, especially for butadiene. The brunt of the reduction in volumes was borne by </w:t>
      </w:r>
      <w:proofErr w:type="spellStart"/>
      <w:r w:rsidRPr="007E17E5">
        <w:rPr>
          <w:sz w:val="20"/>
          <w:lang w:val="en-US"/>
        </w:rPr>
        <w:t>methacrylates</w:t>
      </w:r>
      <w:proofErr w:type="spellEnd"/>
      <w:r w:rsidRPr="007E17E5">
        <w:rPr>
          <w:sz w:val="20"/>
          <w:lang w:val="en-US"/>
        </w:rPr>
        <w:t xml:space="preserve">, while demand for polyamide 12 products remained stable. The continued significant volume growth in the Advanced Intermediates Business Unit was pleasing. This was mainly attributable to the new production facilities for hydrogen peroxide in China and catalysts for the manufacture of biodiesel in Argentina. This segment's adjusted </w:t>
      </w:r>
      <w:r w:rsidRPr="007E17E5">
        <w:rPr>
          <w:b/>
          <w:sz w:val="20"/>
          <w:lang w:val="en-US"/>
        </w:rPr>
        <w:t xml:space="preserve">EBITDA </w:t>
      </w:r>
      <w:r w:rsidRPr="007E17E5">
        <w:rPr>
          <w:sz w:val="20"/>
          <w:lang w:val="en-US"/>
        </w:rPr>
        <w:t xml:space="preserve">dropped 23 percent to €352 million (9M 2013: €457 million), mainly because of the lower selling prices. The adjusted </w:t>
      </w:r>
      <w:r w:rsidRPr="007E17E5">
        <w:rPr>
          <w:b/>
          <w:sz w:val="20"/>
          <w:lang w:val="en-US"/>
        </w:rPr>
        <w:t xml:space="preserve">EBITDA margin </w:t>
      </w:r>
      <w:r w:rsidRPr="007E17E5">
        <w:rPr>
          <w:sz w:val="20"/>
          <w:lang w:val="en-US"/>
        </w:rPr>
        <w:t>fell from 13.3 percent to 10.0 percent.</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b/>
          <w:sz w:val="20"/>
          <w:szCs w:val="20"/>
          <w:lang w:val="en-US"/>
        </w:rPr>
      </w:pPr>
      <w:r w:rsidRPr="007E17E5">
        <w:rPr>
          <w:b/>
          <w:sz w:val="20"/>
          <w:lang w:val="en-US"/>
        </w:rPr>
        <w:t>Services</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The </w:t>
      </w:r>
      <w:r w:rsidRPr="007E17E5">
        <w:rPr>
          <w:b/>
          <w:sz w:val="20"/>
          <w:lang w:val="en-US"/>
        </w:rPr>
        <w:t>Services</w:t>
      </w:r>
      <w:r w:rsidRPr="007E17E5">
        <w:rPr>
          <w:sz w:val="20"/>
          <w:lang w:val="en-US"/>
        </w:rPr>
        <w:t xml:space="preserve"> segment mainly provides services for the specialty chemicals segments and the Corporate Center, but also serves third parties.</w:t>
      </w:r>
    </w:p>
    <w:p w:rsidR="007E17E5" w:rsidRPr="007E17E5" w:rsidRDefault="007E17E5" w:rsidP="007E17E5">
      <w:pPr>
        <w:spacing w:line="300" w:lineRule="exact"/>
        <w:rPr>
          <w:sz w:val="20"/>
          <w:szCs w:val="20"/>
          <w:lang w:val="en-US"/>
        </w:rPr>
      </w:pPr>
    </w:p>
    <w:p w:rsidR="007E17E5" w:rsidRPr="007E17E5" w:rsidRDefault="007E17E5" w:rsidP="004303C2">
      <w:pPr>
        <w:spacing w:line="300" w:lineRule="exact"/>
        <w:rPr>
          <w:sz w:val="20"/>
          <w:szCs w:val="20"/>
          <w:lang w:val="en-US"/>
        </w:rPr>
      </w:pPr>
      <w:r w:rsidRPr="007E17E5">
        <w:rPr>
          <w:sz w:val="20"/>
          <w:lang w:val="en-US"/>
        </w:rPr>
        <w:t xml:space="preserve">In the first nine months of 2014, </w:t>
      </w:r>
      <w:r w:rsidRPr="007E17E5">
        <w:rPr>
          <w:b/>
          <w:sz w:val="20"/>
          <w:lang w:val="en-US"/>
        </w:rPr>
        <w:t>sales</w:t>
      </w:r>
      <w:r w:rsidRPr="007E17E5">
        <w:rPr>
          <w:sz w:val="20"/>
          <w:lang w:val="en-US"/>
        </w:rPr>
        <w:t xml:space="preserve"> increased 1 percent to €663 million (9M 2013: €656 million). Adjusted </w:t>
      </w:r>
      <w:r w:rsidRPr="007E17E5">
        <w:rPr>
          <w:b/>
          <w:sz w:val="20"/>
          <w:lang w:val="en-US"/>
        </w:rPr>
        <w:t>EBITDA</w:t>
      </w:r>
      <w:r w:rsidRPr="007E17E5">
        <w:rPr>
          <w:sz w:val="20"/>
          <w:lang w:val="en-US"/>
        </w:rPr>
        <w:t xml:space="preserve"> was €158 million, 1 percent above the prior-year level of €157 million.</w:t>
      </w:r>
      <w:r w:rsidRPr="007E17E5">
        <w:rPr>
          <w:lang w:val="en-US"/>
        </w:rPr>
        <w:br w:type="page"/>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b/>
          <w:sz w:val="20"/>
          <w:szCs w:val="20"/>
          <w:lang w:val="en-US"/>
        </w:rPr>
      </w:pPr>
      <w:r w:rsidRPr="007E17E5">
        <w:rPr>
          <w:b/>
          <w:sz w:val="20"/>
          <w:lang w:val="en-US"/>
        </w:rPr>
        <w:t>Further details of the new Group structure</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Plans for the new Group structure are making good progress. The Executive Board will concentrate on Evonik's strategic development within a management holding structure. The three chemical segments will be given greater entrepreneurial freedom to allow differentiated management of their businesses.</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They will operate on the market as separate legal entities with the following names: </w:t>
      </w:r>
      <w:r w:rsidRPr="007E17E5">
        <w:rPr>
          <w:b/>
          <w:sz w:val="20"/>
          <w:lang w:val="en-US"/>
        </w:rPr>
        <w:t>Evonik Nutrition &amp; Care GmbH</w:t>
      </w:r>
      <w:r w:rsidRPr="007E17E5">
        <w:rPr>
          <w:sz w:val="20"/>
          <w:lang w:val="en-US"/>
        </w:rPr>
        <w:t xml:space="preserve"> (formerly Consumer, Health &amp; Nutrition),</w:t>
      </w:r>
      <w:r w:rsidRPr="007E17E5">
        <w:rPr>
          <w:b/>
          <w:sz w:val="20"/>
          <w:lang w:val="en-US"/>
        </w:rPr>
        <w:t xml:space="preserve"> Evonik Resource Efficiency GmbH </w:t>
      </w:r>
      <w:r w:rsidRPr="007E17E5">
        <w:rPr>
          <w:sz w:val="20"/>
          <w:lang w:val="en-US"/>
        </w:rPr>
        <w:t xml:space="preserve">(formerly Resource Efficiency), </w:t>
      </w:r>
      <w:r w:rsidRPr="007E17E5">
        <w:rPr>
          <w:b/>
          <w:sz w:val="20"/>
          <w:lang w:val="en-US"/>
        </w:rPr>
        <w:t>Evonik Performance Materials GmbH</w:t>
      </w:r>
      <w:r w:rsidRPr="007E17E5">
        <w:rPr>
          <w:sz w:val="20"/>
          <w:lang w:val="en-US"/>
        </w:rPr>
        <w:t xml:space="preserve"> (formerly Specialty Materials). The new companies will start operating on July 1, 2015. To prepare for this, the new management boards will start work on January 1, 2015. Site Services will become Evonik Technology &amp; Infrastructure GmbH and the strategic innovation unit Creavis will operate as Evonik Creavis GmbH in the future. </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Evonik expects the new management model to provide a far better structural basis for profitable growth of the various business operations.</w:t>
      </w:r>
    </w:p>
    <w:p w:rsidR="007E17E5" w:rsidRPr="007E17E5" w:rsidRDefault="007E17E5" w:rsidP="007E17E5">
      <w:pPr>
        <w:spacing w:line="240" w:lineRule="auto"/>
        <w:ind w:left="0" w:right="0"/>
        <w:rPr>
          <w:sz w:val="20"/>
          <w:szCs w:val="20"/>
          <w:lang w:val="en-US"/>
        </w:rPr>
      </w:pPr>
      <w:r w:rsidRPr="007E17E5">
        <w:rPr>
          <w:lang w:val="en-US"/>
        </w:rPr>
        <w:br w:type="page"/>
      </w:r>
    </w:p>
    <w:p w:rsidR="007E17E5" w:rsidRPr="007E17E5" w:rsidRDefault="007E17E5" w:rsidP="007E17E5">
      <w:pPr>
        <w:spacing w:line="300" w:lineRule="exact"/>
        <w:rPr>
          <w:b/>
          <w:sz w:val="20"/>
          <w:szCs w:val="20"/>
          <w:lang w:val="en-US"/>
        </w:rPr>
      </w:pPr>
      <w:r w:rsidRPr="007E17E5">
        <w:rPr>
          <w:b/>
          <w:sz w:val="20"/>
          <w:lang w:val="en-US"/>
        </w:rPr>
        <w:t>Outlook for 2014</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Given the weaker economic development observed to date, in the present global economic conditions Evonik also assumes lower global growth in 2014 as a whole. The stepwise recovery in the global economy is increasingly stalling. Structural challenges in the emerging markets and the uncertainty stemming from ongoing political disputes and military conflicts are increasingly holding back growth expectations. The decline in producer prices observed since 2013 will presumably slow further in the final quarter of 2014.  </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Despite lower overall economic growth, Evonik is confirming its </w:t>
      </w:r>
      <w:r w:rsidRPr="007E17E5">
        <w:rPr>
          <w:b/>
          <w:sz w:val="20"/>
          <w:lang w:val="en-US"/>
        </w:rPr>
        <w:t>outlook</w:t>
      </w:r>
      <w:r w:rsidRPr="007E17E5">
        <w:rPr>
          <w:sz w:val="20"/>
          <w:lang w:val="en-US"/>
        </w:rPr>
        <w:t xml:space="preserve"> for the full year. The Group anticipates that </w:t>
      </w:r>
      <w:r w:rsidRPr="007E17E5">
        <w:rPr>
          <w:b/>
          <w:sz w:val="20"/>
          <w:lang w:val="en-US"/>
        </w:rPr>
        <w:t>sales</w:t>
      </w:r>
      <w:r w:rsidRPr="007E17E5">
        <w:rPr>
          <w:sz w:val="20"/>
          <w:lang w:val="en-US"/>
        </w:rPr>
        <w:t xml:space="preserve"> will rise slightly (2013: €12.7 billion) and expects that adjusted </w:t>
      </w:r>
      <w:r w:rsidRPr="007E17E5">
        <w:rPr>
          <w:b/>
          <w:sz w:val="20"/>
          <w:lang w:val="en-US"/>
        </w:rPr>
        <w:t>EBITDA</w:t>
      </w:r>
      <w:r w:rsidRPr="007E17E5">
        <w:rPr>
          <w:sz w:val="20"/>
          <w:lang w:val="en-US"/>
        </w:rPr>
        <w:t xml:space="preserve"> will be in the lower rather than the upper part of the €1.8 billion to €2.1 billion range (2013: €2.0 billion).</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So far, the positive business performance in the first half of the year has continued in the second half. Volumes should continue to grow in the remainder of the year, supported by the completion of the first growth investments. On the price front, Evonik expects the stabilization that has been evident so far to continue. Clearly positive price trends are visible in some businesses. However, this does not apply to the Specialty Materials segment, where price trends have remained below the company's original expectations.</w:t>
      </w:r>
    </w:p>
    <w:p w:rsidR="007E17E5" w:rsidRPr="007E17E5" w:rsidRDefault="007E17E5" w:rsidP="007E17E5">
      <w:pPr>
        <w:spacing w:line="300" w:lineRule="exact"/>
        <w:rPr>
          <w:sz w:val="20"/>
          <w:szCs w:val="20"/>
          <w:lang w:val="en-US"/>
        </w:rPr>
      </w:pPr>
    </w:p>
    <w:p w:rsidR="007E17E5" w:rsidRPr="007E17E5" w:rsidRDefault="007E17E5" w:rsidP="007E17E5">
      <w:pPr>
        <w:spacing w:line="300" w:lineRule="exact"/>
        <w:rPr>
          <w:sz w:val="20"/>
          <w:szCs w:val="20"/>
          <w:lang w:val="en-US"/>
        </w:rPr>
      </w:pPr>
      <w:r w:rsidRPr="007E17E5">
        <w:rPr>
          <w:sz w:val="20"/>
          <w:lang w:val="en-US"/>
        </w:rPr>
        <w:t xml:space="preserve">Further relief on the cost front should come from the On Track 2.0 efficiency enhancement program. In addition, Evonik expects to see the first positive effects of the Administration Excellence program, which was launched in fall 2013 to optimize administrative structures. Downside factors could result from ramp-up expenses for growth investments and negative currency effects. </w:t>
      </w:r>
    </w:p>
    <w:p w:rsidR="007E17E5" w:rsidRPr="007E17E5" w:rsidRDefault="007E17E5" w:rsidP="007E17E5">
      <w:pPr>
        <w:spacing w:line="240" w:lineRule="auto"/>
        <w:ind w:left="0" w:right="0"/>
        <w:rPr>
          <w:bCs/>
          <w:sz w:val="20"/>
          <w:szCs w:val="20"/>
          <w:lang w:val="en-US"/>
        </w:rPr>
      </w:pPr>
      <w:r w:rsidRPr="007E17E5">
        <w:rPr>
          <w:lang w:val="en-US"/>
        </w:rPr>
        <w:br w:type="page"/>
      </w:r>
    </w:p>
    <w:p w:rsidR="007E17E5" w:rsidRPr="007E17E5" w:rsidRDefault="007E17E5" w:rsidP="007E17E5">
      <w:pPr>
        <w:spacing w:line="300" w:lineRule="exact"/>
        <w:rPr>
          <w:rFonts w:cs="Lucida Sans Unicode"/>
          <w:b/>
          <w:sz w:val="20"/>
          <w:szCs w:val="20"/>
          <w:lang w:val="en-US"/>
        </w:rPr>
      </w:pPr>
    </w:p>
    <w:p w:rsidR="007E17E5" w:rsidRPr="007E17E5" w:rsidRDefault="007E17E5" w:rsidP="007E17E5">
      <w:pPr>
        <w:spacing w:after="120" w:line="300" w:lineRule="atLeast"/>
        <w:ind w:left="0"/>
        <w:rPr>
          <w:rFonts w:cs="Lucida Sans Unicode"/>
          <w:b/>
          <w:bCs/>
          <w:sz w:val="20"/>
          <w:szCs w:val="20"/>
          <w:lang w:val="en-US"/>
        </w:rPr>
      </w:pPr>
      <w:r w:rsidRPr="007E17E5">
        <w:rPr>
          <w:b/>
          <w:sz w:val="20"/>
          <w:lang w:val="en-US"/>
        </w:rPr>
        <w:t>Evonik Group: Excerpt from the income statement</w:t>
      </w:r>
    </w:p>
    <w:tbl>
      <w:tblPr>
        <w:tblW w:w="103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
        <w:gridCol w:w="5073"/>
        <w:gridCol w:w="863"/>
        <w:gridCol w:w="862"/>
        <w:gridCol w:w="892"/>
        <w:gridCol w:w="863"/>
        <w:gridCol w:w="862"/>
        <w:gridCol w:w="892"/>
      </w:tblGrid>
      <w:tr w:rsidR="007E17E5" w:rsidTr="00913ADE">
        <w:trPr>
          <w:trHeight w:val="510"/>
        </w:trPr>
        <w:tc>
          <w:tcPr>
            <w:tcW w:w="4835" w:type="dxa"/>
            <w:gridSpan w:val="2"/>
            <w:noWrap/>
            <w:vAlign w:val="center"/>
          </w:tcPr>
          <w:p w:rsidR="007E17E5" w:rsidRDefault="007E17E5" w:rsidP="00913ADE">
            <w:pPr>
              <w:ind w:left="0"/>
              <w:rPr>
                <w:rFonts w:cs="Lucida Sans Unicode"/>
                <w:b/>
                <w:bCs/>
                <w:szCs w:val="20"/>
              </w:rPr>
            </w:pPr>
            <w:r>
              <w:rPr>
                <w:b/>
              </w:rPr>
              <w:t xml:space="preserve">(in € </w:t>
            </w:r>
            <w:proofErr w:type="spellStart"/>
            <w:r>
              <w:rPr>
                <w:b/>
              </w:rPr>
              <w:t>million</w:t>
            </w:r>
            <w:proofErr w:type="spellEnd"/>
            <w:r>
              <w:rPr>
                <w:b/>
              </w:rPr>
              <w:t>)</w:t>
            </w:r>
          </w:p>
        </w:tc>
        <w:tc>
          <w:tcPr>
            <w:tcW w:w="823" w:type="dxa"/>
            <w:shd w:val="clear" w:color="auto" w:fill="CCCCCC"/>
            <w:vAlign w:val="center"/>
          </w:tcPr>
          <w:p w:rsidR="007E17E5" w:rsidRDefault="007E17E5" w:rsidP="00913ADE">
            <w:pPr>
              <w:ind w:left="0"/>
              <w:jc w:val="center"/>
              <w:rPr>
                <w:rFonts w:cs="Lucida Sans Unicode"/>
                <w:b/>
                <w:bCs/>
                <w:szCs w:val="20"/>
              </w:rPr>
            </w:pPr>
            <w:r>
              <w:rPr>
                <w:b/>
              </w:rPr>
              <w:t>Q3 2014</w:t>
            </w:r>
          </w:p>
        </w:tc>
        <w:tc>
          <w:tcPr>
            <w:tcW w:w="822" w:type="dxa"/>
            <w:vAlign w:val="center"/>
          </w:tcPr>
          <w:p w:rsidR="007E17E5" w:rsidRDefault="007E17E5" w:rsidP="00913ADE">
            <w:pPr>
              <w:ind w:left="0"/>
              <w:jc w:val="center"/>
              <w:rPr>
                <w:rFonts w:cs="Lucida Sans Unicode"/>
                <w:b/>
                <w:bCs/>
                <w:szCs w:val="20"/>
              </w:rPr>
            </w:pPr>
            <w:r>
              <w:rPr>
                <w:b/>
              </w:rPr>
              <w:t>Q3 2013</w:t>
            </w:r>
          </w:p>
        </w:tc>
        <w:tc>
          <w:tcPr>
            <w:tcW w:w="822" w:type="dxa"/>
            <w:vAlign w:val="center"/>
          </w:tcPr>
          <w:p w:rsidR="007E17E5" w:rsidRDefault="007E17E5" w:rsidP="00913ADE">
            <w:pPr>
              <w:ind w:left="0"/>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c>
          <w:tcPr>
            <w:tcW w:w="823" w:type="dxa"/>
            <w:shd w:val="clear" w:color="auto" w:fill="CCCCCC"/>
            <w:vAlign w:val="center"/>
          </w:tcPr>
          <w:p w:rsidR="007E17E5" w:rsidRDefault="007E17E5" w:rsidP="00913ADE">
            <w:pPr>
              <w:ind w:left="0"/>
              <w:jc w:val="center"/>
              <w:rPr>
                <w:rFonts w:cs="Lucida Sans Unicode"/>
                <w:b/>
                <w:bCs/>
                <w:szCs w:val="20"/>
              </w:rPr>
            </w:pPr>
            <w:r>
              <w:rPr>
                <w:b/>
              </w:rPr>
              <w:t>9M</w:t>
            </w:r>
          </w:p>
          <w:p w:rsidR="007E17E5" w:rsidRDefault="007E17E5" w:rsidP="00913ADE">
            <w:pPr>
              <w:ind w:left="0"/>
              <w:jc w:val="center"/>
              <w:rPr>
                <w:rFonts w:cs="Lucida Sans Unicode"/>
                <w:b/>
                <w:bCs/>
                <w:szCs w:val="20"/>
              </w:rPr>
            </w:pPr>
            <w:r>
              <w:rPr>
                <w:b/>
              </w:rPr>
              <w:t>2014</w:t>
            </w:r>
          </w:p>
        </w:tc>
        <w:tc>
          <w:tcPr>
            <w:tcW w:w="822" w:type="dxa"/>
            <w:vAlign w:val="center"/>
          </w:tcPr>
          <w:p w:rsidR="007E17E5" w:rsidRDefault="007E17E5" w:rsidP="00913ADE">
            <w:pPr>
              <w:ind w:left="0"/>
              <w:jc w:val="center"/>
              <w:rPr>
                <w:rFonts w:cs="Lucida Sans Unicode"/>
                <w:b/>
                <w:bCs/>
                <w:szCs w:val="20"/>
              </w:rPr>
            </w:pPr>
            <w:r>
              <w:rPr>
                <w:b/>
              </w:rPr>
              <w:t>9M</w:t>
            </w:r>
          </w:p>
          <w:p w:rsidR="007E17E5" w:rsidRDefault="007E17E5" w:rsidP="00913ADE">
            <w:pPr>
              <w:ind w:left="0"/>
              <w:jc w:val="center"/>
              <w:rPr>
                <w:rFonts w:cs="Lucida Sans Unicode"/>
                <w:b/>
                <w:bCs/>
                <w:szCs w:val="20"/>
              </w:rPr>
            </w:pPr>
            <w:r>
              <w:rPr>
                <w:b/>
              </w:rPr>
              <w:t>2013</w:t>
            </w:r>
          </w:p>
        </w:tc>
        <w:tc>
          <w:tcPr>
            <w:tcW w:w="822" w:type="dxa"/>
            <w:vAlign w:val="center"/>
          </w:tcPr>
          <w:p w:rsidR="007E17E5" w:rsidRDefault="007E17E5" w:rsidP="00913ADE">
            <w:pPr>
              <w:ind w:left="0"/>
              <w:jc w:val="center"/>
              <w:rPr>
                <w:rFonts w:cs="Lucida Sans Unicode"/>
                <w:b/>
                <w:bCs/>
                <w:spacing w:val="-6"/>
                <w:szCs w:val="20"/>
              </w:rPr>
            </w:pPr>
            <w:r>
              <w:rPr>
                <w:b/>
                <w:spacing w:val="-6"/>
              </w:rPr>
              <w:t xml:space="preserve">Change </w:t>
            </w:r>
            <w:r>
              <w:rPr>
                <w:rFonts w:cs="Lucida Sans Unicode"/>
                <w:b/>
                <w:bCs/>
                <w:spacing w:val="-6"/>
                <w:szCs w:val="20"/>
              </w:rPr>
              <w:br/>
            </w:r>
            <w:r>
              <w:rPr>
                <w:b/>
                <w:spacing w:val="-6"/>
              </w:rPr>
              <w:t>in %</w:t>
            </w:r>
          </w:p>
        </w:tc>
      </w:tr>
      <w:tr w:rsidR="007E17E5" w:rsidTr="00913ADE">
        <w:trPr>
          <w:trHeight w:val="300"/>
        </w:trPr>
        <w:tc>
          <w:tcPr>
            <w:tcW w:w="4835" w:type="dxa"/>
            <w:gridSpan w:val="2"/>
            <w:noWrap/>
            <w:vAlign w:val="bottom"/>
          </w:tcPr>
          <w:p w:rsidR="007E17E5" w:rsidRDefault="007E17E5" w:rsidP="00913ADE">
            <w:pPr>
              <w:ind w:left="0"/>
              <w:rPr>
                <w:rFonts w:cs="Lucida Sans Unicode"/>
                <w:position w:val="0"/>
                <w:szCs w:val="20"/>
              </w:rPr>
            </w:pPr>
            <w:proofErr w:type="spellStart"/>
            <w:r>
              <w:t>Sales</w:t>
            </w:r>
            <w:proofErr w:type="spellEnd"/>
          </w:p>
        </w:tc>
        <w:tc>
          <w:tcPr>
            <w:tcW w:w="823" w:type="dxa"/>
            <w:shd w:val="clear" w:color="auto" w:fill="CCCCCC"/>
            <w:noWrap/>
            <w:vAlign w:val="bottom"/>
          </w:tcPr>
          <w:p w:rsidR="007E17E5" w:rsidRDefault="007E17E5" w:rsidP="00913ADE">
            <w:pPr>
              <w:ind w:left="0"/>
              <w:jc w:val="right"/>
              <w:rPr>
                <w:rFonts w:cs="Lucida Sans Unicode"/>
                <w:position w:val="0"/>
                <w:szCs w:val="20"/>
              </w:rPr>
            </w:pPr>
            <w:r>
              <w:t>3,243</w:t>
            </w:r>
          </w:p>
        </w:tc>
        <w:tc>
          <w:tcPr>
            <w:tcW w:w="822" w:type="dxa"/>
            <w:noWrap/>
            <w:vAlign w:val="bottom"/>
          </w:tcPr>
          <w:p w:rsidR="007E17E5" w:rsidRDefault="007E17E5" w:rsidP="00913ADE">
            <w:pPr>
              <w:ind w:left="0"/>
              <w:jc w:val="right"/>
              <w:rPr>
                <w:rFonts w:cs="Lucida Sans Unicode"/>
                <w:position w:val="0"/>
                <w:szCs w:val="20"/>
              </w:rPr>
            </w:pPr>
            <w:r>
              <w:t>3,198</w:t>
            </w:r>
          </w:p>
        </w:tc>
        <w:tc>
          <w:tcPr>
            <w:tcW w:w="822" w:type="dxa"/>
            <w:noWrap/>
            <w:vAlign w:val="bottom"/>
          </w:tcPr>
          <w:p w:rsidR="007E17E5" w:rsidRDefault="007E17E5" w:rsidP="00913ADE">
            <w:pPr>
              <w:ind w:left="0"/>
              <w:jc w:val="right"/>
              <w:rPr>
                <w:rFonts w:cs="Lucida Sans Unicode"/>
                <w:position w:val="0"/>
                <w:szCs w:val="20"/>
              </w:rPr>
            </w:pPr>
            <w:r>
              <w:t>1</w:t>
            </w:r>
          </w:p>
        </w:tc>
        <w:tc>
          <w:tcPr>
            <w:tcW w:w="823" w:type="dxa"/>
            <w:shd w:val="clear" w:color="auto" w:fill="CCCCCC"/>
            <w:noWrap/>
            <w:vAlign w:val="bottom"/>
          </w:tcPr>
          <w:p w:rsidR="007E17E5" w:rsidRDefault="007E17E5" w:rsidP="00913ADE">
            <w:pPr>
              <w:ind w:left="0"/>
              <w:jc w:val="right"/>
              <w:rPr>
                <w:rFonts w:cs="Lucida Sans Unicode"/>
                <w:position w:val="0"/>
                <w:szCs w:val="20"/>
              </w:rPr>
            </w:pPr>
            <w:r>
              <w:t>9,691</w:t>
            </w:r>
          </w:p>
        </w:tc>
        <w:tc>
          <w:tcPr>
            <w:tcW w:w="822" w:type="dxa"/>
            <w:noWrap/>
            <w:vAlign w:val="bottom"/>
          </w:tcPr>
          <w:p w:rsidR="007E17E5" w:rsidRDefault="007E17E5" w:rsidP="00913ADE">
            <w:pPr>
              <w:ind w:left="0"/>
              <w:jc w:val="right"/>
              <w:rPr>
                <w:rFonts w:cs="Lucida Sans Unicode"/>
                <w:position w:val="0"/>
                <w:szCs w:val="20"/>
              </w:rPr>
            </w:pPr>
            <w:r>
              <w:t>9,619</w:t>
            </w:r>
          </w:p>
        </w:tc>
        <w:tc>
          <w:tcPr>
            <w:tcW w:w="822" w:type="dxa"/>
            <w:noWrap/>
            <w:vAlign w:val="bottom"/>
          </w:tcPr>
          <w:p w:rsidR="007E17E5" w:rsidRDefault="007E17E5" w:rsidP="00913ADE">
            <w:pPr>
              <w:ind w:left="0"/>
              <w:jc w:val="right"/>
              <w:rPr>
                <w:rFonts w:cs="Lucida Sans Unicode"/>
                <w:position w:val="0"/>
                <w:szCs w:val="20"/>
              </w:rPr>
            </w:pPr>
            <w:r>
              <w:t>1</w:t>
            </w:r>
          </w:p>
        </w:tc>
      </w:tr>
      <w:tr w:rsidR="007E17E5" w:rsidTr="00913ADE">
        <w:trPr>
          <w:trHeight w:val="300"/>
        </w:trPr>
        <w:tc>
          <w:tcPr>
            <w:tcW w:w="4835" w:type="dxa"/>
            <w:gridSpan w:val="2"/>
            <w:noWrap/>
            <w:vAlign w:val="bottom"/>
          </w:tcPr>
          <w:p w:rsidR="007E17E5" w:rsidRDefault="007E17E5" w:rsidP="00913ADE">
            <w:pPr>
              <w:ind w:left="0"/>
              <w:rPr>
                <w:rFonts w:cs="Lucida Sans Unicode"/>
                <w:position w:val="0"/>
                <w:szCs w:val="20"/>
              </w:rPr>
            </w:pPr>
            <w:proofErr w:type="spellStart"/>
            <w:r>
              <w:t>Adjusted</w:t>
            </w:r>
            <w:proofErr w:type="spellEnd"/>
            <w:r>
              <w:t xml:space="preserve"> EBITDA</w:t>
            </w:r>
          </w:p>
        </w:tc>
        <w:tc>
          <w:tcPr>
            <w:tcW w:w="823" w:type="dxa"/>
            <w:shd w:val="clear" w:color="auto" w:fill="CCCCCC"/>
            <w:noWrap/>
            <w:vAlign w:val="bottom"/>
          </w:tcPr>
          <w:p w:rsidR="007E17E5" w:rsidRDefault="007E17E5" w:rsidP="00913ADE">
            <w:pPr>
              <w:ind w:left="0"/>
              <w:jc w:val="right"/>
              <w:rPr>
                <w:rFonts w:cs="Lucida Sans Unicode"/>
                <w:position w:val="0"/>
                <w:szCs w:val="20"/>
              </w:rPr>
            </w:pPr>
            <w:r>
              <w:t>501</w:t>
            </w:r>
          </w:p>
        </w:tc>
        <w:tc>
          <w:tcPr>
            <w:tcW w:w="822" w:type="dxa"/>
            <w:noWrap/>
            <w:vAlign w:val="bottom"/>
          </w:tcPr>
          <w:p w:rsidR="007E17E5" w:rsidRDefault="007E17E5" w:rsidP="00913ADE">
            <w:pPr>
              <w:ind w:left="0"/>
              <w:jc w:val="right"/>
              <w:rPr>
                <w:rFonts w:cs="Lucida Sans Unicode"/>
                <w:position w:val="0"/>
                <w:szCs w:val="20"/>
              </w:rPr>
            </w:pPr>
            <w:r>
              <w:t>517</w:t>
            </w:r>
          </w:p>
        </w:tc>
        <w:tc>
          <w:tcPr>
            <w:tcW w:w="822" w:type="dxa"/>
            <w:noWrap/>
            <w:vAlign w:val="bottom"/>
          </w:tcPr>
          <w:p w:rsidR="007E17E5" w:rsidRDefault="007E17E5" w:rsidP="00913ADE">
            <w:pPr>
              <w:ind w:left="0"/>
              <w:jc w:val="right"/>
              <w:rPr>
                <w:rFonts w:cs="Lucida Sans Unicode"/>
                <w:position w:val="0"/>
                <w:szCs w:val="20"/>
              </w:rPr>
            </w:pPr>
            <w:r>
              <w:t>-3</w:t>
            </w:r>
          </w:p>
        </w:tc>
        <w:tc>
          <w:tcPr>
            <w:tcW w:w="823" w:type="dxa"/>
            <w:shd w:val="clear" w:color="auto" w:fill="CCCCCC"/>
            <w:noWrap/>
            <w:vAlign w:val="bottom"/>
          </w:tcPr>
          <w:p w:rsidR="007E17E5" w:rsidRDefault="007E17E5" w:rsidP="00913ADE">
            <w:pPr>
              <w:ind w:left="0"/>
              <w:jc w:val="right"/>
              <w:rPr>
                <w:rFonts w:cs="Lucida Sans Unicode"/>
                <w:position w:val="0"/>
                <w:szCs w:val="20"/>
              </w:rPr>
            </w:pPr>
            <w:r>
              <w:t>1,425</w:t>
            </w:r>
          </w:p>
        </w:tc>
        <w:tc>
          <w:tcPr>
            <w:tcW w:w="822" w:type="dxa"/>
            <w:noWrap/>
            <w:vAlign w:val="bottom"/>
          </w:tcPr>
          <w:p w:rsidR="007E17E5" w:rsidRDefault="007E17E5" w:rsidP="00913ADE">
            <w:pPr>
              <w:ind w:left="0"/>
              <w:jc w:val="right"/>
              <w:rPr>
                <w:rFonts w:cs="Lucida Sans Unicode"/>
                <w:position w:val="0"/>
                <w:szCs w:val="20"/>
              </w:rPr>
            </w:pPr>
            <w:r>
              <w:t>1,620</w:t>
            </w:r>
          </w:p>
        </w:tc>
        <w:tc>
          <w:tcPr>
            <w:tcW w:w="822" w:type="dxa"/>
            <w:noWrap/>
            <w:vAlign w:val="bottom"/>
          </w:tcPr>
          <w:p w:rsidR="007E17E5" w:rsidRDefault="007E17E5" w:rsidP="00913ADE">
            <w:pPr>
              <w:ind w:left="0"/>
              <w:jc w:val="right"/>
              <w:rPr>
                <w:rFonts w:cs="Lucida Sans Unicode"/>
                <w:position w:val="0"/>
                <w:szCs w:val="20"/>
              </w:rPr>
            </w:pPr>
            <w:r>
              <w:t>-12</w:t>
            </w:r>
          </w:p>
        </w:tc>
      </w:tr>
      <w:tr w:rsidR="007E17E5" w:rsidTr="00913ADE">
        <w:trPr>
          <w:trHeight w:val="300"/>
        </w:trPr>
        <w:tc>
          <w:tcPr>
            <w:tcW w:w="4835" w:type="dxa"/>
            <w:gridSpan w:val="2"/>
            <w:noWrap/>
            <w:vAlign w:val="bottom"/>
          </w:tcPr>
          <w:p w:rsidR="007E17E5" w:rsidRDefault="007E17E5" w:rsidP="00913ADE">
            <w:pPr>
              <w:ind w:left="0"/>
              <w:rPr>
                <w:rFonts w:cs="Lucida Sans Unicode"/>
                <w:position w:val="0"/>
                <w:szCs w:val="20"/>
              </w:rPr>
            </w:pPr>
            <w:proofErr w:type="spellStart"/>
            <w:r>
              <w:t>Adjusted</w:t>
            </w:r>
            <w:proofErr w:type="spellEnd"/>
            <w:r>
              <w:t xml:space="preserve"> EBIT</w:t>
            </w:r>
          </w:p>
        </w:tc>
        <w:tc>
          <w:tcPr>
            <w:tcW w:w="823" w:type="dxa"/>
            <w:shd w:val="clear" w:color="auto" w:fill="CCCCCC"/>
            <w:noWrap/>
            <w:vAlign w:val="bottom"/>
          </w:tcPr>
          <w:p w:rsidR="007E17E5" w:rsidRDefault="007E17E5" w:rsidP="00913ADE">
            <w:pPr>
              <w:ind w:left="0"/>
              <w:jc w:val="right"/>
              <w:rPr>
                <w:rFonts w:cs="Lucida Sans Unicode"/>
                <w:position w:val="0"/>
                <w:szCs w:val="20"/>
              </w:rPr>
            </w:pPr>
            <w:r>
              <w:t>350</w:t>
            </w:r>
          </w:p>
        </w:tc>
        <w:tc>
          <w:tcPr>
            <w:tcW w:w="822" w:type="dxa"/>
            <w:noWrap/>
            <w:vAlign w:val="bottom"/>
          </w:tcPr>
          <w:p w:rsidR="007E17E5" w:rsidRDefault="007E17E5" w:rsidP="00913ADE">
            <w:pPr>
              <w:ind w:left="0"/>
              <w:jc w:val="right"/>
              <w:rPr>
                <w:rFonts w:cs="Lucida Sans Unicode"/>
                <w:position w:val="0"/>
                <w:szCs w:val="20"/>
              </w:rPr>
            </w:pPr>
            <w:r>
              <w:t>372</w:t>
            </w:r>
          </w:p>
        </w:tc>
        <w:tc>
          <w:tcPr>
            <w:tcW w:w="822" w:type="dxa"/>
            <w:noWrap/>
            <w:vAlign w:val="bottom"/>
          </w:tcPr>
          <w:p w:rsidR="007E17E5" w:rsidRDefault="007E17E5" w:rsidP="00913ADE">
            <w:pPr>
              <w:ind w:left="0"/>
              <w:jc w:val="right"/>
              <w:rPr>
                <w:rFonts w:cs="Lucida Sans Unicode"/>
                <w:position w:val="0"/>
                <w:szCs w:val="20"/>
              </w:rPr>
            </w:pPr>
            <w:r>
              <w:t>-6</w:t>
            </w:r>
          </w:p>
        </w:tc>
        <w:tc>
          <w:tcPr>
            <w:tcW w:w="823" w:type="dxa"/>
            <w:shd w:val="clear" w:color="auto" w:fill="CCCCCC"/>
            <w:noWrap/>
            <w:vAlign w:val="bottom"/>
          </w:tcPr>
          <w:p w:rsidR="007E17E5" w:rsidRDefault="007E17E5" w:rsidP="00913ADE">
            <w:pPr>
              <w:ind w:left="0"/>
              <w:jc w:val="right"/>
              <w:rPr>
                <w:rFonts w:cs="Lucida Sans Unicode"/>
                <w:position w:val="0"/>
                <w:szCs w:val="20"/>
              </w:rPr>
            </w:pPr>
            <w:r>
              <w:t>977</w:t>
            </w:r>
          </w:p>
        </w:tc>
        <w:tc>
          <w:tcPr>
            <w:tcW w:w="822" w:type="dxa"/>
            <w:noWrap/>
            <w:vAlign w:val="bottom"/>
          </w:tcPr>
          <w:p w:rsidR="007E17E5" w:rsidRDefault="007E17E5" w:rsidP="00913ADE">
            <w:pPr>
              <w:ind w:left="0"/>
              <w:jc w:val="right"/>
              <w:rPr>
                <w:rFonts w:cs="Lucida Sans Unicode"/>
                <w:position w:val="0"/>
                <w:szCs w:val="20"/>
              </w:rPr>
            </w:pPr>
            <w:r>
              <w:t>1,188</w:t>
            </w:r>
          </w:p>
        </w:tc>
        <w:tc>
          <w:tcPr>
            <w:tcW w:w="822" w:type="dxa"/>
            <w:noWrap/>
            <w:vAlign w:val="bottom"/>
          </w:tcPr>
          <w:p w:rsidR="007E17E5" w:rsidRDefault="007E17E5" w:rsidP="00913ADE">
            <w:pPr>
              <w:ind w:left="0"/>
              <w:jc w:val="right"/>
              <w:rPr>
                <w:rFonts w:cs="Lucida Sans Unicode"/>
                <w:position w:val="0"/>
                <w:szCs w:val="20"/>
              </w:rPr>
            </w:pPr>
            <w:r>
              <w:t>-18</w:t>
            </w:r>
          </w:p>
        </w:tc>
      </w:tr>
      <w:tr w:rsidR="007E17E5" w:rsidTr="00913ADE">
        <w:trPr>
          <w:trHeight w:val="300"/>
        </w:trPr>
        <w:tc>
          <w:tcPr>
            <w:tcW w:w="4835" w:type="dxa"/>
            <w:gridSpan w:val="2"/>
            <w:noWrap/>
            <w:vAlign w:val="bottom"/>
          </w:tcPr>
          <w:p w:rsidR="007E17E5" w:rsidRDefault="007E17E5" w:rsidP="00913ADE">
            <w:pPr>
              <w:ind w:left="0"/>
              <w:rPr>
                <w:rFonts w:cs="Lucida Sans Unicode"/>
                <w:position w:val="0"/>
                <w:szCs w:val="20"/>
              </w:rPr>
            </w:pPr>
            <w:proofErr w:type="spellStart"/>
            <w:r>
              <w:t>Adjustments</w:t>
            </w:r>
            <w:proofErr w:type="spellEnd"/>
          </w:p>
        </w:tc>
        <w:tc>
          <w:tcPr>
            <w:tcW w:w="823" w:type="dxa"/>
            <w:shd w:val="clear" w:color="auto" w:fill="CCCCCC"/>
            <w:noWrap/>
            <w:vAlign w:val="bottom"/>
          </w:tcPr>
          <w:p w:rsidR="007E17E5" w:rsidRDefault="007E17E5" w:rsidP="00913ADE">
            <w:pPr>
              <w:ind w:left="0"/>
              <w:jc w:val="right"/>
              <w:rPr>
                <w:rFonts w:cs="Lucida Sans Unicode"/>
                <w:position w:val="0"/>
                <w:szCs w:val="20"/>
              </w:rPr>
            </w:pPr>
            <w:r>
              <w:t>-54</w:t>
            </w:r>
          </w:p>
        </w:tc>
        <w:tc>
          <w:tcPr>
            <w:tcW w:w="822" w:type="dxa"/>
            <w:noWrap/>
            <w:vAlign w:val="bottom"/>
          </w:tcPr>
          <w:p w:rsidR="007E17E5" w:rsidRDefault="007E17E5" w:rsidP="00913ADE">
            <w:pPr>
              <w:ind w:left="0"/>
              <w:jc w:val="right"/>
              <w:rPr>
                <w:rFonts w:cs="Lucida Sans Unicode"/>
                <w:position w:val="0"/>
                <w:szCs w:val="20"/>
              </w:rPr>
            </w:pPr>
            <w:r>
              <w:t>-258</w:t>
            </w:r>
          </w:p>
        </w:tc>
        <w:tc>
          <w:tcPr>
            <w:tcW w:w="822" w:type="dxa"/>
            <w:noWrap/>
            <w:vAlign w:val="bottom"/>
          </w:tcPr>
          <w:p w:rsidR="007E17E5" w:rsidRDefault="007E17E5" w:rsidP="00913ADE">
            <w:pPr>
              <w:ind w:left="0"/>
              <w:rPr>
                <w:rFonts w:cs="Lucida Sans Unicode"/>
                <w:position w:val="0"/>
                <w:szCs w:val="20"/>
              </w:rPr>
            </w:pPr>
          </w:p>
        </w:tc>
        <w:tc>
          <w:tcPr>
            <w:tcW w:w="823" w:type="dxa"/>
            <w:shd w:val="clear" w:color="auto" w:fill="CCCCCC"/>
            <w:noWrap/>
            <w:vAlign w:val="bottom"/>
          </w:tcPr>
          <w:p w:rsidR="007E17E5" w:rsidRDefault="007E17E5" w:rsidP="00913ADE">
            <w:pPr>
              <w:ind w:left="0"/>
              <w:jc w:val="right"/>
              <w:rPr>
                <w:rFonts w:cs="Lucida Sans Unicode"/>
                <w:position w:val="0"/>
                <w:szCs w:val="20"/>
              </w:rPr>
            </w:pPr>
            <w:r>
              <w:t>-144</w:t>
            </w:r>
          </w:p>
        </w:tc>
        <w:tc>
          <w:tcPr>
            <w:tcW w:w="822" w:type="dxa"/>
            <w:noWrap/>
            <w:vAlign w:val="bottom"/>
          </w:tcPr>
          <w:p w:rsidR="007E17E5" w:rsidRDefault="007E17E5" w:rsidP="00913ADE">
            <w:pPr>
              <w:ind w:left="0"/>
              <w:jc w:val="right"/>
              <w:rPr>
                <w:rFonts w:cs="Lucida Sans Unicode"/>
                <w:position w:val="0"/>
                <w:szCs w:val="20"/>
              </w:rPr>
            </w:pPr>
            <w:r>
              <w:t>-324</w:t>
            </w:r>
          </w:p>
        </w:tc>
        <w:tc>
          <w:tcPr>
            <w:tcW w:w="822" w:type="dxa"/>
            <w:noWrap/>
            <w:vAlign w:val="bottom"/>
          </w:tcPr>
          <w:p w:rsidR="007E17E5" w:rsidRDefault="007E17E5" w:rsidP="00913ADE">
            <w:pPr>
              <w:ind w:left="0"/>
              <w:rPr>
                <w:rFonts w:cs="Lucida Sans Unicode"/>
                <w:position w:val="0"/>
                <w:szCs w:val="20"/>
              </w:rPr>
            </w:pPr>
          </w:p>
        </w:tc>
      </w:tr>
      <w:tr w:rsidR="007E17E5" w:rsidTr="00913ADE">
        <w:trPr>
          <w:trHeight w:val="300"/>
        </w:trPr>
        <w:tc>
          <w:tcPr>
            <w:tcW w:w="4835" w:type="dxa"/>
            <w:gridSpan w:val="2"/>
            <w:noWrap/>
            <w:vAlign w:val="bottom"/>
          </w:tcPr>
          <w:p w:rsidR="007E17E5" w:rsidRDefault="007E17E5" w:rsidP="00913ADE">
            <w:pPr>
              <w:ind w:left="0"/>
              <w:rPr>
                <w:rFonts w:cs="Lucida Sans Unicode"/>
                <w:position w:val="0"/>
                <w:szCs w:val="20"/>
              </w:rPr>
            </w:pPr>
            <w:r>
              <w:t xml:space="preserve">Net </w:t>
            </w:r>
            <w:proofErr w:type="spellStart"/>
            <w:r>
              <w:t>interest</w:t>
            </w:r>
            <w:proofErr w:type="spellEnd"/>
            <w:r>
              <w:t xml:space="preserve"> </w:t>
            </w:r>
            <w:proofErr w:type="spellStart"/>
            <w:r>
              <w:t>expense</w:t>
            </w:r>
            <w:proofErr w:type="spellEnd"/>
          </w:p>
        </w:tc>
        <w:tc>
          <w:tcPr>
            <w:tcW w:w="823" w:type="dxa"/>
            <w:shd w:val="clear" w:color="auto" w:fill="CCCCCC"/>
            <w:noWrap/>
            <w:vAlign w:val="bottom"/>
          </w:tcPr>
          <w:p w:rsidR="007E17E5" w:rsidRDefault="007E17E5" w:rsidP="00913ADE">
            <w:pPr>
              <w:ind w:left="0"/>
              <w:jc w:val="right"/>
              <w:rPr>
                <w:rFonts w:cs="Lucida Sans Unicode"/>
                <w:position w:val="0"/>
                <w:szCs w:val="20"/>
              </w:rPr>
            </w:pPr>
            <w:r>
              <w:t>-64</w:t>
            </w:r>
          </w:p>
        </w:tc>
        <w:tc>
          <w:tcPr>
            <w:tcW w:w="822" w:type="dxa"/>
            <w:noWrap/>
            <w:vAlign w:val="bottom"/>
          </w:tcPr>
          <w:p w:rsidR="007E17E5" w:rsidRDefault="007E17E5" w:rsidP="00913ADE">
            <w:pPr>
              <w:ind w:left="0"/>
              <w:jc w:val="right"/>
              <w:rPr>
                <w:rFonts w:cs="Lucida Sans Unicode"/>
                <w:position w:val="0"/>
                <w:szCs w:val="20"/>
              </w:rPr>
            </w:pPr>
            <w:r>
              <w:t>-67</w:t>
            </w:r>
          </w:p>
        </w:tc>
        <w:tc>
          <w:tcPr>
            <w:tcW w:w="822" w:type="dxa"/>
            <w:noWrap/>
            <w:vAlign w:val="bottom"/>
          </w:tcPr>
          <w:p w:rsidR="007E17E5" w:rsidRDefault="007E17E5" w:rsidP="00913ADE">
            <w:pPr>
              <w:ind w:left="0"/>
              <w:jc w:val="right"/>
              <w:rPr>
                <w:rFonts w:cs="Lucida Sans Unicode"/>
                <w:position w:val="0"/>
                <w:szCs w:val="20"/>
              </w:rPr>
            </w:pPr>
          </w:p>
        </w:tc>
        <w:tc>
          <w:tcPr>
            <w:tcW w:w="823" w:type="dxa"/>
            <w:shd w:val="clear" w:color="auto" w:fill="CCCCCC"/>
            <w:noWrap/>
            <w:vAlign w:val="bottom"/>
          </w:tcPr>
          <w:p w:rsidR="007E17E5" w:rsidRDefault="007E17E5" w:rsidP="00913ADE">
            <w:pPr>
              <w:ind w:left="0"/>
              <w:jc w:val="right"/>
              <w:rPr>
                <w:rFonts w:cs="Lucida Sans Unicode"/>
                <w:position w:val="0"/>
                <w:szCs w:val="20"/>
              </w:rPr>
            </w:pPr>
            <w:r>
              <w:t>-200</w:t>
            </w:r>
          </w:p>
        </w:tc>
        <w:tc>
          <w:tcPr>
            <w:tcW w:w="822" w:type="dxa"/>
            <w:noWrap/>
            <w:vAlign w:val="bottom"/>
          </w:tcPr>
          <w:p w:rsidR="007E17E5" w:rsidRDefault="007E17E5" w:rsidP="00913ADE">
            <w:pPr>
              <w:ind w:left="0"/>
              <w:jc w:val="right"/>
              <w:rPr>
                <w:rFonts w:cs="Lucida Sans Unicode"/>
                <w:position w:val="0"/>
                <w:szCs w:val="20"/>
              </w:rPr>
            </w:pPr>
            <w:r>
              <w:t>-201</w:t>
            </w:r>
          </w:p>
        </w:tc>
        <w:tc>
          <w:tcPr>
            <w:tcW w:w="822" w:type="dxa"/>
            <w:noWrap/>
            <w:vAlign w:val="bottom"/>
          </w:tcPr>
          <w:p w:rsidR="007E17E5" w:rsidRDefault="007E17E5" w:rsidP="00913ADE">
            <w:pPr>
              <w:ind w:left="0"/>
              <w:rPr>
                <w:rFonts w:cs="Lucida Sans Unicode"/>
                <w:position w:val="0"/>
                <w:szCs w:val="20"/>
              </w:rPr>
            </w:pPr>
          </w:p>
        </w:tc>
      </w:tr>
      <w:tr w:rsidR="007E17E5" w:rsidTr="00913ADE">
        <w:trPr>
          <w:trHeight w:val="300"/>
        </w:trPr>
        <w:tc>
          <w:tcPr>
            <w:tcW w:w="4835" w:type="dxa"/>
            <w:gridSpan w:val="2"/>
            <w:noWrap/>
            <w:vAlign w:val="bottom"/>
          </w:tcPr>
          <w:p w:rsidR="007E17E5" w:rsidRPr="007E17E5" w:rsidRDefault="007E17E5" w:rsidP="00913ADE">
            <w:pPr>
              <w:ind w:left="0"/>
              <w:rPr>
                <w:rFonts w:cs="Lucida Sans Unicode"/>
                <w:bCs/>
                <w:szCs w:val="20"/>
                <w:lang w:val="en-US"/>
              </w:rPr>
            </w:pPr>
            <w:r w:rsidRPr="007E17E5">
              <w:rPr>
                <w:lang w:val="en-US"/>
              </w:rPr>
              <w:t>Income before income taxes, continuing operations</w:t>
            </w:r>
          </w:p>
        </w:tc>
        <w:tc>
          <w:tcPr>
            <w:tcW w:w="823" w:type="dxa"/>
            <w:shd w:val="clear" w:color="auto" w:fill="CCCCCC"/>
            <w:noWrap/>
            <w:vAlign w:val="bottom"/>
          </w:tcPr>
          <w:p w:rsidR="007E17E5" w:rsidRPr="002B19DA" w:rsidRDefault="007E17E5" w:rsidP="00913ADE">
            <w:pPr>
              <w:ind w:left="0"/>
              <w:jc w:val="right"/>
              <w:rPr>
                <w:rFonts w:cs="Lucida Sans Unicode"/>
                <w:bCs/>
                <w:position w:val="0"/>
                <w:szCs w:val="20"/>
              </w:rPr>
            </w:pPr>
            <w:r>
              <w:t>232</w:t>
            </w:r>
          </w:p>
        </w:tc>
        <w:tc>
          <w:tcPr>
            <w:tcW w:w="822" w:type="dxa"/>
            <w:noWrap/>
            <w:vAlign w:val="bottom"/>
          </w:tcPr>
          <w:p w:rsidR="007E17E5" w:rsidRPr="002B19DA" w:rsidRDefault="007E17E5" w:rsidP="00913ADE">
            <w:pPr>
              <w:ind w:left="0"/>
              <w:jc w:val="right"/>
              <w:rPr>
                <w:rFonts w:cs="Lucida Sans Unicode"/>
                <w:bCs/>
                <w:position w:val="0"/>
                <w:szCs w:val="20"/>
              </w:rPr>
            </w:pPr>
            <w:r>
              <w:t>47</w:t>
            </w:r>
          </w:p>
        </w:tc>
        <w:tc>
          <w:tcPr>
            <w:tcW w:w="822" w:type="dxa"/>
            <w:noWrap/>
            <w:vAlign w:val="bottom"/>
          </w:tcPr>
          <w:p w:rsidR="007E17E5" w:rsidRPr="002B19DA" w:rsidRDefault="007E17E5" w:rsidP="00913ADE">
            <w:pPr>
              <w:ind w:left="0"/>
              <w:jc w:val="right"/>
              <w:rPr>
                <w:rFonts w:cs="Lucida Sans Unicode"/>
                <w:bCs/>
                <w:position w:val="0"/>
                <w:szCs w:val="20"/>
              </w:rPr>
            </w:pPr>
            <w:r>
              <w:t>394</w:t>
            </w:r>
          </w:p>
        </w:tc>
        <w:tc>
          <w:tcPr>
            <w:tcW w:w="823" w:type="dxa"/>
            <w:shd w:val="clear" w:color="auto" w:fill="CCCCCC"/>
            <w:noWrap/>
            <w:vAlign w:val="bottom"/>
          </w:tcPr>
          <w:p w:rsidR="007E17E5" w:rsidRPr="002B19DA" w:rsidRDefault="007E17E5" w:rsidP="00913ADE">
            <w:pPr>
              <w:ind w:left="0"/>
              <w:jc w:val="right"/>
              <w:rPr>
                <w:rFonts w:cs="Lucida Sans Unicode"/>
                <w:bCs/>
                <w:position w:val="0"/>
                <w:szCs w:val="20"/>
              </w:rPr>
            </w:pPr>
            <w:r>
              <w:t>633</w:t>
            </w:r>
          </w:p>
        </w:tc>
        <w:tc>
          <w:tcPr>
            <w:tcW w:w="822" w:type="dxa"/>
            <w:noWrap/>
            <w:vAlign w:val="bottom"/>
          </w:tcPr>
          <w:p w:rsidR="007E17E5" w:rsidRPr="002B19DA" w:rsidRDefault="007E17E5" w:rsidP="00913ADE">
            <w:pPr>
              <w:ind w:left="0"/>
              <w:jc w:val="right"/>
              <w:rPr>
                <w:rFonts w:cs="Lucida Sans Unicode"/>
                <w:bCs/>
                <w:position w:val="0"/>
                <w:szCs w:val="20"/>
              </w:rPr>
            </w:pPr>
            <w:r>
              <w:t>663</w:t>
            </w:r>
          </w:p>
        </w:tc>
        <w:tc>
          <w:tcPr>
            <w:tcW w:w="822" w:type="dxa"/>
            <w:noWrap/>
            <w:vAlign w:val="bottom"/>
          </w:tcPr>
          <w:p w:rsidR="007E17E5" w:rsidRPr="002B19DA" w:rsidRDefault="007E17E5" w:rsidP="00913ADE">
            <w:pPr>
              <w:ind w:left="0"/>
              <w:jc w:val="right"/>
              <w:rPr>
                <w:rFonts w:cs="Lucida Sans Unicode"/>
                <w:bCs/>
                <w:position w:val="0"/>
                <w:szCs w:val="20"/>
              </w:rPr>
            </w:pPr>
            <w:r>
              <w:t>-5</w:t>
            </w:r>
          </w:p>
        </w:tc>
      </w:tr>
      <w:tr w:rsidR="007E17E5" w:rsidTr="00913ADE">
        <w:trPr>
          <w:trHeight w:val="300"/>
        </w:trPr>
        <w:tc>
          <w:tcPr>
            <w:tcW w:w="4835" w:type="dxa"/>
            <w:gridSpan w:val="2"/>
            <w:noWrap/>
            <w:vAlign w:val="bottom"/>
          </w:tcPr>
          <w:p w:rsidR="007E17E5" w:rsidRPr="00E83E1D" w:rsidRDefault="007E17E5" w:rsidP="00913ADE">
            <w:pPr>
              <w:ind w:left="0"/>
              <w:rPr>
                <w:rFonts w:cs="Lucida Sans Unicode"/>
                <w:position w:val="0"/>
                <w:szCs w:val="20"/>
              </w:rPr>
            </w:pPr>
            <w:r>
              <w:t xml:space="preserve">Income </w:t>
            </w:r>
            <w:proofErr w:type="spellStart"/>
            <w:r>
              <w:t>taxes</w:t>
            </w:r>
            <w:proofErr w:type="spellEnd"/>
          </w:p>
        </w:tc>
        <w:tc>
          <w:tcPr>
            <w:tcW w:w="823" w:type="dxa"/>
            <w:shd w:val="clear" w:color="auto" w:fill="CCCCCC"/>
            <w:noWrap/>
            <w:vAlign w:val="bottom"/>
          </w:tcPr>
          <w:p w:rsidR="007E17E5" w:rsidRDefault="007E17E5" w:rsidP="00913ADE">
            <w:pPr>
              <w:ind w:left="0"/>
              <w:jc w:val="right"/>
              <w:rPr>
                <w:rFonts w:cs="Lucida Sans Unicode"/>
                <w:position w:val="0"/>
                <w:szCs w:val="20"/>
              </w:rPr>
            </w:pPr>
            <w:r>
              <w:t>-64</w:t>
            </w:r>
          </w:p>
        </w:tc>
        <w:tc>
          <w:tcPr>
            <w:tcW w:w="822" w:type="dxa"/>
            <w:noWrap/>
            <w:vAlign w:val="bottom"/>
          </w:tcPr>
          <w:p w:rsidR="007E17E5" w:rsidRDefault="007E17E5" w:rsidP="00913ADE">
            <w:pPr>
              <w:ind w:left="0"/>
              <w:jc w:val="right"/>
              <w:rPr>
                <w:rFonts w:cs="Lucida Sans Unicode"/>
                <w:position w:val="0"/>
                <w:szCs w:val="20"/>
              </w:rPr>
            </w:pPr>
            <w:r>
              <w:t>-17</w:t>
            </w:r>
          </w:p>
        </w:tc>
        <w:tc>
          <w:tcPr>
            <w:tcW w:w="822" w:type="dxa"/>
            <w:noWrap/>
            <w:vAlign w:val="bottom"/>
          </w:tcPr>
          <w:p w:rsidR="007E17E5" w:rsidRDefault="007E17E5" w:rsidP="00913ADE">
            <w:pPr>
              <w:ind w:left="0"/>
              <w:jc w:val="right"/>
              <w:rPr>
                <w:rFonts w:cs="Lucida Sans Unicode"/>
                <w:position w:val="0"/>
                <w:szCs w:val="20"/>
              </w:rPr>
            </w:pPr>
          </w:p>
        </w:tc>
        <w:tc>
          <w:tcPr>
            <w:tcW w:w="823" w:type="dxa"/>
            <w:shd w:val="clear" w:color="auto" w:fill="CCCCCC"/>
            <w:noWrap/>
            <w:vAlign w:val="bottom"/>
          </w:tcPr>
          <w:p w:rsidR="007E17E5" w:rsidRDefault="007E17E5" w:rsidP="00913ADE">
            <w:pPr>
              <w:ind w:left="0"/>
              <w:jc w:val="right"/>
              <w:rPr>
                <w:rFonts w:cs="Lucida Sans Unicode"/>
                <w:position w:val="0"/>
                <w:szCs w:val="20"/>
              </w:rPr>
            </w:pPr>
            <w:r>
              <w:t>-196</w:t>
            </w:r>
          </w:p>
        </w:tc>
        <w:tc>
          <w:tcPr>
            <w:tcW w:w="822" w:type="dxa"/>
            <w:noWrap/>
            <w:vAlign w:val="bottom"/>
          </w:tcPr>
          <w:p w:rsidR="007E17E5" w:rsidRDefault="007E17E5" w:rsidP="00913ADE">
            <w:pPr>
              <w:ind w:left="0"/>
              <w:jc w:val="right"/>
              <w:rPr>
                <w:rFonts w:cs="Lucida Sans Unicode"/>
                <w:position w:val="0"/>
                <w:szCs w:val="20"/>
              </w:rPr>
            </w:pPr>
            <w:r>
              <w:t>-182</w:t>
            </w:r>
          </w:p>
        </w:tc>
        <w:tc>
          <w:tcPr>
            <w:tcW w:w="822" w:type="dxa"/>
            <w:noWrap/>
            <w:vAlign w:val="bottom"/>
          </w:tcPr>
          <w:p w:rsidR="007E17E5" w:rsidRDefault="007E17E5" w:rsidP="00913ADE">
            <w:pPr>
              <w:ind w:left="0"/>
              <w:jc w:val="right"/>
              <w:rPr>
                <w:rFonts w:cs="Lucida Sans Unicode"/>
                <w:position w:val="0"/>
                <w:szCs w:val="20"/>
              </w:rPr>
            </w:pPr>
          </w:p>
        </w:tc>
      </w:tr>
      <w:tr w:rsidR="007E17E5" w:rsidTr="00913ADE">
        <w:trPr>
          <w:trHeight w:val="300"/>
        </w:trPr>
        <w:tc>
          <w:tcPr>
            <w:tcW w:w="4835" w:type="dxa"/>
            <w:gridSpan w:val="2"/>
            <w:noWrap/>
            <w:vAlign w:val="bottom"/>
          </w:tcPr>
          <w:p w:rsidR="007E17E5" w:rsidRPr="007E17E5" w:rsidRDefault="007E17E5" w:rsidP="00913ADE">
            <w:pPr>
              <w:ind w:left="0"/>
              <w:rPr>
                <w:rFonts w:cs="Lucida Sans Unicode"/>
                <w:bCs/>
                <w:szCs w:val="20"/>
                <w:lang w:val="en-US"/>
              </w:rPr>
            </w:pPr>
            <w:r w:rsidRPr="007E17E5">
              <w:rPr>
                <w:lang w:val="en-US"/>
              </w:rPr>
              <w:t>Income after taxes, continuing operations</w:t>
            </w:r>
          </w:p>
        </w:tc>
        <w:tc>
          <w:tcPr>
            <w:tcW w:w="823" w:type="dxa"/>
            <w:shd w:val="clear" w:color="auto" w:fill="CCCCCC"/>
            <w:noWrap/>
            <w:vAlign w:val="bottom"/>
          </w:tcPr>
          <w:p w:rsidR="007E17E5" w:rsidRPr="002B19DA" w:rsidRDefault="007E17E5" w:rsidP="00913ADE">
            <w:pPr>
              <w:ind w:left="0"/>
              <w:jc w:val="right"/>
              <w:rPr>
                <w:rFonts w:cs="Lucida Sans Unicode"/>
                <w:bCs/>
                <w:position w:val="0"/>
                <w:szCs w:val="20"/>
              </w:rPr>
            </w:pPr>
            <w:r>
              <w:t>168</w:t>
            </w:r>
          </w:p>
        </w:tc>
        <w:tc>
          <w:tcPr>
            <w:tcW w:w="822" w:type="dxa"/>
            <w:noWrap/>
            <w:vAlign w:val="bottom"/>
          </w:tcPr>
          <w:p w:rsidR="007E17E5" w:rsidRPr="002B19DA" w:rsidRDefault="007E17E5" w:rsidP="00913ADE">
            <w:pPr>
              <w:ind w:left="0"/>
              <w:jc w:val="right"/>
              <w:rPr>
                <w:rFonts w:cs="Lucida Sans Unicode"/>
                <w:bCs/>
                <w:position w:val="0"/>
                <w:szCs w:val="20"/>
              </w:rPr>
            </w:pPr>
            <w:r>
              <w:t>30</w:t>
            </w:r>
          </w:p>
        </w:tc>
        <w:tc>
          <w:tcPr>
            <w:tcW w:w="822" w:type="dxa"/>
            <w:noWrap/>
            <w:vAlign w:val="bottom"/>
          </w:tcPr>
          <w:p w:rsidR="007E17E5" w:rsidRPr="002B19DA" w:rsidRDefault="007E17E5" w:rsidP="00913ADE">
            <w:pPr>
              <w:ind w:left="0"/>
              <w:jc w:val="right"/>
              <w:rPr>
                <w:rFonts w:cs="Lucida Sans Unicode"/>
                <w:bCs/>
                <w:position w:val="0"/>
                <w:szCs w:val="20"/>
              </w:rPr>
            </w:pPr>
            <w:r>
              <w:t>460</w:t>
            </w:r>
          </w:p>
        </w:tc>
        <w:tc>
          <w:tcPr>
            <w:tcW w:w="823" w:type="dxa"/>
            <w:shd w:val="clear" w:color="auto" w:fill="CCCCCC"/>
            <w:noWrap/>
            <w:vAlign w:val="bottom"/>
          </w:tcPr>
          <w:p w:rsidR="007E17E5" w:rsidRPr="002B19DA" w:rsidRDefault="007E17E5" w:rsidP="00913ADE">
            <w:pPr>
              <w:ind w:left="0"/>
              <w:jc w:val="right"/>
              <w:rPr>
                <w:rFonts w:cs="Lucida Sans Unicode"/>
                <w:bCs/>
                <w:position w:val="0"/>
                <w:szCs w:val="20"/>
              </w:rPr>
            </w:pPr>
            <w:r>
              <w:t>437</w:t>
            </w:r>
          </w:p>
        </w:tc>
        <w:tc>
          <w:tcPr>
            <w:tcW w:w="822" w:type="dxa"/>
            <w:noWrap/>
            <w:vAlign w:val="bottom"/>
          </w:tcPr>
          <w:p w:rsidR="007E17E5" w:rsidRPr="002B19DA" w:rsidRDefault="007E17E5" w:rsidP="00913ADE">
            <w:pPr>
              <w:ind w:left="0"/>
              <w:jc w:val="right"/>
              <w:rPr>
                <w:rFonts w:cs="Lucida Sans Unicode"/>
                <w:bCs/>
                <w:position w:val="0"/>
                <w:szCs w:val="20"/>
              </w:rPr>
            </w:pPr>
            <w:r>
              <w:t>481</w:t>
            </w:r>
          </w:p>
        </w:tc>
        <w:tc>
          <w:tcPr>
            <w:tcW w:w="822" w:type="dxa"/>
            <w:noWrap/>
            <w:vAlign w:val="bottom"/>
          </w:tcPr>
          <w:p w:rsidR="007E17E5" w:rsidRPr="002B19DA" w:rsidRDefault="007E17E5" w:rsidP="00913ADE">
            <w:pPr>
              <w:ind w:left="0"/>
              <w:jc w:val="right"/>
              <w:rPr>
                <w:rFonts w:cs="Lucida Sans Unicode"/>
                <w:bCs/>
                <w:position w:val="0"/>
                <w:szCs w:val="20"/>
              </w:rPr>
            </w:pPr>
            <w:r>
              <w:t>-9</w:t>
            </w:r>
          </w:p>
        </w:tc>
      </w:tr>
      <w:tr w:rsidR="007E17E5" w:rsidTr="00913ADE">
        <w:trPr>
          <w:gridBefore w:val="1"/>
          <w:trHeight w:val="300"/>
        </w:trPr>
        <w:tc>
          <w:tcPr>
            <w:tcW w:w="4835" w:type="dxa"/>
            <w:noWrap/>
            <w:vAlign w:val="bottom"/>
          </w:tcPr>
          <w:p w:rsidR="007E17E5" w:rsidRPr="007E17E5" w:rsidRDefault="007E17E5" w:rsidP="00913ADE">
            <w:pPr>
              <w:ind w:left="0"/>
              <w:rPr>
                <w:rFonts w:cs="Lucida Sans Unicode"/>
                <w:position w:val="0"/>
                <w:szCs w:val="20"/>
                <w:lang w:val="en-US"/>
              </w:rPr>
            </w:pPr>
            <w:r w:rsidRPr="007E17E5">
              <w:rPr>
                <w:lang w:val="en-US"/>
              </w:rPr>
              <w:t>Income after taxes, discontinued operations</w:t>
            </w:r>
          </w:p>
        </w:tc>
        <w:tc>
          <w:tcPr>
            <w:tcW w:w="823" w:type="dxa"/>
            <w:shd w:val="clear" w:color="auto" w:fill="CCCCCC"/>
            <w:noWrap/>
            <w:vAlign w:val="bottom"/>
          </w:tcPr>
          <w:p w:rsidR="007E17E5" w:rsidRDefault="007E17E5" w:rsidP="00913ADE">
            <w:pPr>
              <w:ind w:left="0"/>
              <w:jc w:val="right"/>
              <w:rPr>
                <w:rFonts w:cs="Lucida Sans Unicode"/>
                <w:position w:val="0"/>
                <w:szCs w:val="20"/>
              </w:rPr>
            </w:pPr>
            <w:r>
              <w:t>-54</w:t>
            </w:r>
          </w:p>
        </w:tc>
        <w:tc>
          <w:tcPr>
            <w:tcW w:w="822" w:type="dxa"/>
            <w:noWrap/>
            <w:vAlign w:val="bottom"/>
          </w:tcPr>
          <w:p w:rsidR="007E17E5" w:rsidRDefault="007E17E5" w:rsidP="00913ADE">
            <w:pPr>
              <w:ind w:left="0"/>
              <w:jc w:val="right"/>
              <w:rPr>
                <w:rFonts w:cs="Lucida Sans Unicode"/>
                <w:position w:val="0"/>
                <w:szCs w:val="20"/>
              </w:rPr>
            </w:pPr>
            <w:r>
              <w:t>1,351</w:t>
            </w:r>
          </w:p>
        </w:tc>
        <w:tc>
          <w:tcPr>
            <w:tcW w:w="822" w:type="dxa"/>
            <w:noWrap/>
            <w:vAlign w:val="bottom"/>
          </w:tcPr>
          <w:p w:rsidR="007E17E5" w:rsidRDefault="007E17E5" w:rsidP="00913ADE">
            <w:pPr>
              <w:ind w:left="0"/>
              <w:rPr>
                <w:rFonts w:cs="Lucida Sans Unicode"/>
                <w:position w:val="0"/>
                <w:szCs w:val="20"/>
              </w:rPr>
            </w:pPr>
          </w:p>
        </w:tc>
        <w:tc>
          <w:tcPr>
            <w:tcW w:w="823" w:type="dxa"/>
            <w:shd w:val="clear" w:color="auto" w:fill="CCCCCC"/>
            <w:noWrap/>
            <w:vAlign w:val="bottom"/>
          </w:tcPr>
          <w:p w:rsidR="007E17E5" w:rsidRDefault="007E17E5" w:rsidP="00913ADE">
            <w:pPr>
              <w:ind w:left="0"/>
              <w:jc w:val="right"/>
              <w:rPr>
                <w:rFonts w:cs="Lucida Sans Unicode"/>
                <w:position w:val="0"/>
                <w:szCs w:val="20"/>
              </w:rPr>
            </w:pPr>
            <w:r>
              <w:t>-11</w:t>
            </w:r>
          </w:p>
        </w:tc>
        <w:tc>
          <w:tcPr>
            <w:tcW w:w="822" w:type="dxa"/>
            <w:noWrap/>
            <w:vAlign w:val="bottom"/>
          </w:tcPr>
          <w:p w:rsidR="007E17E5" w:rsidRDefault="007E17E5" w:rsidP="00913ADE">
            <w:pPr>
              <w:ind w:left="0"/>
              <w:jc w:val="right"/>
              <w:rPr>
                <w:rFonts w:cs="Lucida Sans Unicode"/>
                <w:position w:val="0"/>
                <w:szCs w:val="20"/>
              </w:rPr>
            </w:pPr>
            <w:r>
              <w:t>1,377</w:t>
            </w:r>
          </w:p>
        </w:tc>
        <w:tc>
          <w:tcPr>
            <w:tcW w:w="822" w:type="dxa"/>
            <w:noWrap/>
            <w:vAlign w:val="bottom"/>
          </w:tcPr>
          <w:p w:rsidR="007E17E5" w:rsidRDefault="007E17E5" w:rsidP="00913ADE">
            <w:pPr>
              <w:ind w:left="0"/>
              <w:rPr>
                <w:rFonts w:cs="Lucida Sans Unicode"/>
                <w:position w:val="0"/>
                <w:szCs w:val="20"/>
              </w:rPr>
            </w:pPr>
          </w:p>
        </w:tc>
      </w:tr>
      <w:tr w:rsidR="007E17E5" w:rsidTr="00913ADE">
        <w:trPr>
          <w:gridBefore w:val="1"/>
          <w:trHeight w:val="300"/>
        </w:trPr>
        <w:tc>
          <w:tcPr>
            <w:tcW w:w="4835" w:type="dxa"/>
            <w:noWrap/>
            <w:vAlign w:val="bottom"/>
          </w:tcPr>
          <w:p w:rsidR="007E17E5" w:rsidRPr="00E83E1D" w:rsidRDefault="007E17E5" w:rsidP="00913ADE">
            <w:pPr>
              <w:ind w:left="0"/>
              <w:rPr>
                <w:rFonts w:cs="Lucida Sans Unicode"/>
                <w:bCs/>
                <w:szCs w:val="20"/>
              </w:rPr>
            </w:pPr>
            <w:r>
              <w:t xml:space="preserve">Income after </w:t>
            </w:r>
            <w:proofErr w:type="spellStart"/>
            <w:r>
              <w:t>taxes</w:t>
            </w:r>
            <w:proofErr w:type="spellEnd"/>
          </w:p>
        </w:tc>
        <w:tc>
          <w:tcPr>
            <w:tcW w:w="823" w:type="dxa"/>
            <w:shd w:val="clear" w:color="auto" w:fill="CCCCCC"/>
            <w:noWrap/>
            <w:vAlign w:val="bottom"/>
          </w:tcPr>
          <w:p w:rsidR="007E17E5" w:rsidRPr="002B19DA" w:rsidRDefault="007E17E5" w:rsidP="00913ADE">
            <w:pPr>
              <w:ind w:left="0"/>
              <w:jc w:val="right"/>
              <w:rPr>
                <w:rFonts w:cs="Lucida Sans Unicode"/>
                <w:bCs/>
                <w:position w:val="0"/>
                <w:szCs w:val="20"/>
              </w:rPr>
            </w:pPr>
            <w:r>
              <w:t>114</w:t>
            </w:r>
          </w:p>
        </w:tc>
        <w:tc>
          <w:tcPr>
            <w:tcW w:w="822" w:type="dxa"/>
            <w:noWrap/>
            <w:vAlign w:val="bottom"/>
          </w:tcPr>
          <w:p w:rsidR="007E17E5" w:rsidRPr="002B19DA" w:rsidRDefault="007E17E5" w:rsidP="00913ADE">
            <w:pPr>
              <w:ind w:left="0"/>
              <w:jc w:val="right"/>
              <w:rPr>
                <w:rFonts w:cs="Lucida Sans Unicode"/>
                <w:bCs/>
                <w:position w:val="0"/>
                <w:szCs w:val="20"/>
              </w:rPr>
            </w:pPr>
            <w:r>
              <w:t>1,381</w:t>
            </w:r>
          </w:p>
        </w:tc>
        <w:tc>
          <w:tcPr>
            <w:tcW w:w="822" w:type="dxa"/>
            <w:noWrap/>
            <w:vAlign w:val="bottom"/>
          </w:tcPr>
          <w:p w:rsidR="007E17E5" w:rsidRPr="002B19DA" w:rsidRDefault="007E17E5" w:rsidP="00913ADE">
            <w:pPr>
              <w:ind w:left="0"/>
              <w:jc w:val="right"/>
              <w:rPr>
                <w:rFonts w:cs="Lucida Sans Unicode"/>
                <w:bCs/>
                <w:position w:val="0"/>
                <w:szCs w:val="20"/>
              </w:rPr>
            </w:pPr>
            <w:r>
              <w:t>-92</w:t>
            </w:r>
          </w:p>
        </w:tc>
        <w:tc>
          <w:tcPr>
            <w:tcW w:w="823" w:type="dxa"/>
            <w:shd w:val="clear" w:color="auto" w:fill="CCCCCC"/>
            <w:noWrap/>
            <w:vAlign w:val="bottom"/>
          </w:tcPr>
          <w:p w:rsidR="007E17E5" w:rsidRPr="002B19DA" w:rsidRDefault="007E17E5" w:rsidP="00913ADE">
            <w:pPr>
              <w:ind w:left="0"/>
              <w:jc w:val="right"/>
              <w:rPr>
                <w:rFonts w:cs="Lucida Sans Unicode"/>
                <w:position w:val="0"/>
                <w:szCs w:val="20"/>
              </w:rPr>
            </w:pPr>
            <w:r>
              <w:t>426</w:t>
            </w:r>
          </w:p>
        </w:tc>
        <w:tc>
          <w:tcPr>
            <w:tcW w:w="822" w:type="dxa"/>
            <w:noWrap/>
            <w:vAlign w:val="bottom"/>
          </w:tcPr>
          <w:p w:rsidR="007E17E5" w:rsidRPr="002B19DA" w:rsidRDefault="007E17E5" w:rsidP="00913ADE">
            <w:pPr>
              <w:ind w:left="0"/>
              <w:jc w:val="right"/>
              <w:rPr>
                <w:rFonts w:cs="Lucida Sans Unicode"/>
                <w:position w:val="0"/>
                <w:szCs w:val="20"/>
              </w:rPr>
            </w:pPr>
            <w:r>
              <w:t>1,858</w:t>
            </w:r>
          </w:p>
        </w:tc>
        <w:tc>
          <w:tcPr>
            <w:tcW w:w="822" w:type="dxa"/>
            <w:noWrap/>
            <w:vAlign w:val="bottom"/>
          </w:tcPr>
          <w:p w:rsidR="007E17E5" w:rsidRPr="002B19DA" w:rsidRDefault="007E17E5" w:rsidP="00913ADE">
            <w:pPr>
              <w:ind w:left="0"/>
              <w:jc w:val="right"/>
              <w:rPr>
                <w:rFonts w:cs="Lucida Sans Unicode"/>
                <w:position w:val="0"/>
                <w:szCs w:val="20"/>
              </w:rPr>
            </w:pPr>
            <w:r>
              <w:t>-77</w:t>
            </w:r>
          </w:p>
        </w:tc>
      </w:tr>
      <w:tr w:rsidR="007E17E5" w:rsidTr="00913ADE">
        <w:trPr>
          <w:gridBefore w:val="1"/>
          <w:trHeight w:val="255"/>
        </w:trPr>
        <w:tc>
          <w:tcPr>
            <w:tcW w:w="4835" w:type="dxa"/>
            <w:noWrap/>
            <w:vAlign w:val="bottom"/>
          </w:tcPr>
          <w:p w:rsidR="007E17E5" w:rsidRPr="007E17E5" w:rsidRDefault="007E17E5" w:rsidP="00913ADE">
            <w:pPr>
              <w:ind w:left="0"/>
              <w:rPr>
                <w:rFonts w:cs="Lucida Sans Unicode"/>
                <w:position w:val="0"/>
                <w:szCs w:val="20"/>
                <w:lang w:val="en-US"/>
              </w:rPr>
            </w:pPr>
            <w:r w:rsidRPr="007E17E5">
              <w:rPr>
                <w:lang w:val="en-US"/>
              </w:rPr>
              <w:t>thereof attributable to non-controlling interests</w:t>
            </w:r>
          </w:p>
        </w:tc>
        <w:tc>
          <w:tcPr>
            <w:tcW w:w="823" w:type="dxa"/>
            <w:shd w:val="clear" w:color="auto" w:fill="CCCCCC"/>
            <w:noWrap/>
            <w:vAlign w:val="bottom"/>
          </w:tcPr>
          <w:p w:rsidR="007E17E5" w:rsidRDefault="007E17E5" w:rsidP="00913ADE">
            <w:pPr>
              <w:ind w:left="0"/>
              <w:jc w:val="right"/>
              <w:rPr>
                <w:rFonts w:cs="Lucida Sans Unicode"/>
                <w:position w:val="0"/>
                <w:szCs w:val="20"/>
              </w:rPr>
            </w:pPr>
            <w:r>
              <w:t>3</w:t>
            </w:r>
          </w:p>
        </w:tc>
        <w:tc>
          <w:tcPr>
            <w:tcW w:w="822" w:type="dxa"/>
            <w:noWrap/>
            <w:vAlign w:val="bottom"/>
          </w:tcPr>
          <w:p w:rsidR="007E17E5" w:rsidRDefault="007E17E5" w:rsidP="00913ADE">
            <w:pPr>
              <w:ind w:left="0"/>
              <w:jc w:val="right"/>
              <w:rPr>
                <w:rFonts w:cs="Lucida Sans Unicode"/>
                <w:position w:val="0"/>
                <w:szCs w:val="20"/>
              </w:rPr>
            </w:pPr>
            <w:r>
              <w:t>-92</w:t>
            </w:r>
          </w:p>
        </w:tc>
        <w:tc>
          <w:tcPr>
            <w:tcW w:w="822" w:type="dxa"/>
            <w:noWrap/>
            <w:vAlign w:val="bottom"/>
          </w:tcPr>
          <w:p w:rsidR="007E17E5" w:rsidRDefault="007E17E5" w:rsidP="00913ADE">
            <w:pPr>
              <w:ind w:left="0"/>
              <w:rPr>
                <w:rFonts w:cs="Lucida Sans Unicode"/>
                <w:position w:val="0"/>
                <w:szCs w:val="20"/>
              </w:rPr>
            </w:pPr>
          </w:p>
        </w:tc>
        <w:tc>
          <w:tcPr>
            <w:tcW w:w="823" w:type="dxa"/>
            <w:shd w:val="clear" w:color="auto" w:fill="CCCCCC"/>
            <w:noWrap/>
            <w:vAlign w:val="bottom"/>
          </w:tcPr>
          <w:p w:rsidR="007E17E5" w:rsidRDefault="007E17E5" w:rsidP="00913ADE">
            <w:pPr>
              <w:ind w:left="0"/>
              <w:jc w:val="right"/>
              <w:rPr>
                <w:rFonts w:cs="Lucida Sans Unicode"/>
                <w:bCs/>
                <w:position w:val="0"/>
                <w:szCs w:val="20"/>
              </w:rPr>
            </w:pPr>
            <w:r>
              <w:t>10</w:t>
            </w:r>
          </w:p>
        </w:tc>
        <w:tc>
          <w:tcPr>
            <w:tcW w:w="822" w:type="dxa"/>
            <w:noWrap/>
            <w:vAlign w:val="bottom"/>
          </w:tcPr>
          <w:p w:rsidR="007E17E5" w:rsidRDefault="007E17E5" w:rsidP="00913ADE">
            <w:pPr>
              <w:ind w:left="0"/>
              <w:jc w:val="right"/>
              <w:rPr>
                <w:rFonts w:cs="Lucida Sans Unicode"/>
                <w:bCs/>
                <w:position w:val="0"/>
                <w:szCs w:val="20"/>
              </w:rPr>
            </w:pPr>
            <w:r>
              <w:t>-101</w:t>
            </w:r>
          </w:p>
        </w:tc>
        <w:tc>
          <w:tcPr>
            <w:tcW w:w="822" w:type="dxa"/>
            <w:noWrap/>
            <w:vAlign w:val="bottom"/>
          </w:tcPr>
          <w:p w:rsidR="007E17E5" w:rsidRDefault="007E17E5" w:rsidP="00913ADE">
            <w:pPr>
              <w:ind w:left="0"/>
              <w:jc w:val="right"/>
              <w:rPr>
                <w:rFonts w:cs="Lucida Sans Unicode"/>
                <w:b/>
                <w:bCs/>
                <w:position w:val="0"/>
                <w:szCs w:val="20"/>
              </w:rPr>
            </w:pPr>
          </w:p>
        </w:tc>
      </w:tr>
      <w:tr w:rsidR="007E17E5" w:rsidRPr="00DA2E4E" w:rsidTr="00913ADE">
        <w:trPr>
          <w:gridBefore w:val="1"/>
          <w:trHeight w:val="255"/>
        </w:trPr>
        <w:tc>
          <w:tcPr>
            <w:tcW w:w="4835" w:type="dxa"/>
            <w:noWrap/>
            <w:vAlign w:val="bottom"/>
          </w:tcPr>
          <w:p w:rsidR="007E17E5" w:rsidRPr="00D174CB" w:rsidRDefault="007E17E5" w:rsidP="00913ADE">
            <w:pPr>
              <w:ind w:left="0"/>
              <w:rPr>
                <w:rFonts w:cs="Lucida Sans Unicode"/>
                <w:position w:val="0"/>
                <w:szCs w:val="20"/>
              </w:rPr>
            </w:pPr>
            <w:r>
              <w:t xml:space="preserve">Net </w:t>
            </w:r>
            <w:proofErr w:type="spellStart"/>
            <w:r>
              <w:t>income</w:t>
            </w:r>
            <w:proofErr w:type="spellEnd"/>
          </w:p>
        </w:tc>
        <w:tc>
          <w:tcPr>
            <w:tcW w:w="823" w:type="dxa"/>
            <w:shd w:val="clear" w:color="auto" w:fill="CCCCCC"/>
            <w:noWrap/>
            <w:vAlign w:val="bottom"/>
          </w:tcPr>
          <w:p w:rsidR="007E17E5" w:rsidRPr="00F73E17" w:rsidRDefault="007E17E5" w:rsidP="00913ADE">
            <w:pPr>
              <w:ind w:left="0"/>
              <w:jc w:val="right"/>
              <w:rPr>
                <w:rFonts w:cs="Lucida Sans Unicode"/>
                <w:bCs/>
                <w:position w:val="0"/>
                <w:szCs w:val="20"/>
              </w:rPr>
            </w:pPr>
            <w:r>
              <w:t>111</w:t>
            </w:r>
          </w:p>
        </w:tc>
        <w:tc>
          <w:tcPr>
            <w:tcW w:w="822" w:type="dxa"/>
            <w:noWrap/>
            <w:vAlign w:val="bottom"/>
          </w:tcPr>
          <w:p w:rsidR="007E17E5" w:rsidRPr="00F73E17" w:rsidRDefault="007E17E5" w:rsidP="00913ADE">
            <w:pPr>
              <w:ind w:left="0"/>
              <w:jc w:val="right"/>
              <w:rPr>
                <w:rFonts w:cs="Lucida Sans Unicode"/>
                <w:bCs/>
                <w:position w:val="0"/>
                <w:szCs w:val="20"/>
              </w:rPr>
            </w:pPr>
            <w:r>
              <w:t>1,473</w:t>
            </w:r>
          </w:p>
        </w:tc>
        <w:tc>
          <w:tcPr>
            <w:tcW w:w="822" w:type="dxa"/>
            <w:noWrap/>
            <w:vAlign w:val="bottom"/>
          </w:tcPr>
          <w:p w:rsidR="007E17E5" w:rsidRPr="00F73E17" w:rsidRDefault="007E17E5" w:rsidP="00913ADE">
            <w:pPr>
              <w:ind w:left="0"/>
              <w:jc w:val="right"/>
              <w:rPr>
                <w:rFonts w:cs="Lucida Sans Unicode"/>
                <w:bCs/>
                <w:position w:val="0"/>
                <w:szCs w:val="20"/>
              </w:rPr>
            </w:pPr>
            <w:r>
              <w:t>-92</w:t>
            </w:r>
          </w:p>
        </w:tc>
        <w:tc>
          <w:tcPr>
            <w:tcW w:w="823" w:type="dxa"/>
            <w:shd w:val="clear" w:color="auto" w:fill="CCCCCC"/>
            <w:noWrap/>
            <w:vAlign w:val="bottom"/>
          </w:tcPr>
          <w:p w:rsidR="007E17E5" w:rsidRPr="00F73E17" w:rsidRDefault="007E17E5" w:rsidP="00913ADE">
            <w:pPr>
              <w:ind w:left="0"/>
              <w:jc w:val="right"/>
              <w:rPr>
                <w:rFonts w:cs="Lucida Sans Unicode"/>
                <w:bCs/>
                <w:position w:val="0"/>
                <w:szCs w:val="20"/>
              </w:rPr>
            </w:pPr>
            <w:r>
              <w:t>416</w:t>
            </w:r>
          </w:p>
        </w:tc>
        <w:tc>
          <w:tcPr>
            <w:tcW w:w="822" w:type="dxa"/>
            <w:noWrap/>
            <w:vAlign w:val="bottom"/>
          </w:tcPr>
          <w:p w:rsidR="007E17E5" w:rsidRPr="00F73E17" w:rsidRDefault="007E17E5" w:rsidP="00913ADE">
            <w:pPr>
              <w:ind w:left="0"/>
              <w:jc w:val="right"/>
              <w:rPr>
                <w:rFonts w:cs="Lucida Sans Unicode"/>
                <w:bCs/>
                <w:position w:val="0"/>
                <w:szCs w:val="20"/>
              </w:rPr>
            </w:pPr>
            <w:r>
              <w:t>1,959</w:t>
            </w:r>
          </w:p>
        </w:tc>
        <w:tc>
          <w:tcPr>
            <w:tcW w:w="822" w:type="dxa"/>
            <w:noWrap/>
            <w:vAlign w:val="bottom"/>
          </w:tcPr>
          <w:p w:rsidR="007E17E5" w:rsidRPr="00F73E17" w:rsidRDefault="007E17E5" w:rsidP="00913ADE">
            <w:pPr>
              <w:ind w:left="0"/>
              <w:jc w:val="right"/>
              <w:rPr>
                <w:rFonts w:cs="Lucida Sans Unicode"/>
                <w:bCs/>
                <w:position w:val="0"/>
                <w:szCs w:val="20"/>
              </w:rPr>
            </w:pPr>
            <w:r>
              <w:t>-79</w:t>
            </w:r>
          </w:p>
        </w:tc>
      </w:tr>
      <w:tr w:rsidR="007E17E5" w:rsidRPr="00DA2E4E" w:rsidTr="00913ADE">
        <w:trPr>
          <w:gridBefore w:val="1"/>
          <w:trHeight w:val="255"/>
        </w:trPr>
        <w:tc>
          <w:tcPr>
            <w:tcW w:w="4835" w:type="dxa"/>
            <w:noWrap/>
            <w:vAlign w:val="bottom"/>
          </w:tcPr>
          <w:p w:rsidR="007E17E5" w:rsidRPr="007E17E5" w:rsidRDefault="007E17E5" w:rsidP="00913ADE">
            <w:pPr>
              <w:ind w:left="0"/>
              <w:rPr>
                <w:rFonts w:cs="Lucida Sans Unicode"/>
                <w:b/>
                <w:position w:val="0"/>
                <w:szCs w:val="20"/>
                <w:lang w:val="en-US"/>
              </w:rPr>
            </w:pPr>
            <w:r w:rsidRPr="007E17E5">
              <w:rPr>
                <w:b/>
                <w:lang w:val="en-US"/>
              </w:rPr>
              <w:t>Adjusted net income</w:t>
            </w:r>
            <w:r w:rsidRPr="007E17E5">
              <w:rPr>
                <w:lang w:val="en-US"/>
              </w:rPr>
              <w:t xml:space="preserve"> (continuing operations)</w:t>
            </w:r>
          </w:p>
        </w:tc>
        <w:tc>
          <w:tcPr>
            <w:tcW w:w="823" w:type="dxa"/>
            <w:shd w:val="clear" w:color="auto" w:fill="CCCCCC"/>
            <w:noWrap/>
            <w:vAlign w:val="bottom"/>
          </w:tcPr>
          <w:p w:rsidR="007E17E5" w:rsidRPr="00DA2E4E" w:rsidRDefault="007E17E5" w:rsidP="00913ADE">
            <w:pPr>
              <w:ind w:left="0"/>
              <w:jc w:val="right"/>
              <w:rPr>
                <w:rFonts w:cs="Lucida Sans Unicode"/>
                <w:b/>
                <w:bCs/>
                <w:position w:val="0"/>
                <w:szCs w:val="20"/>
              </w:rPr>
            </w:pPr>
            <w:r>
              <w:rPr>
                <w:b/>
                <w:position w:val="0"/>
              </w:rPr>
              <w:t>213</w:t>
            </w:r>
          </w:p>
        </w:tc>
        <w:tc>
          <w:tcPr>
            <w:tcW w:w="822" w:type="dxa"/>
            <w:noWrap/>
            <w:vAlign w:val="bottom"/>
          </w:tcPr>
          <w:p w:rsidR="007E17E5" w:rsidRPr="00DA2E4E" w:rsidRDefault="007E17E5" w:rsidP="00913ADE">
            <w:pPr>
              <w:ind w:left="0"/>
              <w:jc w:val="right"/>
              <w:rPr>
                <w:rFonts w:cs="Lucida Sans Unicode"/>
                <w:b/>
                <w:bCs/>
                <w:position w:val="0"/>
                <w:szCs w:val="20"/>
              </w:rPr>
            </w:pPr>
            <w:r>
              <w:rPr>
                <w:b/>
                <w:position w:val="0"/>
              </w:rPr>
              <w:t>206</w:t>
            </w:r>
          </w:p>
        </w:tc>
        <w:tc>
          <w:tcPr>
            <w:tcW w:w="822" w:type="dxa"/>
            <w:noWrap/>
            <w:vAlign w:val="bottom"/>
          </w:tcPr>
          <w:p w:rsidR="007E17E5" w:rsidRPr="00DA2E4E" w:rsidRDefault="007E17E5" w:rsidP="00913ADE">
            <w:pPr>
              <w:ind w:left="0"/>
              <w:jc w:val="right"/>
              <w:rPr>
                <w:rFonts w:cs="Lucida Sans Unicode"/>
                <w:b/>
                <w:bCs/>
                <w:position w:val="0"/>
                <w:szCs w:val="20"/>
              </w:rPr>
            </w:pPr>
            <w:r>
              <w:rPr>
                <w:b/>
                <w:position w:val="0"/>
              </w:rPr>
              <w:t>3</w:t>
            </w:r>
          </w:p>
        </w:tc>
        <w:tc>
          <w:tcPr>
            <w:tcW w:w="823" w:type="dxa"/>
            <w:shd w:val="clear" w:color="auto" w:fill="CCCCCC"/>
            <w:noWrap/>
            <w:vAlign w:val="bottom"/>
          </w:tcPr>
          <w:p w:rsidR="007E17E5" w:rsidRPr="00DA2E4E" w:rsidRDefault="007E17E5" w:rsidP="00913ADE">
            <w:pPr>
              <w:ind w:left="0"/>
              <w:jc w:val="right"/>
              <w:rPr>
                <w:rFonts w:cs="Lucida Sans Unicode"/>
                <w:b/>
                <w:bCs/>
                <w:position w:val="0"/>
                <w:szCs w:val="20"/>
              </w:rPr>
            </w:pPr>
            <w:r>
              <w:rPr>
                <w:b/>
                <w:position w:val="0"/>
              </w:rPr>
              <w:t>561</w:t>
            </w:r>
          </w:p>
        </w:tc>
        <w:tc>
          <w:tcPr>
            <w:tcW w:w="822" w:type="dxa"/>
            <w:noWrap/>
            <w:vAlign w:val="bottom"/>
          </w:tcPr>
          <w:p w:rsidR="007E17E5" w:rsidRPr="00DA2E4E" w:rsidRDefault="007E17E5" w:rsidP="00913ADE">
            <w:pPr>
              <w:ind w:left="0"/>
              <w:jc w:val="right"/>
              <w:rPr>
                <w:rFonts w:cs="Lucida Sans Unicode"/>
                <w:b/>
                <w:bCs/>
                <w:position w:val="0"/>
                <w:szCs w:val="20"/>
              </w:rPr>
            </w:pPr>
            <w:r>
              <w:rPr>
                <w:b/>
                <w:position w:val="0"/>
              </w:rPr>
              <w:t>694</w:t>
            </w:r>
          </w:p>
        </w:tc>
        <w:tc>
          <w:tcPr>
            <w:tcW w:w="822" w:type="dxa"/>
            <w:noWrap/>
            <w:vAlign w:val="bottom"/>
          </w:tcPr>
          <w:p w:rsidR="007E17E5" w:rsidRPr="00DA2E4E" w:rsidRDefault="007E17E5" w:rsidP="00913ADE">
            <w:pPr>
              <w:ind w:left="0"/>
              <w:jc w:val="right"/>
              <w:rPr>
                <w:rFonts w:cs="Lucida Sans Unicode"/>
                <w:b/>
                <w:bCs/>
                <w:position w:val="0"/>
                <w:szCs w:val="20"/>
              </w:rPr>
            </w:pPr>
            <w:r>
              <w:rPr>
                <w:b/>
                <w:position w:val="0"/>
              </w:rPr>
              <w:t>-19</w:t>
            </w:r>
          </w:p>
        </w:tc>
      </w:tr>
    </w:tbl>
    <w:p w:rsidR="007E17E5" w:rsidRPr="0028315E" w:rsidRDefault="007E17E5" w:rsidP="007E17E5">
      <w:pPr>
        <w:spacing w:line="300" w:lineRule="exact"/>
        <w:ind w:left="0"/>
        <w:outlineLvl w:val="0"/>
        <w:rPr>
          <w:rFonts w:cs="Lucida Sans Unicode"/>
          <w:bCs/>
          <w:sz w:val="16"/>
          <w:szCs w:val="16"/>
        </w:rPr>
      </w:pPr>
      <w:r>
        <w:rPr>
          <w:sz w:val="16"/>
        </w:rPr>
        <w:t>Prior-</w:t>
      </w:r>
      <w:proofErr w:type="spellStart"/>
      <w:r>
        <w:rPr>
          <w:sz w:val="16"/>
        </w:rPr>
        <w:t>year</w:t>
      </w:r>
      <w:proofErr w:type="spellEnd"/>
      <w:r>
        <w:rPr>
          <w:sz w:val="16"/>
        </w:rPr>
        <w:t xml:space="preserve"> </w:t>
      </w:r>
      <w:proofErr w:type="spellStart"/>
      <w:r>
        <w:rPr>
          <w:sz w:val="16"/>
        </w:rPr>
        <w:t>figures</w:t>
      </w:r>
      <w:proofErr w:type="spellEnd"/>
      <w:r>
        <w:rPr>
          <w:sz w:val="16"/>
        </w:rPr>
        <w:t xml:space="preserve"> </w:t>
      </w:r>
      <w:proofErr w:type="spellStart"/>
      <w:r>
        <w:rPr>
          <w:sz w:val="16"/>
        </w:rPr>
        <w:t>restated</w:t>
      </w:r>
      <w:proofErr w:type="spellEnd"/>
      <w:r>
        <w:rPr>
          <w:sz w:val="16"/>
        </w:rPr>
        <w:t xml:space="preserve"> </w:t>
      </w:r>
    </w:p>
    <w:p w:rsidR="007E17E5" w:rsidRDefault="007E17E5" w:rsidP="007E17E5">
      <w:pPr>
        <w:spacing w:line="300" w:lineRule="exact"/>
        <w:ind w:left="0"/>
        <w:outlineLvl w:val="0"/>
        <w:rPr>
          <w:rFonts w:cs="Lucida Sans Unicode"/>
          <w:b/>
          <w:bCs/>
          <w:sz w:val="20"/>
          <w:szCs w:val="20"/>
        </w:rPr>
      </w:pPr>
    </w:p>
    <w:p w:rsidR="007E17E5" w:rsidRDefault="007E17E5" w:rsidP="007E17E5">
      <w:pPr>
        <w:spacing w:after="120" w:line="300" w:lineRule="atLeast"/>
        <w:ind w:left="0"/>
        <w:rPr>
          <w:rFonts w:cs="Lucida Sans Unicode"/>
          <w:b/>
          <w:bCs/>
          <w:sz w:val="20"/>
          <w:szCs w:val="20"/>
        </w:rPr>
      </w:pPr>
    </w:p>
    <w:p w:rsidR="007E17E5" w:rsidRDefault="007E17E5" w:rsidP="007E17E5">
      <w:pPr>
        <w:spacing w:after="120" w:line="300" w:lineRule="atLeast"/>
        <w:ind w:left="0"/>
        <w:rPr>
          <w:rFonts w:cs="Lucida Sans Unicode"/>
          <w:b/>
          <w:bCs/>
          <w:sz w:val="20"/>
          <w:szCs w:val="20"/>
        </w:rPr>
      </w:pPr>
      <w:r>
        <w:rPr>
          <w:b/>
          <w:sz w:val="20"/>
        </w:rPr>
        <w:t xml:space="preserve">Segment </w:t>
      </w:r>
      <w:proofErr w:type="spellStart"/>
      <w:r>
        <w:rPr>
          <w:b/>
          <w:sz w:val="20"/>
        </w:rPr>
        <w:t>performance</w:t>
      </w:r>
      <w:proofErr w:type="spellEnd"/>
    </w:p>
    <w:tbl>
      <w:tblPr>
        <w:tblW w:w="9884" w:type="dxa"/>
        <w:tblInd w:w="5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7E17E5" w:rsidTr="00913ADE">
        <w:trPr>
          <w:trHeight w:val="271"/>
        </w:trPr>
        <w:tc>
          <w:tcPr>
            <w:tcW w:w="3193" w:type="dxa"/>
            <w:tcBorders>
              <w:top w:val="single" w:sz="4" w:space="0" w:color="auto"/>
              <w:left w:val="single" w:sz="4" w:space="0" w:color="auto"/>
              <w:bottom w:val="nil"/>
              <w:right w:val="single" w:sz="4" w:space="0" w:color="auto"/>
            </w:tcBorders>
            <w:noWrap/>
            <w:vAlign w:val="center"/>
          </w:tcPr>
          <w:p w:rsidR="007E17E5" w:rsidRDefault="007E17E5" w:rsidP="00913ADE">
            <w:pPr>
              <w:ind w:left="0"/>
              <w:jc w:val="right"/>
              <w:rPr>
                <w:rFonts w:cs="Lucida Sans Unicode"/>
                <w:b/>
                <w:bCs/>
                <w:szCs w:val="20"/>
              </w:rPr>
            </w:pPr>
            <w:r>
              <w:rPr>
                <w:b/>
              </w:rPr>
              <w:t> </w:t>
            </w:r>
          </w:p>
        </w:tc>
        <w:tc>
          <w:tcPr>
            <w:tcW w:w="3375" w:type="dxa"/>
            <w:gridSpan w:val="3"/>
            <w:tcBorders>
              <w:top w:val="single" w:sz="4" w:space="0" w:color="auto"/>
              <w:left w:val="nil"/>
              <w:bottom w:val="single" w:sz="4" w:space="0" w:color="auto"/>
              <w:right w:val="single" w:sz="4" w:space="0" w:color="000000"/>
            </w:tcBorders>
            <w:noWrap/>
            <w:vAlign w:val="bottom"/>
          </w:tcPr>
          <w:p w:rsidR="007E17E5" w:rsidRDefault="007E17E5" w:rsidP="00913ADE">
            <w:pPr>
              <w:ind w:left="0"/>
              <w:jc w:val="center"/>
              <w:rPr>
                <w:rFonts w:cs="Lucida Sans Unicode"/>
                <w:b/>
                <w:bCs/>
                <w:szCs w:val="20"/>
              </w:rPr>
            </w:pPr>
            <w:proofErr w:type="spellStart"/>
            <w:r>
              <w:rPr>
                <w:b/>
              </w:rPr>
              <w:t>Sales</w:t>
            </w:r>
            <w:proofErr w:type="spellEnd"/>
            <w:r>
              <w:rPr>
                <w:b/>
              </w:rPr>
              <w:t xml:space="preserve"> Q3 </w:t>
            </w:r>
          </w:p>
        </w:tc>
        <w:tc>
          <w:tcPr>
            <w:tcW w:w="3316" w:type="dxa"/>
            <w:gridSpan w:val="4"/>
            <w:tcBorders>
              <w:top w:val="single" w:sz="4" w:space="0" w:color="auto"/>
              <w:left w:val="nil"/>
              <w:bottom w:val="single" w:sz="4" w:space="0" w:color="auto"/>
              <w:right w:val="single" w:sz="4" w:space="0" w:color="auto"/>
            </w:tcBorders>
            <w:noWrap/>
            <w:vAlign w:val="bottom"/>
          </w:tcPr>
          <w:p w:rsidR="007E17E5" w:rsidRDefault="007E17E5" w:rsidP="00913ADE">
            <w:pPr>
              <w:ind w:left="0"/>
              <w:jc w:val="center"/>
              <w:rPr>
                <w:rFonts w:cs="Lucida Sans Unicode"/>
                <w:b/>
                <w:bCs/>
                <w:szCs w:val="20"/>
              </w:rPr>
            </w:pPr>
            <w:proofErr w:type="spellStart"/>
            <w:r>
              <w:rPr>
                <w:b/>
              </w:rPr>
              <w:t>Adjusted</w:t>
            </w:r>
            <w:proofErr w:type="spellEnd"/>
            <w:r>
              <w:rPr>
                <w:b/>
              </w:rPr>
              <w:t xml:space="preserve"> EBITDA Q3</w:t>
            </w:r>
          </w:p>
        </w:tc>
      </w:tr>
      <w:tr w:rsidR="007E17E5" w:rsidTr="00913ADE">
        <w:trPr>
          <w:trHeight w:val="255"/>
        </w:trPr>
        <w:tc>
          <w:tcPr>
            <w:tcW w:w="3193" w:type="dxa"/>
            <w:tcBorders>
              <w:top w:val="nil"/>
              <w:left w:val="single" w:sz="4" w:space="0" w:color="auto"/>
              <w:bottom w:val="nil"/>
              <w:right w:val="single" w:sz="4" w:space="0" w:color="auto"/>
            </w:tcBorders>
            <w:noWrap/>
            <w:vAlign w:val="center"/>
          </w:tcPr>
          <w:p w:rsidR="007E17E5" w:rsidRDefault="007E17E5" w:rsidP="00913ADE">
            <w:pPr>
              <w:ind w:left="0"/>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7E17E5" w:rsidRDefault="007E17E5" w:rsidP="00913ADE">
            <w:pPr>
              <w:ind w:left="0"/>
              <w:jc w:val="center"/>
              <w:rPr>
                <w:rFonts w:cs="Lucida Sans Unicode"/>
                <w:b/>
                <w:bCs/>
                <w:szCs w:val="20"/>
              </w:rPr>
            </w:pPr>
            <w:r>
              <w:rPr>
                <w:b/>
              </w:rPr>
              <w:t>Q3 2014</w:t>
            </w:r>
          </w:p>
        </w:tc>
        <w:tc>
          <w:tcPr>
            <w:tcW w:w="1125" w:type="dxa"/>
            <w:tcBorders>
              <w:top w:val="single" w:sz="4" w:space="0" w:color="auto"/>
              <w:left w:val="single" w:sz="4" w:space="0" w:color="auto"/>
              <w:bottom w:val="nil"/>
              <w:right w:val="single" w:sz="4" w:space="0" w:color="auto"/>
            </w:tcBorders>
            <w:noWrap/>
            <w:vAlign w:val="bottom"/>
          </w:tcPr>
          <w:p w:rsidR="007E17E5" w:rsidRDefault="007E17E5" w:rsidP="00913ADE">
            <w:pPr>
              <w:ind w:left="0"/>
              <w:jc w:val="center"/>
              <w:rPr>
                <w:rFonts w:cs="Lucida Sans Unicode"/>
                <w:b/>
                <w:bCs/>
                <w:szCs w:val="20"/>
              </w:rPr>
            </w:pPr>
            <w:r>
              <w:rPr>
                <w:b/>
              </w:rPr>
              <w:t>Q3 2013</w:t>
            </w:r>
          </w:p>
        </w:tc>
        <w:tc>
          <w:tcPr>
            <w:tcW w:w="1125" w:type="dxa"/>
            <w:tcBorders>
              <w:top w:val="single" w:sz="4" w:space="0" w:color="auto"/>
              <w:left w:val="single" w:sz="4" w:space="0" w:color="auto"/>
              <w:bottom w:val="nil"/>
              <w:right w:val="single" w:sz="4" w:space="0" w:color="auto"/>
            </w:tcBorders>
            <w:noWrap/>
            <w:vAlign w:val="bottom"/>
          </w:tcPr>
          <w:p w:rsidR="007E17E5" w:rsidRDefault="007E17E5" w:rsidP="00913ADE">
            <w:pPr>
              <w:ind w:left="0"/>
              <w:jc w:val="center"/>
              <w:rPr>
                <w:rFonts w:cs="Lucida Sans Unicode"/>
                <w:b/>
                <w:bCs/>
                <w:szCs w:val="20"/>
              </w:rPr>
            </w:pPr>
            <w:r>
              <w:rPr>
                <w:b/>
              </w:rPr>
              <w:t>Change</w:t>
            </w:r>
          </w:p>
        </w:tc>
        <w:tc>
          <w:tcPr>
            <w:tcW w:w="1114" w:type="dxa"/>
            <w:tcBorders>
              <w:top w:val="single" w:sz="4" w:space="0" w:color="auto"/>
              <w:left w:val="nil"/>
              <w:right w:val="single" w:sz="4" w:space="0" w:color="auto"/>
            </w:tcBorders>
            <w:shd w:val="clear" w:color="auto" w:fill="CCCCCC"/>
            <w:noWrap/>
            <w:vAlign w:val="bottom"/>
          </w:tcPr>
          <w:p w:rsidR="007E17E5" w:rsidRDefault="007E17E5" w:rsidP="00913ADE">
            <w:pPr>
              <w:ind w:left="0"/>
              <w:jc w:val="center"/>
              <w:rPr>
                <w:rFonts w:cs="Lucida Sans Unicode"/>
                <w:b/>
                <w:bCs/>
                <w:szCs w:val="20"/>
              </w:rPr>
            </w:pPr>
            <w:r>
              <w:rPr>
                <w:b/>
              </w:rPr>
              <w:t>Q3 2014</w:t>
            </w:r>
          </w:p>
        </w:tc>
        <w:tc>
          <w:tcPr>
            <w:tcW w:w="1125" w:type="dxa"/>
            <w:gridSpan w:val="2"/>
            <w:tcBorders>
              <w:top w:val="single" w:sz="4" w:space="0" w:color="auto"/>
              <w:left w:val="single" w:sz="4" w:space="0" w:color="auto"/>
              <w:bottom w:val="nil"/>
              <w:right w:val="single" w:sz="4" w:space="0" w:color="auto"/>
            </w:tcBorders>
            <w:noWrap/>
            <w:vAlign w:val="bottom"/>
          </w:tcPr>
          <w:p w:rsidR="007E17E5" w:rsidRDefault="007E17E5" w:rsidP="00913ADE">
            <w:pPr>
              <w:ind w:left="0"/>
              <w:jc w:val="center"/>
              <w:rPr>
                <w:rFonts w:cs="Lucida Sans Unicode"/>
                <w:b/>
                <w:bCs/>
                <w:szCs w:val="20"/>
              </w:rPr>
            </w:pPr>
            <w:r>
              <w:rPr>
                <w:b/>
              </w:rPr>
              <w:t>Q3 2013</w:t>
            </w:r>
          </w:p>
        </w:tc>
        <w:tc>
          <w:tcPr>
            <w:tcW w:w="1077" w:type="dxa"/>
            <w:tcBorders>
              <w:top w:val="single" w:sz="4" w:space="0" w:color="auto"/>
              <w:left w:val="single" w:sz="4" w:space="0" w:color="auto"/>
              <w:bottom w:val="nil"/>
              <w:right w:val="single" w:sz="4" w:space="0" w:color="auto"/>
            </w:tcBorders>
            <w:noWrap/>
            <w:vAlign w:val="bottom"/>
          </w:tcPr>
          <w:p w:rsidR="007E17E5" w:rsidRDefault="007E17E5" w:rsidP="00913ADE">
            <w:pPr>
              <w:ind w:left="0"/>
              <w:jc w:val="center"/>
              <w:rPr>
                <w:rFonts w:cs="Lucida Sans Unicode"/>
                <w:b/>
                <w:bCs/>
                <w:szCs w:val="20"/>
              </w:rPr>
            </w:pPr>
            <w:r>
              <w:rPr>
                <w:b/>
              </w:rPr>
              <w:t>Change</w:t>
            </w:r>
          </w:p>
        </w:tc>
      </w:tr>
      <w:tr w:rsidR="007E17E5" w:rsidTr="00913ADE">
        <w:trPr>
          <w:trHeight w:val="255"/>
        </w:trPr>
        <w:tc>
          <w:tcPr>
            <w:tcW w:w="3193" w:type="dxa"/>
            <w:tcBorders>
              <w:top w:val="nil"/>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b/>
                <w:bCs/>
                <w:szCs w:val="20"/>
              </w:rPr>
            </w:pPr>
            <w:r>
              <w:rPr>
                <w:b/>
              </w:rPr>
              <w:t> </w:t>
            </w:r>
          </w:p>
        </w:tc>
        <w:tc>
          <w:tcPr>
            <w:tcW w:w="1125" w:type="dxa"/>
            <w:tcBorders>
              <w:left w:val="nil"/>
              <w:bottom w:val="single" w:sz="4" w:space="0" w:color="auto"/>
              <w:right w:val="single" w:sz="4" w:space="0" w:color="auto"/>
            </w:tcBorders>
            <w:shd w:val="clear" w:color="auto" w:fill="CCCCCC"/>
            <w:vAlign w:val="center"/>
          </w:tcPr>
          <w:p w:rsidR="007E17E5" w:rsidRDefault="007E17E5" w:rsidP="00913ADE">
            <w:pPr>
              <w:ind w:left="0"/>
              <w:jc w:val="center"/>
              <w:rPr>
                <w:rFonts w:cs="Lucida Sans Unicode"/>
                <w:b/>
                <w:bCs/>
                <w:szCs w:val="20"/>
              </w:rPr>
            </w:pPr>
            <w:r>
              <w:rPr>
                <w:b/>
              </w:rPr>
              <w:t>€ </w:t>
            </w:r>
            <w:proofErr w:type="spellStart"/>
            <w:r>
              <w:rPr>
                <w:b/>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7E17E5" w:rsidRDefault="007E17E5" w:rsidP="00913ADE">
            <w:pPr>
              <w:ind w:left="0"/>
              <w:jc w:val="center"/>
              <w:rPr>
                <w:rFonts w:cs="Lucida Sans Unicode"/>
                <w:b/>
                <w:bCs/>
                <w:szCs w:val="20"/>
              </w:rPr>
            </w:pPr>
            <w:r>
              <w:rPr>
                <w:b/>
              </w:rPr>
              <w:t>€ </w:t>
            </w:r>
            <w:proofErr w:type="spellStart"/>
            <w:r>
              <w:rPr>
                <w:b/>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7E17E5" w:rsidRDefault="007E17E5" w:rsidP="00913ADE">
            <w:pPr>
              <w:ind w:left="0"/>
              <w:jc w:val="center"/>
              <w:rPr>
                <w:rFonts w:cs="Lucida Sans Unicode"/>
                <w:b/>
                <w:bCs/>
                <w:szCs w:val="20"/>
              </w:rPr>
            </w:pPr>
            <w:r>
              <w:rPr>
                <w:b/>
              </w:rPr>
              <w:t>in %</w:t>
            </w:r>
          </w:p>
        </w:tc>
        <w:tc>
          <w:tcPr>
            <w:tcW w:w="1114" w:type="dxa"/>
            <w:tcBorders>
              <w:left w:val="nil"/>
              <w:bottom w:val="single" w:sz="4" w:space="0" w:color="auto"/>
              <w:right w:val="single" w:sz="4" w:space="0" w:color="auto"/>
            </w:tcBorders>
            <w:shd w:val="clear" w:color="auto" w:fill="CCCCCC"/>
            <w:vAlign w:val="center"/>
          </w:tcPr>
          <w:p w:rsidR="007E17E5" w:rsidRDefault="007E17E5" w:rsidP="00913ADE">
            <w:pPr>
              <w:ind w:left="0"/>
              <w:jc w:val="center"/>
              <w:rPr>
                <w:rFonts w:cs="Lucida Sans Unicode"/>
                <w:b/>
                <w:bCs/>
                <w:szCs w:val="20"/>
              </w:rPr>
            </w:pPr>
            <w:r>
              <w:rPr>
                <w:b/>
              </w:rPr>
              <w:t>€ </w:t>
            </w:r>
            <w:proofErr w:type="spellStart"/>
            <w:r>
              <w:rPr>
                <w:b/>
              </w:rPr>
              <w:t>million</w:t>
            </w:r>
            <w:proofErr w:type="spellEnd"/>
          </w:p>
        </w:tc>
        <w:tc>
          <w:tcPr>
            <w:tcW w:w="1125" w:type="dxa"/>
            <w:gridSpan w:val="2"/>
            <w:tcBorders>
              <w:top w:val="nil"/>
              <w:left w:val="single" w:sz="4" w:space="0" w:color="auto"/>
              <w:bottom w:val="single" w:sz="4" w:space="0" w:color="auto"/>
              <w:right w:val="single" w:sz="4" w:space="0" w:color="auto"/>
            </w:tcBorders>
            <w:vAlign w:val="center"/>
          </w:tcPr>
          <w:p w:rsidR="007E17E5" w:rsidRDefault="007E17E5" w:rsidP="00913ADE">
            <w:pPr>
              <w:ind w:left="0"/>
              <w:jc w:val="center"/>
              <w:rPr>
                <w:rFonts w:cs="Lucida Sans Unicode"/>
                <w:b/>
                <w:bCs/>
                <w:szCs w:val="20"/>
              </w:rPr>
            </w:pPr>
            <w:r>
              <w:rPr>
                <w:b/>
              </w:rPr>
              <w:t>€ </w:t>
            </w:r>
            <w:proofErr w:type="spellStart"/>
            <w:r>
              <w:rPr>
                <w:b/>
              </w:rPr>
              <w:t>million</w:t>
            </w:r>
            <w:proofErr w:type="spellEnd"/>
          </w:p>
        </w:tc>
        <w:tc>
          <w:tcPr>
            <w:tcW w:w="1077" w:type="dxa"/>
            <w:tcBorders>
              <w:top w:val="nil"/>
              <w:left w:val="single" w:sz="4" w:space="0" w:color="auto"/>
              <w:bottom w:val="single" w:sz="4" w:space="0" w:color="auto"/>
              <w:right w:val="single" w:sz="4" w:space="0" w:color="auto"/>
            </w:tcBorders>
            <w:vAlign w:val="center"/>
          </w:tcPr>
          <w:p w:rsidR="007E17E5" w:rsidRDefault="007E17E5" w:rsidP="00913ADE">
            <w:pPr>
              <w:ind w:left="0"/>
              <w:jc w:val="center"/>
              <w:rPr>
                <w:rFonts w:cs="Lucida Sans Unicode"/>
                <w:b/>
                <w:bCs/>
                <w:szCs w:val="20"/>
              </w:rPr>
            </w:pPr>
            <w:r>
              <w:rPr>
                <w:b/>
              </w:rPr>
              <w:t>in %</w:t>
            </w:r>
          </w:p>
        </w:tc>
      </w:tr>
      <w:tr w:rsidR="007E17E5" w:rsidTr="00913ADE">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1,034</w:t>
            </w:r>
          </w:p>
        </w:tc>
        <w:tc>
          <w:tcPr>
            <w:tcW w:w="1125"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1,034</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209</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215</w:t>
            </w:r>
          </w:p>
        </w:tc>
        <w:tc>
          <w:tcPr>
            <w:tcW w:w="1077"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-3</w:t>
            </w:r>
          </w:p>
        </w:tc>
      </w:tr>
      <w:tr w:rsidR="007E17E5" w:rsidTr="00913ADE">
        <w:trPr>
          <w:trHeight w:val="300"/>
        </w:trPr>
        <w:tc>
          <w:tcPr>
            <w:tcW w:w="3193" w:type="dxa"/>
            <w:tcBorders>
              <w:top w:val="nil"/>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813</w:t>
            </w:r>
          </w:p>
        </w:tc>
        <w:tc>
          <w:tcPr>
            <w:tcW w:w="1125" w:type="dxa"/>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795</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173</w:t>
            </w:r>
          </w:p>
        </w:tc>
        <w:tc>
          <w:tcPr>
            <w:tcW w:w="1125" w:type="dxa"/>
            <w:gridSpan w:val="2"/>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169</w:t>
            </w:r>
          </w:p>
        </w:tc>
        <w:tc>
          <w:tcPr>
            <w:tcW w:w="1077"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2</w:t>
            </w:r>
          </w:p>
        </w:tc>
      </w:tr>
      <w:tr w:rsidR="007E17E5" w:rsidTr="00913ADE">
        <w:trPr>
          <w:trHeight w:val="300"/>
        </w:trPr>
        <w:tc>
          <w:tcPr>
            <w:tcW w:w="3193" w:type="dxa"/>
            <w:tcBorders>
              <w:top w:val="nil"/>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1,160</w:t>
            </w:r>
          </w:p>
        </w:tc>
        <w:tc>
          <w:tcPr>
            <w:tcW w:w="1125" w:type="dxa"/>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1,132</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128</w:t>
            </w:r>
          </w:p>
        </w:tc>
        <w:tc>
          <w:tcPr>
            <w:tcW w:w="1125" w:type="dxa"/>
            <w:gridSpan w:val="2"/>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147</w:t>
            </w:r>
          </w:p>
        </w:tc>
        <w:tc>
          <w:tcPr>
            <w:tcW w:w="1077"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-13</w:t>
            </w:r>
          </w:p>
        </w:tc>
      </w:tr>
      <w:tr w:rsidR="007E17E5" w:rsidTr="00913ADE">
        <w:trPr>
          <w:trHeight w:val="300"/>
        </w:trPr>
        <w:tc>
          <w:tcPr>
            <w:tcW w:w="3193" w:type="dxa"/>
            <w:tcBorders>
              <w:top w:val="nil"/>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214</w:t>
            </w:r>
          </w:p>
        </w:tc>
        <w:tc>
          <w:tcPr>
            <w:tcW w:w="1125" w:type="dxa"/>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219</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54</w:t>
            </w:r>
          </w:p>
        </w:tc>
        <w:tc>
          <w:tcPr>
            <w:tcW w:w="1125" w:type="dxa"/>
            <w:gridSpan w:val="2"/>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50</w:t>
            </w:r>
          </w:p>
        </w:tc>
        <w:tc>
          <w:tcPr>
            <w:tcW w:w="1077"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8</w:t>
            </w:r>
          </w:p>
        </w:tc>
      </w:tr>
      <w:tr w:rsidR="007E17E5" w:rsidTr="00913ADE">
        <w:trPr>
          <w:trHeight w:val="300"/>
        </w:trPr>
        <w:tc>
          <w:tcPr>
            <w:tcW w:w="3193" w:type="dxa"/>
            <w:tcBorders>
              <w:top w:val="nil"/>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 xml:space="preserve">Other </w:t>
            </w:r>
            <w:proofErr w:type="spellStart"/>
            <w:r>
              <w:t>operations</w:t>
            </w:r>
            <w:proofErr w:type="spellEnd"/>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Pr="00A03972" w:rsidRDefault="007E17E5" w:rsidP="00913ADE">
            <w:pPr>
              <w:ind w:left="0"/>
              <w:jc w:val="right"/>
              <w:rPr>
                <w:rFonts w:cs="Lucida Sans Unicode"/>
                <w:position w:val="0"/>
                <w:szCs w:val="20"/>
              </w:rPr>
            </w:pPr>
            <w:r>
              <w:t>22</w:t>
            </w:r>
          </w:p>
        </w:tc>
        <w:tc>
          <w:tcPr>
            <w:tcW w:w="1125" w:type="dxa"/>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18</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22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-63</w:t>
            </w:r>
          </w:p>
        </w:tc>
        <w:tc>
          <w:tcPr>
            <w:tcW w:w="1125" w:type="dxa"/>
            <w:gridSpan w:val="2"/>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-64</w:t>
            </w:r>
          </w:p>
        </w:tc>
        <w:tc>
          <w:tcPr>
            <w:tcW w:w="1077"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p>
        </w:tc>
      </w:tr>
      <w:tr w:rsidR="007E17E5" w:rsidRPr="00DA2E4E" w:rsidTr="00913ADE">
        <w:trPr>
          <w:trHeight w:val="300"/>
        </w:trPr>
        <w:tc>
          <w:tcPr>
            <w:tcW w:w="3193" w:type="dxa"/>
            <w:tcBorders>
              <w:top w:val="single" w:sz="4" w:space="0" w:color="auto"/>
              <w:left w:val="single" w:sz="4" w:space="0" w:color="auto"/>
              <w:bottom w:val="single" w:sz="4" w:space="0" w:color="auto"/>
              <w:right w:val="single" w:sz="4" w:space="0" w:color="auto"/>
            </w:tcBorders>
            <w:noWrap/>
            <w:vAlign w:val="center"/>
          </w:tcPr>
          <w:p w:rsidR="007E17E5" w:rsidRPr="00DA2E4E" w:rsidRDefault="007E17E5" w:rsidP="00913ADE">
            <w:pPr>
              <w:ind w:left="0"/>
              <w:rPr>
                <w:rFonts w:cs="Lucida Sans Unicode"/>
                <w:b/>
                <w:bCs/>
                <w:position w:val="0"/>
                <w:szCs w:val="20"/>
              </w:rPr>
            </w:pPr>
            <w:r>
              <w:rPr>
                <w:b/>
                <w:position w:val="0"/>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Pr="00AB1DB9" w:rsidRDefault="007E17E5" w:rsidP="00913ADE">
            <w:pPr>
              <w:ind w:left="0"/>
              <w:jc w:val="right"/>
              <w:rPr>
                <w:rFonts w:cs="Lucida Sans Unicode"/>
                <w:bCs/>
                <w:position w:val="0"/>
                <w:szCs w:val="20"/>
              </w:rPr>
            </w:pPr>
            <w:r>
              <w:t>3,243</w:t>
            </w:r>
          </w:p>
        </w:tc>
        <w:tc>
          <w:tcPr>
            <w:tcW w:w="1125" w:type="dxa"/>
            <w:tcBorders>
              <w:top w:val="single" w:sz="4" w:space="0" w:color="auto"/>
              <w:left w:val="single" w:sz="4" w:space="0" w:color="auto"/>
              <w:bottom w:val="single" w:sz="4" w:space="0" w:color="auto"/>
              <w:right w:val="single" w:sz="4" w:space="0" w:color="auto"/>
            </w:tcBorders>
            <w:noWrap/>
            <w:vAlign w:val="center"/>
          </w:tcPr>
          <w:p w:rsidR="007E17E5" w:rsidRPr="00AB1DB9" w:rsidRDefault="007E17E5" w:rsidP="00913ADE">
            <w:pPr>
              <w:ind w:left="0"/>
              <w:jc w:val="right"/>
              <w:rPr>
                <w:rFonts w:cs="Lucida Sans Unicode"/>
                <w:bCs/>
                <w:position w:val="0"/>
                <w:szCs w:val="20"/>
              </w:rPr>
            </w:pPr>
            <w:r>
              <w:t>3,198</w:t>
            </w:r>
          </w:p>
        </w:tc>
        <w:tc>
          <w:tcPr>
            <w:tcW w:w="1125" w:type="dxa"/>
            <w:tcBorders>
              <w:top w:val="single" w:sz="4" w:space="0" w:color="auto"/>
              <w:left w:val="single" w:sz="4" w:space="0" w:color="auto"/>
              <w:bottom w:val="single" w:sz="4" w:space="0" w:color="auto"/>
              <w:right w:val="single" w:sz="4" w:space="0" w:color="auto"/>
            </w:tcBorders>
            <w:noWrap/>
            <w:vAlign w:val="bottom"/>
          </w:tcPr>
          <w:p w:rsidR="007E17E5" w:rsidRPr="00AB1DB9" w:rsidRDefault="007E17E5" w:rsidP="00913ADE">
            <w:pPr>
              <w:ind w:left="0"/>
              <w:jc w:val="right"/>
              <w:rPr>
                <w:rFonts w:cs="Lucida Sans Unicode"/>
                <w:bCs/>
                <w:position w:val="0"/>
                <w:szCs w:val="20"/>
              </w:rPr>
            </w:pPr>
            <w:r>
              <w:t>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Pr="00AB1DB9" w:rsidRDefault="007E17E5" w:rsidP="00913ADE">
            <w:pPr>
              <w:ind w:left="0"/>
              <w:jc w:val="right"/>
              <w:rPr>
                <w:rFonts w:cs="Lucida Sans Unicode"/>
                <w:bCs/>
                <w:position w:val="0"/>
                <w:szCs w:val="20"/>
              </w:rPr>
            </w:pPr>
            <w:r>
              <w:t>501</w:t>
            </w:r>
          </w:p>
        </w:tc>
        <w:tc>
          <w:tcPr>
            <w:tcW w:w="1125" w:type="dxa"/>
            <w:gridSpan w:val="2"/>
            <w:tcBorders>
              <w:top w:val="single" w:sz="4" w:space="0" w:color="auto"/>
              <w:left w:val="single" w:sz="4" w:space="0" w:color="auto"/>
              <w:bottom w:val="single" w:sz="4" w:space="0" w:color="auto"/>
              <w:right w:val="single" w:sz="4" w:space="0" w:color="auto"/>
            </w:tcBorders>
            <w:noWrap/>
            <w:vAlign w:val="center"/>
          </w:tcPr>
          <w:p w:rsidR="007E17E5" w:rsidRPr="00AB1DB9" w:rsidRDefault="007E17E5" w:rsidP="00913ADE">
            <w:pPr>
              <w:ind w:left="0"/>
              <w:jc w:val="right"/>
              <w:rPr>
                <w:rFonts w:cs="Lucida Sans Unicode"/>
                <w:bCs/>
                <w:position w:val="0"/>
                <w:szCs w:val="20"/>
              </w:rPr>
            </w:pPr>
            <w:r>
              <w:t>517</w:t>
            </w:r>
          </w:p>
        </w:tc>
        <w:tc>
          <w:tcPr>
            <w:tcW w:w="1077" w:type="dxa"/>
            <w:tcBorders>
              <w:top w:val="single" w:sz="4" w:space="0" w:color="auto"/>
              <w:left w:val="single" w:sz="4" w:space="0" w:color="auto"/>
              <w:bottom w:val="single" w:sz="4" w:space="0" w:color="auto"/>
              <w:right w:val="single" w:sz="4" w:space="0" w:color="auto"/>
            </w:tcBorders>
            <w:noWrap/>
            <w:vAlign w:val="bottom"/>
          </w:tcPr>
          <w:p w:rsidR="007E17E5" w:rsidRPr="00AB1DB9" w:rsidRDefault="007E17E5" w:rsidP="00913ADE">
            <w:pPr>
              <w:ind w:left="0"/>
              <w:jc w:val="right"/>
              <w:rPr>
                <w:rFonts w:cs="Lucida Sans Unicode"/>
                <w:bCs/>
                <w:position w:val="0"/>
                <w:szCs w:val="20"/>
              </w:rPr>
            </w:pPr>
            <w:r>
              <w:t>-3</w:t>
            </w:r>
          </w:p>
        </w:tc>
      </w:tr>
      <w:tr w:rsidR="007E17E5" w:rsidTr="00913ADE">
        <w:trPr>
          <w:trHeight w:val="255"/>
        </w:trPr>
        <w:tc>
          <w:tcPr>
            <w:tcW w:w="3193" w:type="dxa"/>
            <w:tcBorders>
              <w:top w:val="single" w:sz="4" w:space="0" w:color="auto"/>
              <w:left w:val="single" w:sz="4" w:space="0" w:color="auto"/>
              <w:bottom w:val="nil"/>
              <w:right w:val="single" w:sz="4" w:space="0" w:color="auto"/>
            </w:tcBorders>
            <w:noWrap/>
            <w:vAlign w:val="center"/>
          </w:tcPr>
          <w:p w:rsidR="007E17E5" w:rsidRDefault="007E17E5" w:rsidP="00913ADE">
            <w:pPr>
              <w:ind w:left="0"/>
              <w:jc w:val="right"/>
              <w:rPr>
                <w:rFonts w:cs="Lucida Sans Unicode"/>
                <w:b/>
                <w:bCs/>
                <w:position w:val="0"/>
                <w:szCs w:val="20"/>
              </w:rPr>
            </w:pPr>
            <w:r>
              <w:rPr>
                <w:b/>
                <w:position w:val="0"/>
              </w:rPr>
              <w:t> </w:t>
            </w:r>
          </w:p>
        </w:tc>
        <w:tc>
          <w:tcPr>
            <w:tcW w:w="3375" w:type="dxa"/>
            <w:gridSpan w:val="3"/>
            <w:tcBorders>
              <w:top w:val="single" w:sz="4" w:space="0" w:color="auto"/>
              <w:left w:val="nil"/>
              <w:bottom w:val="single" w:sz="4" w:space="0" w:color="auto"/>
              <w:right w:val="single" w:sz="4" w:space="0" w:color="auto"/>
            </w:tcBorders>
            <w:noWrap/>
            <w:vAlign w:val="bottom"/>
          </w:tcPr>
          <w:p w:rsidR="007E17E5" w:rsidRDefault="007E17E5" w:rsidP="00913ADE">
            <w:pPr>
              <w:ind w:left="0"/>
              <w:jc w:val="center"/>
              <w:rPr>
                <w:rFonts w:cs="Lucida Sans Unicode"/>
                <w:b/>
                <w:bCs/>
                <w:position w:val="0"/>
                <w:szCs w:val="20"/>
              </w:rPr>
            </w:pPr>
            <w:proofErr w:type="spellStart"/>
            <w:r>
              <w:rPr>
                <w:b/>
                <w:position w:val="0"/>
              </w:rPr>
              <w:t>Sales</w:t>
            </w:r>
            <w:proofErr w:type="spellEnd"/>
            <w:r>
              <w:rPr>
                <w:b/>
                <w:position w:val="0"/>
              </w:rPr>
              <w:t xml:space="preserve"> 9M</w:t>
            </w:r>
          </w:p>
        </w:tc>
        <w:tc>
          <w:tcPr>
            <w:tcW w:w="3316" w:type="dxa"/>
            <w:gridSpan w:val="4"/>
            <w:tcBorders>
              <w:top w:val="single" w:sz="4" w:space="0" w:color="auto"/>
              <w:left w:val="single" w:sz="4" w:space="0" w:color="auto"/>
              <w:bottom w:val="single" w:sz="4" w:space="0" w:color="auto"/>
              <w:right w:val="single" w:sz="4" w:space="0" w:color="auto"/>
            </w:tcBorders>
            <w:noWrap/>
            <w:vAlign w:val="bottom"/>
          </w:tcPr>
          <w:p w:rsidR="007E17E5" w:rsidRDefault="007E17E5" w:rsidP="00913ADE">
            <w:pPr>
              <w:ind w:left="0"/>
              <w:jc w:val="center"/>
              <w:rPr>
                <w:rFonts w:cs="Lucida Sans Unicode"/>
                <w:b/>
                <w:bCs/>
                <w:position w:val="0"/>
                <w:szCs w:val="20"/>
              </w:rPr>
            </w:pPr>
            <w:proofErr w:type="spellStart"/>
            <w:r>
              <w:rPr>
                <w:b/>
                <w:position w:val="0"/>
              </w:rPr>
              <w:t>Adjusted</w:t>
            </w:r>
            <w:proofErr w:type="spellEnd"/>
            <w:r>
              <w:rPr>
                <w:b/>
                <w:position w:val="0"/>
              </w:rPr>
              <w:t xml:space="preserve"> EBITDA 9M</w:t>
            </w:r>
          </w:p>
        </w:tc>
      </w:tr>
      <w:tr w:rsidR="007E17E5" w:rsidTr="00913ADE">
        <w:trPr>
          <w:trHeight w:val="255"/>
        </w:trPr>
        <w:tc>
          <w:tcPr>
            <w:tcW w:w="3193" w:type="dxa"/>
            <w:tcBorders>
              <w:top w:val="nil"/>
              <w:left w:val="single" w:sz="4" w:space="0" w:color="auto"/>
              <w:bottom w:val="nil"/>
              <w:right w:val="single" w:sz="4" w:space="0" w:color="auto"/>
            </w:tcBorders>
            <w:noWrap/>
            <w:vAlign w:val="center"/>
          </w:tcPr>
          <w:p w:rsidR="007E17E5" w:rsidRDefault="007E17E5" w:rsidP="00913ADE">
            <w:pPr>
              <w:ind w:left="0"/>
              <w:rPr>
                <w:rFonts w:cs="Lucida Sans Unicode"/>
                <w:b/>
                <w:bCs/>
                <w:position w:val="0"/>
                <w:szCs w:val="20"/>
              </w:rPr>
            </w:pPr>
          </w:p>
        </w:tc>
        <w:tc>
          <w:tcPr>
            <w:tcW w:w="1125" w:type="dxa"/>
            <w:tcBorders>
              <w:top w:val="single" w:sz="4" w:space="0" w:color="auto"/>
              <w:left w:val="nil"/>
              <w:right w:val="single" w:sz="4" w:space="0" w:color="auto"/>
            </w:tcBorders>
            <w:shd w:val="clear" w:color="auto" w:fill="CCCCCC"/>
            <w:noWrap/>
            <w:vAlign w:val="bottom"/>
          </w:tcPr>
          <w:p w:rsidR="007E17E5" w:rsidRDefault="007E17E5" w:rsidP="00913ADE">
            <w:pPr>
              <w:ind w:left="0"/>
              <w:jc w:val="center"/>
              <w:rPr>
                <w:rFonts w:cs="Lucida Sans Unicode"/>
                <w:b/>
                <w:bCs/>
                <w:position w:val="0"/>
                <w:szCs w:val="20"/>
              </w:rPr>
            </w:pPr>
            <w:r>
              <w:rPr>
                <w:b/>
                <w:position w:val="0"/>
              </w:rPr>
              <w:t>9M 2014</w:t>
            </w:r>
          </w:p>
        </w:tc>
        <w:tc>
          <w:tcPr>
            <w:tcW w:w="1125" w:type="dxa"/>
            <w:tcBorders>
              <w:top w:val="single" w:sz="4" w:space="0" w:color="auto"/>
              <w:left w:val="single" w:sz="4" w:space="0" w:color="auto"/>
              <w:bottom w:val="nil"/>
              <w:right w:val="single" w:sz="4" w:space="0" w:color="auto"/>
            </w:tcBorders>
            <w:noWrap/>
            <w:vAlign w:val="bottom"/>
          </w:tcPr>
          <w:p w:rsidR="007E17E5" w:rsidRDefault="007E17E5" w:rsidP="00913ADE">
            <w:pPr>
              <w:ind w:left="0"/>
              <w:jc w:val="center"/>
              <w:rPr>
                <w:rFonts w:cs="Lucida Sans Unicode"/>
                <w:b/>
                <w:bCs/>
                <w:position w:val="0"/>
                <w:szCs w:val="20"/>
              </w:rPr>
            </w:pPr>
            <w:r>
              <w:rPr>
                <w:b/>
                <w:position w:val="0"/>
              </w:rPr>
              <w:t>9M 2013</w:t>
            </w:r>
          </w:p>
        </w:tc>
        <w:tc>
          <w:tcPr>
            <w:tcW w:w="1125" w:type="dxa"/>
            <w:tcBorders>
              <w:top w:val="single" w:sz="4" w:space="0" w:color="auto"/>
              <w:left w:val="single" w:sz="4" w:space="0" w:color="auto"/>
              <w:bottom w:val="nil"/>
              <w:right w:val="single" w:sz="4" w:space="0" w:color="auto"/>
            </w:tcBorders>
            <w:noWrap/>
            <w:vAlign w:val="bottom"/>
          </w:tcPr>
          <w:p w:rsidR="007E17E5" w:rsidRDefault="007E17E5" w:rsidP="00913ADE">
            <w:pPr>
              <w:ind w:left="0"/>
              <w:jc w:val="center"/>
              <w:rPr>
                <w:rFonts w:cs="Lucida Sans Unicode"/>
                <w:b/>
                <w:bCs/>
                <w:position w:val="0"/>
                <w:szCs w:val="20"/>
              </w:rPr>
            </w:pPr>
            <w:r>
              <w:rPr>
                <w:b/>
                <w:position w:val="0"/>
              </w:rPr>
              <w:t>Change</w:t>
            </w:r>
          </w:p>
        </w:tc>
        <w:tc>
          <w:tcPr>
            <w:tcW w:w="1114" w:type="dxa"/>
            <w:tcBorders>
              <w:top w:val="single" w:sz="4" w:space="0" w:color="auto"/>
              <w:left w:val="nil"/>
              <w:right w:val="single" w:sz="4" w:space="0" w:color="auto"/>
            </w:tcBorders>
            <w:shd w:val="clear" w:color="auto" w:fill="CCCCCC"/>
            <w:noWrap/>
            <w:vAlign w:val="bottom"/>
          </w:tcPr>
          <w:p w:rsidR="007E17E5" w:rsidRDefault="007E17E5" w:rsidP="00913ADE">
            <w:pPr>
              <w:ind w:left="0"/>
              <w:jc w:val="center"/>
              <w:rPr>
                <w:rFonts w:cs="Lucida Sans Unicode"/>
                <w:b/>
                <w:bCs/>
                <w:position w:val="0"/>
                <w:szCs w:val="20"/>
              </w:rPr>
            </w:pPr>
            <w:r>
              <w:rPr>
                <w:b/>
                <w:position w:val="0"/>
              </w:rPr>
              <w:t>9M 2014</w:t>
            </w:r>
          </w:p>
        </w:tc>
        <w:tc>
          <w:tcPr>
            <w:tcW w:w="1080" w:type="dxa"/>
            <w:tcBorders>
              <w:top w:val="single" w:sz="4" w:space="0" w:color="auto"/>
              <w:left w:val="single" w:sz="4" w:space="0" w:color="auto"/>
              <w:bottom w:val="nil"/>
              <w:right w:val="single" w:sz="4" w:space="0" w:color="auto"/>
            </w:tcBorders>
            <w:noWrap/>
            <w:vAlign w:val="bottom"/>
          </w:tcPr>
          <w:p w:rsidR="007E17E5" w:rsidRDefault="007E17E5" w:rsidP="00913ADE">
            <w:pPr>
              <w:ind w:left="0"/>
              <w:jc w:val="center"/>
              <w:rPr>
                <w:rFonts w:cs="Lucida Sans Unicode"/>
                <w:b/>
                <w:bCs/>
                <w:position w:val="0"/>
                <w:szCs w:val="20"/>
              </w:rPr>
            </w:pPr>
            <w:r>
              <w:rPr>
                <w:b/>
                <w:position w:val="0"/>
              </w:rPr>
              <w:t>9M 2013</w:t>
            </w:r>
          </w:p>
        </w:tc>
        <w:tc>
          <w:tcPr>
            <w:tcW w:w="1122" w:type="dxa"/>
            <w:gridSpan w:val="2"/>
            <w:tcBorders>
              <w:top w:val="single" w:sz="4" w:space="0" w:color="auto"/>
              <w:left w:val="single" w:sz="4" w:space="0" w:color="auto"/>
              <w:bottom w:val="nil"/>
              <w:right w:val="single" w:sz="4" w:space="0" w:color="auto"/>
            </w:tcBorders>
            <w:noWrap/>
            <w:vAlign w:val="bottom"/>
          </w:tcPr>
          <w:p w:rsidR="007E17E5" w:rsidRDefault="007E17E5" w:rsidP="00913ADE">
            <w:pPr>
              <w:ind w:left="0"/>
              <w:jc w:val="center"/>
              <w:rPr>
                <w:rFonts w:cs="Lucida Sans Unicode"/>
                <w:b/>
                <w:bCs/>
                <w:position w:val="0"/>
                <w:szCs w:val="20"/>
              </w:rPr>
            </w:pPr>
            <w:r>
              <w:rPr>
                <w:b/>
                <w:position w:val="0"/>
              </w:rPr>
              <w:t>Change</w:t>
            </w:r>
          </w:p>
        </w:tc>
      </w:tr>
      <w:tr w:rsidR="007E17E5" w:rsidTr="00913ADE">
        <w:trPr>
          <w:trHeight w:val="255"/>
        </w:trPr>
        <w:tc>
          <w:tcPr>
            <w:tcW w:w="3193" w:type="dxa"/>
            <w:tcBorders>
              <w:top w:val="nil"/>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b/>
                <w:bCs/>
                <w:position w:val="0"/>
                <w:szCs w:val="20"/>
              </w:rPr>
            </w:pPr>
            <w:r>
              <w:rPr>
                <w:b/>
                <w:position w:val="0"/>
              </w:rPr>
              <w:t> </w:t>
            </w:r>
          </w:p>
        </w:tc>
        <w:tc>
          <w:tcPr>
            <w:tcW w:w="1125" w:type="dxa"/>
            <w:tcBorders>
              <w:left w:val="nil"/>
              <w:bottom w:val="single" w:sz="4" w:space="0" w:color="auto"/>
              <w:right w:val="single" w:sz="4" w:space="0" w:color="auto"/>
            </w:tcBorders>
            <w:shd w:val="clear" w:color="auto" w:fill="CCCCCC"/>
            <w:vAlign w:val="center"/>
          </w:tcPr>
          <w:p w:rsidR="007E17E5" w:rsidRDefault="007E17E5" w:rsidP="00913ADE">
            <w:pPr>
              <w:ind w:left="0"/>
              <w:jc w:val="center"/>
              <w:rPr>
                <w:rFonts w:cs="Lucida Sans Unicode"/>
                <w:b/>
                <w:bCs/>
                <w:position w:val="0"/>
                <w:szCs w:val="20"/>
              </w:rPr>
            </w:pPr>
            <w:r>
              <w:rPr>
                <w:b/>
                <w:position w:val="0"/>
              </w:rPr>
              <w:t>€ </w:t>
            </w:r>
            <w:proofErr w:type="spellStart"/>
            <w:r>
              <w:rPr>
                <w:b/>
                <w:position w:val="0"/>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7E17E5" w:rsidRDefault="007E17E5" w:rsidP="00913ADE">
            <w:pPr>
              <w:ind w:left="0"/>
              <w:jc w:val="center"/>
              <w:rPr>
                <w:rFonts w:cs="Lucida Sans Unicode"/>
                <w:b/>
                <w:bCs/>
                <w:position w:val="0"/>
                <w:szCs w:val="20"/>
              </w:rPr>
            </w:pPr>
            <w:r>
              <w:rPr>
                <w:b/>
                <w:position w:val="0"/>
              </w:rPr>
              <w:t>€ </w:t>
            </w:r>
            <w:proofErr w:type="spellStart"/>
            <w:r>
              <w:rPr>
                <w:b/>
                <w:position w:val="0"/>
              </w:rPr>
              <w:t>million</w:t>
            </w:r>
            <w:proofErr w:type="spellEnd"/>
          </w:p>
        </w:tc>
        <w:tc>
          <w:tcPr>
            <w:tcW w:w="1125" w:type="dxa"/>
            <w:tcBorders>
              <w:top w:val="nil"/>
              <w:left w:val="single" w:sz="4" w:space="0" w:color="auto"/>
              <w:bottom w:val="single" w:sz="4" w:space="0" w:color="auto"/>
              <w:right w:val="single" w:sz="4" w:space="0" w:color="auto"/>
            </w:tcBorders>
            <w:vAlign w:val="center"/>
          </w:tcPr>
          <w:p w:rsidR="007E17E5" w:rsidRDefault="007E17E5" w:rsidP="00913ADE">
            <w:pPr>
              <w:ind w:left="0"/>
              <w:jc w:val="center"/>
              <w:rPr>
                <w:rFonts w:cs="Lucida Sans Unicode"/>
                <w:b/>
                <w:bCs/>
                <w:position w:val="0"/>
                <w:szCs w:val="20"/>
              </w:rPr>
            </w:pPr>
            <w:r>
              <w:rPr>
                <w:b/>
                <w:position w:val="0"/>
              </w:rPr>
              <w:t>in %</w:t>
            </w:r>
          </w:p>
        </w:tc>
        <w:tc>
          <w:tcPr>
            <w:tcW w:w="1114" w:type="dxa"/>
            <w:tcBorders>
              <w:left w:val="nil"/>
              <w:bottom w:val="single" w:sz="4" w:space="0" w:color="auto"/>
              <w:right w:val="single" w:sz="4" w:space="0" w:color="auto"/>
            </w:tcBorders>
            <w:shd w:val="clear" w:color="auto" w:fill="CCCCCC"/>
            <w:vAlign w:val="center"/>
          </w:tcPr>
          <w:p w:rsidR="007E17E5" w:rsidRDefault="007E17E5" w:rsidP="00913ADE">
            <w:pPr>
              <w:ind w:left="0"/>
              <w:jc w:val="center"/>
              <w:rPr>
                <w:rFonts w:cs="Lucida Sans Unicode"/>
                <w:b/>
                <w:bCs/>
                <w:position w:val="0"/>
                <w:szCs w:val="20"/>
              </w:rPr>
            </w:pPr>
            <w:r>
              <w:rPr>
                <w:b/>
                <w:position w:val="0"/>
              </w:rPr>
              <w:t>€ </w:t>
            </w:r>
            <w:proofErr w:type="spellStart"/>
            <w:r>
              <w:rPr>
                <w:b/>
                <w:position w:val="0"/>
              </w:rPr>
              <w:t>million</w:t>
            </w:r>
            <w:proofErr w:type="spellEnd"/>
          </w:p>
        </w:tc>
        <w:tc>
          <w:tcPr>
            <w:tcW w:w="1080" w:type="dxa"/>
            <w:tcBorders>
              <w:top w:val="nil"/>
              <w:left w:val="single" w:sz="4" w:space="0" w:color="auto"/>
              <w:bottom w:val="single" w:sz="4" w:space="0" w:color="auto"/>
              <w:right w:val="single" w:sz="4" w:space="0" w:color="auto"/>
            </w:tcBorders>
            <w:vAlign w:val="center"/>
          </w:tcPr>
          <w:p w:rsidR="007E17E5" w:rsidRDefault="007E17E5" w:rsidP="00913ADE">
            <w:pPr>
              <w:ind w:left="0"/>
              <w:jc w:val="center"/>
              <w:rPr>
                <w:rFonts w:cs="Lucida Sans Unicode"/>
                <w:b/>
                <w:bCs/>
                <w:position w:val="0"/>
                <w:szCs w:val="20"/>
              </w:rPr>
            </w:pPr>
            <w:r>
              <w:rPr>
                <w:b/>
                <w:position w:val="0"/>
              </w:rPr>
              <w:t>€ </w:t>
            </w:r>
            <w:proofErr w:type="spellStart"/>
            <w:r>
              <w:rPr>
                <w:b/>
                <w:position w:val="0"/>
              </w:rPr>
              <w:t>million</w:t>
            </w:r>
            <w:proofErr w:type="spellEnd"/>
          </w:p>
        </w:tc>
        <w:tc>
          <w:tcPr>
            <w:tcW w:w="1122" w:type="dxa"/>
            <w:gridSpan w:val="2"/>
            <w:tcBorders>
              <w:top w:val="nil"/>
              <w:left w:val="single" w:sz="4" w:space="0" w:color="auto"/>
              <w:bottom w:val="single" w:sz="4" w:space="0" w:color="auto"/>
              <w:right w:val="single" w:sz="4" w:space="0" w:color="auto"/>
            </w:tcBorders>
            <w:vAlign w:val="center"/>
          </w:tcPr>
          <w:p w:rsidR="007E17E5" w:rsidRDefault="007E17E5" w:rsidP="00913ADE">
            <w:pPr>
              <w:ind w:left="0"/>
              <w:jc w:val="center"/>
              <w:rPr>
                <w:rFonts w:cs="Lucida Sans Unicode"/>
                <w:b/>
                <w:bCs/>
                <w:position w:val="0"/>
                <w:szCs w:val="20"/>
              </w:rPr>
            </w:pPr>
            <w:r>
              <w:rPr>
                <w:b/>
                <w:position w:val="0"/>
              </w:rPr>
              <w:t>in %</w:t>
            </w:r>
          </w:p>
        </w:tc>
      </w:tr>
      <w:tr w:rsidR="007E17E5" w:rsidTr="00913ADE">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3,015</w:t>
            </w:r>
          </w:p>
        </w:tc>
        <w:tc>
          <w:tcPr>
            <w:tcW w:w="1125"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3,110</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585</w:t>
            </w:r>
          </w:p>
        </w:tc>
        <w:tc>
          <w:tcPr>
            <w:tcW w:w="1080"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723</w:t>
            </w:r>
          </w:p>
        </w:tc>
        <w:tc>
          <w:tcPr>
            <w:tcW w:w="1122" w:type="dxa"/>
            <w:gridSpan w:val="2"/>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-19</w:t>
            </w:r>
          </w:p>
        </w:tc>
      </w:tr>
      <w:tr w:rsidR="007E17E5" w:rsidTr="00913ADE">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2,448</w:t>
            </w:r>
          </w:p>
        </w:tc>
        <w:tc>
          <w:tcPr>
            <w:tcW w:w="1125"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2,367</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553</w:t>
            </w:r>
          </w:p>
        </w:tc>
        <w:tc>
          <w:tcPr>
            <w:tcW w:w="1080"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515</w:t>
            </w:r>
          </w:p>
        </w:tc>
        <w:tc>
          <w:tcPr>
            <w:tcW w:w="1122" w:type="dxa"/>
            <w:gridSpan w:val="2"/>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7</w:t>
            </w:r>
          </w:p>
        </w:tc>
      </w:tr>
      <w:tr w:rsidR="007E17E5" w:rsidTr="00913ADE">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3,510</w:t>
            </w:r>
          </w:p>
        </w:tc>
        <w:tc>
          <w:tcPr>
            <w:tcW w:w="1125"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3,431</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352</w:t>
            </w:r>
          </w:p>
        </w:tc>
        <w:tc>
          <w:tcPr>
            <w:tcW w:w="1080" w:type="dxa"/>
            <w:tcBorders>
              <w:top w:val="single" w:sz="4" w:space="0" w:color="auto"/>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457</w:t>
            </w:r>
          </w:p>
        </w:tc>
        <w:tc>
          <w:tcPr>
            <w:tcW w:w="1122" w:type="dxa"/>
            <w:gridSpan w:val="2"/>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-23</w:t>
            </w:r>
          </w:p>
        </w:tc>
      </w:tr>
      <w:tr w:rsidR="007E17E5" w:rsidTr="00913ADE">
        <w:trPr>
          <w:trHeight w:val="255"/>
        </w:trPr>
        <w:tc>
          <w:tcPr>
            <w:tcW w:w="3193" w:type="dxa"/>
            <w:tcBorders>
              <w:top w:val="nil"/>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663</w:t>
            </w:r>
          </w:p>
        </w:tc>
        <w:tc>
          <w:tcPr>
            <w:tcW w:w="1125" w:type="dxa"/>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656</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158</w:t>
            </w:r>
          </w:p>
        </w:tc>
        <w:tc>
          <w:tcPr>
            <w:tcW w:w="1080" w:type="dxa"/>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157</w:t>
            </w:r>
          </w:p>
        </w:tc>
        <w:tc>
          <w:tcPr>
            <w:tcW w:w="1122" w:type="dxa"/>
            <w:gridSpan w:val="2"/>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1</w:t>
            </w:r>
          </w:p>
        </w:tc>
      </w:tr>
      <w:tr w:rsidR="007E17E5" w:rsidTr="00913ADE">
        <w:trPr>
          <w:trHeight w:val="255"/>
        </w:trPr>
        <w:tc>
          <w:tcPr>
            <w:tcW w:w="3193" w:type="dxa"/>
            <w:tcBorders>
              <w:top w:val="nil"/>
              <w:left w:val="single" w:sz="4" w:space="0" w:color="auto"/>
              <w:bottom w:val="single" w:sz="4" w:space="0" w:color="auto"/>
              <w:right w:val="single" w:sz="4" w:space="0" w:color="auto"/>
            </w:tcBorders>
            <w:noWrap/>
            <w:vAlign w:val="center"/>
          </w:tcPr>
          <w:p w:rsidR="007E17E5" w:rsidRDefault="007E17E5" w:rsidP="00913ADE">
            <w:pPr>
              <w:ind w:left="0"/>
              <w:rPr>
                <w:rFonts w:cs="Lucida Sans Unicode"/>
                <w:position w:val="0"/>
                <w:szCs w:val="20"/>
              </w:rPr>
            </w:pPr>
            <w:r>
              <w:t xml:space="preserve">Other </w:t>
            </w:r>
            <w:proofErr w:type="spellStart"/>
            <w:r>
              <w:t>operations</w:t>
            </w:r>
            <w:proofErr w:type="spellEnd"/>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55</w:t>
            </w:r>
          </w:p>
        </w:tc>
        <w:tc>
          <w:tcPr>
            <w:tcW w:w="1125" w:type="dxa"/>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55</w:t>
            </w:r>
          </w:p>
        </w:tc>
        <w:tc>
          <w:tcPr>
            <w:tcW w:w="1125" w:type="dxa"/>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Default="007E17E5" w:rsidP="00913ADE">
            <w:pPr>
              <w:ind w:left="0"/>
              <w:jc w:val="right"/>
              <w:rPr>
                <w:rFonts w:cs="Lucida Sans Unicode"/>
                <w:position w:val="0"/>
                <w:szCs w:val="20"/>
              </w:rPr>
            </w:pPr>
            <w:r>
              <w:t>-223</w:t>
            </w:r>
          </w:p>
        </w:tc>
        <w:tc>
          <w:tcPr>
            <w:tcW w:w="1080" w:type="dxa"/>
            <w:tcBorders>
              <w:top w:val="nil"/>
              <w:left w:val="single" w:sz="4" w:space="0" w:color="auto"/>
              <w:bottom w:val="single" w:sz="4" w:space="0" w:color="auto"/>
              <w:right w:val="single" w:sz="4" w:space="0" w:color="auto"/>
            </w:tcBorders>
            <w:noWrap/>
            <w:vAlign w:val="center"/>
          </w:tcPr>
          <w:p w:rsidR="007E17E5" w:rsidRDefault="007E17E5" w:rsidP="00913ADE">
            <w:pPr>
              <w:ind w:left="0"/>
              <w:jc w:val="right"/>
              <w:rPr>
                <w:rFonts w:cs="Lucida Sans Unicode"/>
                <w:position w:val="0"/>
                <w:szCs w:val="20"/>
              </w:rPr>
            </w:pPr>
            <w:r>
              <w:t>-232</w:t>
            </w:r>
          </w:p>
        </w:tc>
        <w:tc>
          <w:tcPr>
            <w:tcW w:w="1122" w:type="dxa"/>
            <w:gridSpan w:val="2"/>
            <w:tcBorders>
              <w:top w:val="nil"/>
              <w:left w:val="single" w:sz="4" w:space="0" w:color="auto"/>
              <w:bottom w:val="single" w:sz="4" w:space="0" w:color="auto"/>
              <w:right w:val="single" w:sz="4" w:space="0" w:color="auto"/>
            </w:tcBorders>
            <w:noWrap/>
            <w:vAlign w:val="bottom"/>
          </w:tcPr>
          <w:p w:rsidR="007E17E5" w:rsidRDefault="007E17E5" w:rsidP="00913ADE">
            <w:pPr>
              <w:ind w:left="0"/>
              <w:jc w:val="right"/>
              <w:rPr>
                <w:rFonts w:cs="Lucida Sans Unicode"/>
                <w:position w:val="0"/>
                <w:szCs w:val="20"/>
              </w:rPr>
            </w:pPr>
          </w:p>
        </w:tc>
      </w:tr>
      <w:tr w:rsidR="007E17E5" w:rsidRPr="00DA2E4E" w:rsidTr="00913ADE">
        <w:trPr>
          <w:trHeight w:val="255"/>
        </w:trPr>
        <w:tc>
          <w:tcPr>
            <w:tcW w:w="3193" w:type="dxa"/>
            <w:tcBorders>
              <w:top w:val="single" w:sz="4" w:space="0" w:color="auto"/>
              <w:left w:val="single" w:sz="4" w:space="0" w:color="auto"/>
              <w:bottom w:val="single" w:sz="4" w:space="0" w:color="auto"/>
              <w:right w:val="single" w:sz="4" w:space="0" w:color="auto"/>
            </w:tcBorders>
            <w:noWrap/>
            <w:vAlign w:val="center"/>
          </w:tcPr>
          <w:p w:rsidR="007E17E5" w:rsidRPr="00DA2E4E" w:rsidRDefault="007E17E5" w:rsidP="00913ADE">
            <w:pPr>
              <w:ind w:left="0"/>
              <w:rPr>
                <w:rFonts w:cs="Lucida Sans Unicode"/>
                <w:b/>
                <w:bCs/>
                <w:position w:val="0"/>
                <w:szCs w:val="20"/>
              </w:rPr>
            </w:pPr>
            <w:r>
              <w:rPr>
                <w:b/>
                <w:position w:val="0"/>
              </w:rPr>
              <w:t>Group</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7E17E5" w:rsidRPr="00AB1DB9" w:rsidRDefault="007E17E5" w:rsidP="00913ADE">
            <w:pPr>
              <w:ind w:left="0"/>
              <w:jc w:val="right"/>
              <w:rPr>
                <w:rFonts w:cs="Lucida Sans Unicode"/>
                <w:bCs/>
                <w:position w:val="0"/>
                <w:szCs w:val="20"/>
              </w:rPr>
            </w:pPr>
            <w:r>
              <w:t>9,691</w:t>
            </w:r>
          </w:p>
        </w:tc>
        <w:tc>
          <w:tcPr>
            <w:tcW w:w="1125" w:type="dxa"/>
            <w:tcBorders>
              <w:top w:val="single" w:sz="4" w:space="0" w:color="auto"/>
              <w:left w:val="single" w:sz="4" w:space="0" w:color="auto"/>
              <w:bottom w:val="single" w:sz="4" w:space="0" w:color="auto"/>
              <w:right w:val="single" w:sz="4" w:space="0" w:color="auto"/>
            </w:tcBorders>
            <w:noWrap/>
            <w:vAlign w:val="center"/>
          </w:tcPr>
          <w:p w:rsidR="007E17E5" w:rsidRPr="00AB1DB9" w:rsidRDefault="007E17E5" w:rsidP="00913ADE">
            <w:pPr>
              <w:ind w:left="0"/>
              <w:jc w:val="right"/>
              <w:rPr>
                <w:rFonts w:cs="Lucida Sans Unicode"/>
                <w:bCs/>
                <w:position w:val="0"/>
                <w:szCs w:val="20"/>
              </w:rPr>
            </w:pPr>
            <w:r>
              <w:t>9,619</w:t>
            </w:r>
          </w:p>
        </w:tc>
        <w:tc>
          <w:tcPr>
            <w:tcW w:w="1125" w:type="dxa"/>
            <w:tcBorders>
              <w:top w:val="single" w:sz="4" w:space="0" w:color="auto"/>
              <w:left w:val="single" w:sz="4" w:space="0" w:color="auto"/>
              <w:bottom w:val="single" w:sz="4" w:space="0" w:color="auto"/>
              <w:right w:val="single" w:sz="4" w:space="0" w:color="auto"/>
            </w:tcBorders>
            <w:noWrap/>
            <w:vAlign w:val="bottom"/>
          </w:tcPr>
          <w:p w:rsidR="007E17E5" w:rsidRPr="00AB1DB9" w:rsidRDefault="007E17E5" w:rsidP="00913ADE">
            <w:pPr>
              <w:ind w:left="0"/>
              <w:jc w:val="right"/>
              <w:rPr>
                <w:rFonts w:cs="Lucida Sans Unicode"/>
                <w:bCs/>
                <w:position w:val="0"/>
                <w:szCs w:val="20"/>
              </w:rPr>
            </w:pPr>
            <w:r>
              <w:t>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7E17E5" w:rsidRPr="00AB1DB9" w:rsidRDefault="007E17E5" w:rsidP="00913ADE">
            <w:pPr>
              <w:ind w:left="0"/>
              <w:jc w:val="right"/>
              <w:rPr>
                <w:rFonts w:cs="Lucida Sans Unicode"/>
                <w:bCs/>
                <w:position w:val="0"/>
                <w:szCs w:val="20"/>
              </w:rPr>
            </w:pPr>
            <w:r>
              <w:t>1,425</w:t>
            </w:r>
          </w:p>
        </w:tc>
        <w:tc>
          <w:tcPr>
            <w:tcW w:w="1080" w:type="dxa"/>
            <w:tcBorders>
              <w:top w:val="single" w:sz="4" w:space="0" w:color="auto"/>
              <w:left w:val="single" w:sz="4" w:space="0" w:color="auto"/>
              <w:bottom w:val="single" w:sz="4" w:space="0" w:color="auto"/>
              <w:right w:val="single" w:sz="4" w:space="0" w:color="auto"/>
            </w:tcBorders>
            <w:noWrap/>
            <w:vAlign w:val="center"/>
          </w:tcPr>
          <w:p w:rsidR="007E17E5" w:rsidRPr="00AB1DB9" w:rsidRDefault="007E17E5" w:rsidP="00913ADE">
            <w:pPr>
              <w:ind w:left="0"/>
              <w:jc w:val="right"/>
              <w:rPr>
                <w:rFonts w:cs="Lucida Sans Unicode"/>
                <w:bCs/>
                <w:position w:val="0"/>
                <w:szCs w:val="20"/>
              </w:rPr>
            </w:pPr>
            <w:r>
              <w:t>1,620</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7E17E5" w:rsidRPr="00AB1DB9" w:rsidRDefault="007E17E5" w:rsidP="00913ADE">
            <w:pPr>
              <w:ind w:left="0"/>
              <w:jc w:val="right"/>
              <w:rPr>
                <w:rFonts w:cs="Lucida Sans Unicode"/>
                <w:bCs/>
                <w:position w:val="0"/>
                <w:szCs w:val="20"/>
              </w:rPr>
            </w:pPr>
            <w:r>
              <w:t>-12</w:t>
            </w:r>
          </w:p>
        </w:tc>
      </w:tr>
    </w:tbl>
    <w:p w:rsidR="007E17E5" w:rsidRPr="00A03972" w:rsidRDefault="007E17E5" w:rsidP="007E17E5">
      <w:pPr>
        <w:spacing w:line="240" w:lineRule="auto"/>
        <w:ind w:left="0" w:right="0"/>
        <w:rPr>
          <w:bCs/>
          <w:sz w:val="16"/>
          <w:szCs w:val="16"/>
        </w:rPr>
      </w:pPr>
      <w:r>
        <w:rPr>
          <w:sz w:val="16"/>
        </w:rPr>
        <w:t>Prior-</w:t>
      </w:r>
      <w:proofErr w:type="spellStart"/>
      <w:r>
        <w:rPr>
          <w:sz w:val="16"/>
        </w:rPr>
        <w:t>year</w:t>
      </w:r>
      <w:proofErr w:type="spellEnd"/>
      <w:r>
        <w:rPr>
          <w:sz w:val="16"/>
        </w:rPr>
        <w:t xml:space="preserve"> </w:t>
      </w:r>
      <w:proofErr w:type="spellStart"/>
      <w:r>
        <w:rPr>
          <w:sz w:val="16"/>
        </w:rPr>
        <w:t>figures</w:t>
      </w:r>
      <w:proofErr w:type="spellEnd"/>
      <w:r>
        <w:rPr>
          <w:sz w:val="16"/>
        </w:rPr>
        <w:t xml:space="preserve"> </w:t>
      </w:r>
      <w:proofErr w:type="spellStart"/>
      <w:r>
        <w:rPr>
          <w:sz w:val="16"/>
        </w:rPr>
        <w:t>restated</w:t>
      </w:r>
      <w:proofErr w:type="spellEnd"/>
    </w:p>
    <w:p w:rsidR="007E17E5" w:rsidRPr="00A03972" w:rsidRDefault="007E17E5" w:rsidP="007E17E5">
      <w:pPr>
        <w:spacing w:line="240" w:lineRule="auto"/>
        <w:ind w:left="0" w:right="0"/>
        <w:rPr>
          <w:bCs/>
          <w:sz w:val="16"/>
          <w:szCs w:val="16"/>
        </w:rPr>
      </w:pPr>
    </w:p>
    <w:p w:rsidR="007E17E5" w:rsidRDefault="007E17E5" w:rsidP="007E17E5">
      <w:pPr>
        <w:spacing w:after="120"/>
        <w:rPr>
          <w:b/>
          <w:bCs/>
        </w:rPr>
      </w:pPr>
    </w:p>
    <w:p w:rsidR="007E17E5" w:rsidRPr="00D941D1" w:rsidRDefault="007E17E5" w:rsidP="007E17E5">
      <w:pPr>
        <w:spacing w:after="120"/>
        <w:rPr>
          <w:b/>
          <w:bCs/>
        </w:rPr>
      </w:pPr>
      <w:proofErr w:type="spellStart"/>
      <w:r>
        <w:rPr>
          <w:b/>
        </w:rPr>
        <w:t>Employees</w:t>
      </w:r>
      <w:proofErr w:type="spellEnd"/>
      <w:r>
        <w:rPr>
          <w:b/>
        </w:rPr>
        <w:t xml:space="preserve"> </w:t>
      </w:r>
      <w:proofErr w:type="spellStart"/>
      <w:r>
        <w:rPr>
          <w:b/>
        </w:rPr>
        <w:t>by</w:t>
      </w:r>
      <w:proofErr w:type="spellEnd"/>
      <w:r>
        <w:rPr>
          <w:b/>
        </w:rPr>
        <w:t xml:space="preserve"> </w:t>
      </w:r>
      <w:proofErr w:type="spellStart"/>
      <w:r>
        <w:rPr>
          <w:b/>
        </w:rPr>
        <w:t>segment</w:t>
      </w:r>
      <w:proofErr w:type="spellEnd"/>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7E17E5" w:rsidRPr="00085C27" w:rsidTr="00913ADE">
        <w:tc>
          <w:tcPr>
            <w:tcW w:w="4122" w:type="dxa"/>
          </w:tcPr>
          <w:p w:rsidR="007E17E5" w:rsidRPr="00B13E9A" w:rsidRDefault="007E17E5" w:rsidP="00913ADE">
            <w:pPr>
              <w:ind w:left="0"/>
              <w:rPr>
                <w:bCs/>
              </w:rPr>
            </w:pPr>
          </w:p>
        </w:tc>
        <w:tc>
          <w:tcPr>
            <w:tcW w:w="2172" w:type="dxa"/>
          </w:tcPr>
          <w:p w:rsidR="007E17E5" w:rsidRPr="00BE5DBC" w:rsidRDefault="007E17E5" w:rsidP="00913ADE">
            <w:pPr>
              <w:ind w:left="0"/>
              <w:jc w:val="center"/>
              <w:rPr>
                <w:b/>
                <w:bCs/>
              </w:rPr>
            </w:pPr>
            <w:r>
              <w:rPr>
                <w:b/>
              </w:rPr>
              <w:t>Sept. 30, 2014</w:t>
            </w:r>
          </w:p>
        </w:tc>
        <w:tc>
          <w:tcPr>
            <w:tcW w:w="2173" w:type="dxa"/>
          </w:tcPr>
          <w:p w:rsidR="007E17E5" w:rsidRPr="00085C27" w:rsidRDefault="007E17E5" w:rsidP="00913ADE">
            <w:pPr>
              <w:ind w:left="0"/>
              <w:jc w:val="center"/>
              <w:rPr>
                <w:b/>
                <w:bCs/>
              </w:rPr>
            </w:pPr>
            <w:proofErr w:type="spellStart"/>
            <w:r>
              <w:rPr>
                <w:b/>
              </w:rPr>
              <w:t>Dec</w:t>
            </w:r>
            <w:proofErr w:type="spellEnd"/>
            <w:r>
              <w:rPr>
                <w:b/>
              </w:rPr>
              <w:t>. 31, 2013</w:t>
            </w:r>
          </w:p>
        </w:tc>
      </w:tr>
      <w:tr w:rsidR="007E17E5" w:rsidRPr="00085C27" w:rsidTr="00913ADE">
        <w:tc>
          <w:tcPr>
            <w:tcW w:w="4122" w:type="dxa"/>
          </w:tcPr>
          <w:p w:rsidR="007E17E5" w:rsidRPr="00085C27" w:rsidRDefault="007E17E5" w:rsidP="00913ADE">
            <w:pPr>
              <w:ind w:left="0"/>
              <w:rPr>
                <w:bCs/>
              </w:rPr>
            </w:pPr>
            <w:r>
              <w:t>Consumer, Health &amp; Nutrition</w:t>
            </w:r>
          </w:p>
        </w:tc>
        <w:tc>
          <w:tcPr>
            <w:tcW w:w="2172" w:type="dxa"/>
          </w:tcPr>
          <w:p w:rsidR="007E17E5" w:rsidRPr="00A14C8B" w:rsidRDefault="007E17E5" w:rsidP="00913ADE">
            <w:pPr>
              <w:ind w:left="0"/>
              <w:jc w:val="right"/>
              <w:rPr>
                <w:bCs/>
              </w:rPr>
            </w:pPr>
            <w:r>
              <w:t>7,081</w:t>
            </w:r>
          </w:p>
        </w:tc>
        <w:tc>
          <w:tcPr>
            <w:tcW w:w="2173" w:type="dxa"/>
          </w:tcPr>
          <w:p w:rsidR="007E17E5" w:rsidRPr="00A14C8B" w:rsidRDefault="007E17E5" w:rsidP="00913ADE">
            <w:pPr>
              <w:ind w:left="0"/>
              <w:jc w:val="right"/>
              <w:rPr>
                <w:bCs/>
              </w:rPr>
            </w:pPr>
            <w:r>
              <w:t>7,150</w:t>
            </w:r>
          </w:p>
        </w:tc>
      </w:tr>
      <w:tr w:rsidR="007E17E5" w:rsidRPr="00085C27" w:rsidTr="00913ADE">
        <w:tc>
          <w:tcPr>
            <w:tcW w:w="4122" w:type="dxa"/>
          </w:tcPr>
          <w:p w:rsidR="007E17E5" w:rsidRPr="00A14C8B" w:rsidRDefault="007E17E5" w:rsidP="00913ADE">
            <w:pPr>
              <w:ind w:left="0"/>
              <w:rPr>
                <w:bCs/>
              </w:rPr>
            </w:pPr>
            <w:r>
              <w:t>Resource Efficiency</w:t>
            </w:r>
          </w:p>
        </w:tc>
        <w:tc>
          <w:tcPr>
            <w:tcW w:w="2172" w:type="dxa"/>
          </w:tcPr>
          <w:p w:rsidR="007E17E5" w:rsidRPr="00A14C8B" w:rsidRDefault="007E17E5" w:rsidP="00913ADE">
            <w:pPr>
              <w:ind w:left="0"/>
              <w:jc w:val="right"/>
              <w:rPr>
                <w:bCs/>
              </w:rPr>
            </w:pPr>
            <w:r>
              <w:t>5,875</w:t>
            </w:r>
          </w:p>
        </w:tc>
        <w:tc>
          <w:tcPr>
            <w:tcW w:w="2173" w:type="dxa"/>
          </w:tcPr>
          <w:p w:rsidR="007E17E5" w:rsidRPr="00A14C8B" w:rsidRDefault="007E17E5" w:rsidP="00913ADE">
            <w:pPr>
              <w:ind w:left="0"/>
              <w:jc w:val="right"/>
              <w:rPr>
                <w:bCs/>
              </w:rPr>
            </w:pPr>
            <w:r>
              <w:t>5,854</w:t>
            </w:r>
          </w:p>
        </w:tc>
      </w:tr>
      <w:tr w:rsidR="007E17E5" w:rsidRPr="00085C27" w:rsidTr="00913ADE">
        <w:tc>
          <w:tcPr>
            <w:tcW w:w="4122" w:type="dxa"/>
          </w:tcPr>
          <w:p w:rsidR="007E17E5" w:rsidRPr="00A14C8B" w:rsidRDefault="007E17E5" w:rsidP="00913ADE">
            <w:pPr>
              <w:ind w:left="0"/>
              <w:rPr>
                <w:bCs/>
              </w:rPr>
            </w:pPr>
            <w:r>
              <w:t>Specialty Materials</w:t>
            </w:r>
          </w:p>
        </w:tc>
        <w:tc>
          <w:tcPr>
            <w:tcW w:w="2172" w:type="dxa"/>
          </w:tcPr>
          <w:p w:rsidR="007E17E5" w:rsidRPr="00A14C8B" w:rsidRDefault="007E17E5" w:rsidP="00913ADE">
            <w:pPr>
              <w:ind w:left="0"/>
              <w:jc w:val="right"/>
              <w:rPr>
                <w:bCs/>
              </w:rPr>
            </w:pPr>
            <w:r>
              <w:t>6,278</w:t>
            </w:r>
          </w:p>
        </w:tc>
        <w:tc>
          <w:tcPr>
            <w:tcW w:w="2173" w:type="dxa"/>
          </w:tcPr>
          <w:p w:rsidR="007E17E5" w:rsidRPr="00A14C8B" w:rsidRDefault="007E17E5" w:rsidP="00913ADE">
            <w:pPr>
              <w:ind w:left="0"/>
              <w:jc w:val="right"/>
              <w:rPr>
                <w:bCs/>
              </w:rPr>
            </w:pPr>
            <w:r>
              <w:t>6,268</w:t>
            </w:r>
          </w:p>
        </w:tc>
      </w:tr>
      <w:tr w:rsidR="007E17E5" w:rsidRPr="00A14C8B" w:rsidTr="00913ADE">
        <w:tc>
          <w:tcPr>
            <w:tcW w:w="4122" w:type="dxa"/>
          </w:tcPr>
          <w:p w:rsidR="007E17E5" w:rsidRPr="00A14C8B" w:rsidRDefault="007E17E5" w:rsidP="00913ADE">
            <w:pPr>
              <w:ind w:left="0"/>
              <w:rPr>
                <w:bCs/>
              </w:rPr>
            </w:pPr>
            <w:r>
              <w:t>Services</w:t>
            </w:r>
          </w:p>
        </w:tc>
        <w:tc>
          <w:tcPr>
            <w:tcW w:w="2172" w:type="dxa"/>
          </w:tcPr>
          <w:p w:rsidR="007E17E5" w:rsidRPr="00A14C8B" w:rsidRDefault="007E17E5" w:rsidP="00913ADE">
            <w:pPr>
              <w:ind w:left="0"/>
              <w:jc w:val="right"/>
              <w:rPr>
                <w:bCs/>
              </w:rPr>
            </w:pPr>
            <w:r>
              <w:t>12,654</w:t>
            </w:r>
          </w:p>
        </w:tc>
        <w:tc>
          <w:tcPr>
            <w:tcW w:w="2173" w:type="dxa"/>
          </w:tcPr>
          <w:p w:rsidR="007E17E5" w:rsidRPr="00A14C8B" w:rsidRDefault="007E17E5" w:rsidP="00913ADE">
            <w:pPr>
              <w:ind w:left="0"/>
              <w:jc w:val="right"/>
              <w:rPr>
                <w:bCs/>
              </w:rPr>
            </w:pPr>
            <w:r>
              <w:t>12,192</w:t>
            </w:r>
          </w:p>
        </w:tc>
      </w:tr>
      <w:tr w:rsidR="007E17E5" w:rsidRPr="00B13E9A" w:rsidTr="00913ADE">
        <w:tc>
          <w:tcPr>
            <w:tcW w:w="4122" w:type="dxa"/>
          </w:tcPr>
          <w:p w:rsidR="007E17E5" w:rsidRPr="00A14C8B" w:rsidRDefault="007E17E5" w:rsidP="00913ADE">
            <w:pPr>
              <w:ind w:left="0"/>
              <w:rPr>
                <w:bCs/>
              </w:rPr>
            </w:pPr>
            <w:r>
              <w:t xml:space="preserve">Other </w:t>
            </w:r>
            <w:proofErr w:type="spellStart"/>
            <w:r>
              <w:t>operations</w:t>
            </w:r>
            <w:proofErr w:type="spellEnd"/>
          </w:p>
        </w:tc>
        <w:tc>
          <w:tcPr>
            <w:tcW w:w="2172" w:type="dxa"/>
          </w:tcPr>
          <w:p w:rsidR="007E17E5" w:rsidRPr="00A14C8B" w:rsidRDefault="007E17E5" w:rsidP="00913ADE">
            <w:pPr>
              <w:ind w:left="0"/>
              <w:jc w:val="right"/>
              <w:rPr>
                <w:bCs/>
              </w:rPr>
            </w:pPr>
            <w:r>
              <w:t>1,408</w:t>
            </w:r>
          </w:p>
        </w:tc>
        <w:tc>
          <w:tcPr>
            <w:tcW w:w="2173" w:type="dxa"/>
          </w:tcPr>
          <w:p w:rsidR="007E17E5" w:rsidRPr="00B13E9A" w:rsidRDefault="007E17E5" w:rsidP="00913ADE">
            <w:pPr>
              <w:ind w:left="0"/>
              <w:jc w:val="right"/>
              <w:rPr>
                <w:bCs/>
              </w:rPr>
            </w:pPr>
            <w:r>
              <w:t>1,531</w:t>
            </w:r>
          </w:p>
        </w:tc>
      </w:tr>
      <w:tr w:rsidR="007E17E5" w:rsidRPr="00B13E9A" w:rsidTr="00913ADE">
        <w:tc>
          <w:tcPr>
            <w:tcW w:w="4122" w:type="dxa"/>
          </w:tcPr>
          <w:p w:rsidR="007E17E5" w:rsidRPr="00B13E9A" w:rsidRDefault="007E17E5" w:rsidP="00913ADE">
            <w:pPr>
              <w:ind w:left="0"/>
              <w:rPr>
                <w:bCs/>
              </w:rPr>
            </w:pPr>
            <w:proofErr w:type="spellStart"/>
            <w:r>
              <w:t>Continuing</w:t>
            </w:r>
            <w:proofErr w:type="spellEnd"/>
            <w:r>
              <w:t xml:space="preserve"> </w:t>
            </w:r>
            <w:proofErr w:type="spellStart"/>
            <w:r>
              <w:t>operations</w:t>
            </w:r>
            <w:proofErr w:type="spellEnd"/>
          </w:p>
        </w:tc>
        <w:tc>
          <w:tcPr>
            <w:tcW w:w="2172" w:type="dxa"/>
          </w:tcPr>
          <w:p w:rsidR="007E17E5" w:rsidRPr="00B13E9A" w:rsidRDefault="007E17E5" w:rsidP="00913ADE">
            <w:pPr>
              <w:ind w:left="0"/>
              <w:jc w:val="right"/>
              <w:rPr>
                <w:bCs/>
              </w:rPr>
            </w:pPr>
            <w:r>
              <w:t>33,296</w:t>
            </w:r>
          </w:p>
        </w:tc>
        <w:tc>
          <w:tcPr>
            <w:tcW w:w="2173" w:type="dxa"/>
          </w:tcPr>
          <w:p w:rsidR="007E17E5" w:rsidRPr="00B13E9A" w:rsidRDefault="007E17E5" w:rsidP="00913ADE">
            <w:pPr>
              <w:ind w:left="0"/>
              <w:jc w:val="right"/>
              <w:rPr>
                <w:bCs/>
              </w:rPr>
            </w:pPr>
            <w:r>
              <w:t>32,995</w:t>
            </w:r>
          </w:p>
        </w:tc>
      </w:tr>
      <w:tr w:rsidR="007E17E5" w:rsidRPr="00B13E9A" w:rsidTr="00913ADE">
        <w:tc>
          <w:tcPr>
            <w:tcW w:w="4122" w:type="dxa"/>
          </w:tcPr>
          <w:p w:rsidR="007E17E5" w:rsidRPr="00B13E9A" w:rsidRDefault="007E17E5" w:rsidP="00913ADE">
            <w:pPr>
              <w:ind w:left="0"/>
              <w:rPr>
                <w:bCs/>
              </w:rPr>
            </w:pPr>
            <w:proofErr w:type="spellStart"/>
            <w:r>
              <w:t>Discontinued</w:t>
            </w:r>
            <w:proofErr w:type="spellEnd"/>
            <w:r>
              <w:t xml:space="preserve"> </w:t>
            </w:r>
            <w:proofErr w:type="spellStart"/>
            <w:r>
              <w:t>operations</w:t>
            </w:r>
            <w:proofErr w:type="spellEnd"/>
            <w:r>
              <w:t xml:space="preserve"> </w:t>
            </w:r>
          </w:p>
        </w:tc>
        <w:tc>
          <w:tcPr>
            <w:tcW w:w="2172" w:type="dxa"/>
          </w:tcPr>
          <w:p w:rsidR="007E17E5" w:rsidRPr="00B13E9A" w:rsidRDefault="007E17E5" w:rsidP="00913ADE">
            <w:pPr>
              <w:ind w:left="0"/>
              <w:jc w:val="right"/>
              <w:rPr>
                <w:bCs/>
              </w:rPr>
            </w:pPr>
            <w:r>
              <w:t>176</w:t>
            </w:r>
          </w:p>
        </w:tc>
        <w:tc>
          <w:tcPr>
            <w:tcW w:w="2173" w:type="dxa"/>
          </w:tcPr>
          <w:p w:rsidR="007E17E5" w:rsidRPr="00B13E9A" w:rsidRDefault="007E17E5" w:rsidP="00913ADE">
            <w:pPr>
              <w:ind w:left="0"/>
              <w:jc w:val="right"/>
              <w:rPr>
                <w:bCs/>
              </w:rPr>
            </w:pPr>
            <w:r>
              <w:t>655</w:t>
            </w:r>
          </w:p>
        </w:tc>
      </w:tr>
      <w:tr w:rsidR="007E17E5" w:rsidRPr="00BE5DBC" w:rsidTr="00913ADE">
        <w:tc>
          <w:tcPr>
            <w:tcW w:w="4122" w:type="dxa"/>
          </w:tcPr>
          <w:p w:rsidR="007E17E5" w:rsidRPr="00BE5DBC" w:rsidRDefault="007E17E5" w:rsidP="00913ADE">
            <w:pPr>
              <w:ind w:left="0"/>
              <w:rPr>
                <w:b/>
                <w:bCs/>
              </w:rPr>
            </w:pPr>
            <w:r>
              <w:rPr>
                <w:b/>
              </w:rPr>
              <w:t>Group</w:t>
            </w:r>
          </w:p>
        </w:tc>
        <w:tc>
          <w:tcPr>
            <w:tcW w:w="2172" w:type="dxa"/>
          </w:tcPr>
          <w:p w:rsidR="007E17E5" w:rsidRPr="00BE5DBC" w:rsidRDefault="007E17E5" w:rsidP="00913ADE">
            <w:pPr>
              <w:ind w:left="0"/>
              <w:jc w:val="right"/>
              <w:rPr>
                <w:b/>
                <w:bCs/>
              </w:rPr>
            </w:pPr>
            <w:r>
              <w:rPr>
                <w:b/>
              </w:rPr>
              <w:t>33,472</w:t>
            </w:r>
          </w:p>
        </w:tc>
        <w:tc>
          <w:tcPr>
            <w:tcW w:w="2173" w:type="dxa"/>
          </w:tcPr>
          <w:p w:rsidR="007E17E5" w:rsidRPr="00BE5DBC" w:rsidRDefault="007E17E5" w:rsidP="00913ADE">
            <w:pPr>
              <w:ind w:left="0"/>
              <w:jc w:val="right"/>
              <w:rPr>
                <w:b/>
                <w:bCs/>
              </w:rPr>
            </w:pPr>
            <w:r>
              <w:rPr>
                <w:b/>
              </w:rPr>
              <w:t>33,650</w:t>
            </w:r>
          </w:p>
        </w:tc>
      </w:tr>
    </w:tbl>
    <w:p w:rsidR="00C271A9" w:rsidRDefault="00C271A9" w:rsidP="00C271A9">
      <w:pPr>
        <w:spacing w:line="240" w:lineRule="auto"/>
        <w:ind w:left="0" w:right="0"/>
        <w:rPr>
          <w:b/>
          <w:bCs/>
          <w:sz w:val="22"/>
          <w:szCs w:val="22"/>
        </w:rPr>
      </w:pPr>
    </w:p>
    <w:p w:rsidR="00394C88" w:rsidRDefault="00394C88" w:rsidP="00EF521C">
      <w:pPr>
        <w:spacing w:line="240" w:lineRule="auto"/>
        <w:ind w:right="0"/>
        <w:rPr>
          <w:rFonts w:cs="Lucida Sans Unicode"/>
          <w:b/>
          <w:bCs/>
          <w:color w:val="000000"/>
          <w:szCs w:val="18"/>
          <w:lang w:val="en-US"/>
        </w:rPr>
      </w:pPr>
    </w:p>
    <w:p w:rsidR="006F4337" w:rsidRDefault="006F4337" w:rsidP="00EF521C">
      <w:pPr>
        <w:spacing w:line="240" w:lineRule="auto"/>
        <w:ind w:right="0"/>
        <w:rPr>
          <w:rFonts w:cs="Lucida Sans Unicode"/>
          <w:b/>
          <w:bCs/>
          <w:color w:val="000000"/>
          <w:szCs w:val="18"/>
          <w:lang w:val="en-US"/>
        </w:rPr>
      </w:pPr>
    </w:p>
    <w:p w:rsidR="003C3375" w:rsidRDefault="003C3375" w:rsidP="00EF521C">
      <w:pPr>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EF521C">
      <w:pPr>
        <w:autoSpaceDE w:val="0"/>
        <w:autoSpaceDN w:val="0"/>
        <w:adjustRightInd w:val="0"/>
        <w:spacing w:line="220" w:lineRule="exact"/>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EF521C">
      <w:pPr>
        <w:autoSpaceDE w:val="0"/>
        <w:autoSpaceDN w:val="0"/>
        <w:adjustRightInd w:val="0"/>
        <w:spacing w:line="220" w:lineRule="exact"/>
        <w:rPr>
          <w:rFonts w:cs="Lucida Sans Unicode"/>
          <w:szCs w:val="18"/>
          <w:lang w:val="en-US"/>
        </w:rPr>
      </w:pPr>
    </w:p>
    <w:p w:rsidR="00D62AD8" w:rsidRPr="00BB06C8" w:rsidRDefault="00D62AD8" w:rsidP="00EF521C">
      <w:pPr>
        <w:autoSpaceDE w:val="0"/>
        <w:autoSpaceDN w:val="0"/>
        <w:adjustRightInd w:val="0"/>
        <w:spacing w:line="220" w:lineRule="exact"/>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w:t>
      </w:r>
      <w:r w:rsidR="00BC3F95">
        <w:rPr>
          <w:rFonts w:cs="Lucida Sans Unicode"/>
          <w:szCs w:val="18"/>
          <w:lang w:val="en-US"/>
        </w:rPr>
        <w:t>7</w:t>
      </w:r>
      <w:r w:rsidRPr="00BB06C8">
        <w:rPr>
          <w:rFonts w:cs="Lucida Sans Unicode"/>
          <w:szCs w:val="18"/>
          <w:lang w:val="en-US"/>
        </w:rPr>
        <w:t xml:space="preserve"> billion and an operating profit (adjusted EBITDA) of about €2.0 billion.</w:t>
      </w:r>
    </w:p>
    <w:p w:rsidR="003C3375" w:rsidRDefault="003C3375" w:rsidP="00EF521C">
      <w:pPr>
        <w:rPr>
          <w:szCs w:val="18"/>
          <w:lang w:val="en-US"/>
        </w:rPr>
      </w:pPr>
    </w:p>
    <w:p w:rsidR="003C3375" w:rsidRPr="00696302" w:rsidRDefault="003C3375" w:rsidP="00EF521C">
      <w:pPr>
        <w:spacing w:line="240" w:lineRule="auto"/>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EF521C">
      <w:pPr>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rsidP="00EF521C">
      <w:pPr>
        <w:spacing w:line="240" w:lineRule="auto"/>
        <w:ind w:right="0"/>
        <w:rPr>
          <w:rFonts w:cs="Lucida Sans Unicode"/>
          <w:position w:val="0"/>
          <w:szCs w:val="18"/>
          <w:lang w:val="en-US"/>
        </w:rPr>
      </w:pPr>
    </w:p>
    <w:p w:rsidR="00CC5D98" w:rsidRPr="003C3375" w:rsidRDefault="00CC5D98" w:rsidP="00EF521C">
      <w:pPr>
        <w:autoSpaceDE w:val="0"/>
        <w:autoSpaceDN w:val="0"/>
        <w:adjustRightInd w:val="0"/>
        <w:spacing w:line="220" w:lineRule="exact"/>
        <w:ind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84E" w:rsidRDefault="0007084E">
      <w:r>
        <w:separator/>
      </w:r>
    </w:p>
    <w:p w:rsidR="0007084E" w:rsidRDefault="0007084E"/>
  </w:endnote>
  <w:endnote w:type="continuationSeparator" w:id="0">
    <w:p w:rsidR="0007084E" w:rsidRDefault="0007084E">
      <w:r>
        <w:continuationSeparator/>
      </w:r>
    </w:p>
    <w:p w:rsidR="0007084E" w:rsidRDefault="00070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4219C">
      <w:rPr>
        <w:rStyle w:val="Seitenzahl"/>
        <w:noProof/>
      </w:rPr>
      <w:t>10</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4219C">
      <w:rPr>
        <w:rStyle w:val="Seitenzahl"/>
        <w:noProof/>
      </w:rPr>
      <w:t>10</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4219C">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4219C">
      <w:rPr>
        <w:rStyle w:val="Seitenzahl"/>
        <w:noProof/>
      </w:rPr>
      <w:t>10</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84E" w:rsidRDefault="0007084E">
      <w:r>
        <w:separator/>
      </w:r>
    </w:p>
    <w:p w:rsidR="0007084E" w:rsidRDefault="0007084E"/>
  </w:footnote>
  <w:footnote w:type="continuationSeparator" w:id="0">
    <w:p w:rsidR="0007084E" w:rsidRDefault="0007084E">
      <w:r>
        <w:continuationSeparator/>
      </w:r>
    </w:p>
    <w:p w:rsidR="0007084E" w:rsidRDefault="000708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1EB47478" wp14:editId="0BE4D685">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65066543" wp14:editId="416796F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Pr="007E17E5" w:rsidRDefault="00552E51" w:rsidP="00CA632E">
    <w:pPr>
      <w:pStyle w:val="Kopfzeile"/>
      <w:rPr>
        <w:b/>
        <w:u w:val="single"/>
        <w:lang w:val="en-US"/>
      </w:rPr>
    </w:pPr>
    <w:r w:rsidRPr="007E17E5">
      <w:rPr>
        <w:lang w:val="en-US"/>
      </w:rPr>
      <w:br/>
    </w:r>
    <w:r w:rsidRPr="007E17E5">
      <w:rPr>
        <w:lang w:val="en-US"/>
      </w:rPr>
      <w:br/>
    </w:r>
    <w:r w:rsidRPr="007E17E5">
      <w:rPr>
        <w:lang w:val="en-US"/>
      </w:rPr>
      <w:br/>
    </w:r>
    <w:r w:rsidRPr="007E17E5">
      <w:rPr>
        <w:lang w:val="en-US"/>
      </w:rPr>
      <w:br/>
    </w:r>
    <w:r w:rsidRPr="007E17E5">
      <w:rPr>
        <w:lang w:val="en-US"/>
      </w:rPr>
      <w:br/>
    </w:r>
    <w:r w:rsidRPr="007E17E5">
      <w:rPr>
        <w:lang w:val="en-US"/>
      </w:rPr>
      <w:br/>
    </w:r>
    <w:r w:rsidRPr="007E17E5">
      <w:rPr>
        <w:lang w:val="en-US"/>
      </w:rPr>
      <w:br/>
    </w:r>
    <w:r w:rsidRPr="007E17E5">
      <w:rPr>
        <w:lang w:val="en-US"/>
      </w:rPr>
      <w:br/>
    </w:r>
    <w:r w:rsidR="007E17E5" w:rsidRPr="007E17E5">
      <w:rPr>
        <w:b/>
        <w:u w:val="single"/>
        <w:lang w:val="en-US"/>
      </w:rPr>
      <w:t>Embargoed until: 7 a.m. on October 30, 2014</w:t>
    </w:r>
    <w:r w:rsidR="00794AB9" w:rsidRPr="00552E51">
      <w:rPr>
        <w:b/>
        <w:noProof/>
        <w:u w:val="single"/>
        <w:lang w:val="en-US" w:eastAsia="en-US"/>
      </w:rPr>
      <w:drawing>
        <wp:anchor distT="0" distB="0" distL="114300" distR="114300" simplePos="0" relativeHeight="251660288" behindDoc="1" locked="0" layoutInCell="1" allowOverlap="1" wp14:anchorId="5A75F33C" wp14:editId="7A013736">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552E51">
      <w:rPr>
        <w:b/>
        <w:noProof/>
        <w:u w:val="single"/>
        <w:lang w:val="en-US" w:eastAsia="en-US"/>
      </w:rPr>
      <mc:AlternateContent>
        <mc:Choice Requires="wpg">
          <w:drawing>
            <wp:anchor distT="0" distB="0" distL="114300" distR="114300" simplePos="0" relativeHeight="251656192" behindDoc="1" locked="0" layoutInCell="1" allowOverlap="1" wp14:anchorId="1BB01179" wp14:editId="4C9B165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A1E0738"/>
    <w:multiLevelType w:val="hybridMultilevel"/>
    <w:tmpl w:val="4444364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6">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7">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8">
    <w:nsid w:val="54115FD0"/>
    <w:multiLevelType w:val="hybridMultilevel"/>
    <w:tmpl w:val="34FCF2E6"/>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6"/>
  </w:num>
  <w:num w:numId="17">
    <w:abstractNumId w:val="17"/>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F6D"/>
    <w:rsid w:val="000434B6"/>
    <w:rsid w:val="0007084E"/>
    <w:rsid w:val="000C004B"/>
    <w:rsid w:val="00163078"/>
    <w:rsid w:val="001873F1"/>
    <w:rsid w:val="002203D8"/>
    <w:rsid w:val="0024219C"/>
    <w:rsid w:val="002836F3"/>
    <w:rsid w:val="002B6D6F"/>
    <w:rsid w:val="002B77FA"/>
    <w:rsid w:val="00353E56"/>
    <w:rsid w:val="00394C88"/>
    <w:rsid w:val="003C3375"/>
    <w:rsid w:val="0040450C"/>
    <w:rsid w:val="004211E6"/>
    <w:rsid w:val="004303C2"/>
    <w:rsid w:val="00552E51"/>
    <w:rsid w:val="00554BE4"/>
    <w:rsid w:val="005A0594"/>
    <w:rsid w:val="00620F6D"/>
    <w:rsid w:val="00634DA8"/>
    <w:rsid w:val="00665FE8"/>
    <w:rsid w:val="0067540D"/>
    <w:rsid w:val="006909F1"/>
    <w:rsid w:val="0069514A"/>
    <w:rsid w:val="00696302"/>
    <w:rsid w:val="006C760D"/>
    <w:rsid w:val="006F4337"/>
    <w:rsid w:val="00733B94"/>
    <w:rsid w:val="00762908"/>
    <w:rsid w:val="007752EC"/>
    <w:rsid w:val="00777131"/>
    <w:rsid w:val="00787910"/>
    <w:rsid w:val="00787E54"/>
    <w:rsid w:val="00794AB9"/>
    <w:rsid w:val="007E17E5"/>
    <w:rsid w:val="008174AA"/>
    <w:rsid w:val="00841FF0"/>
    <w:rsid w:val="0093404D"/>
    <w:rsid w:val="00945C89"/>
    <w:rsid w:val="009A3B25"/>
    <w:rsid w:val="009B3F1F"/>
    <w:rsid w:val="009C3197"/>
    <w:rsid w:val="00A029E1"/>
    <w:rsid w:val="00A4039D"/>
    <w:rsid w:val="00A654E9"/>
    <w:rsid w:val="00AA446A"/>
    <w:rsid w:val="00AA7D02"/>
    <w:rsid w:val="00AE6007"/>
    <w:rsid w:val="00AF0C7C"/>
    <w:rsid w:val="00B14022"/>
    <w:rsid w:val="00B81424"/>
    <w:rsid w:val="00BC3F95"/>
    <w:rsid w:val="00C271A9"/>
    <w:rsid w:val="00C96A06"/>
    <w:rsid w:val="00CA632E"/>
    <w:rsid w:val="00CC5D98"/>
    <w:rsid w:val="00CE51E5"/>
    <w:rsid w:val="00CF1888"/>
    <w:rsid w:val="00D0669C"/>
    <w:rsid w:val="00D62AD8"/>
    <w:rsid w:val="00D93F4B"/>
    <w:rsid w:val="00DB5B19"/>
    <w:rsid w:val="00E00BD2"/>
    <w:rsid w:val="00E12886"/>
    <w:rsid w:val="00E23BAC"/>
    <w:rsid w:val="00E3471C"/>
    <w:rsid w:val="00E832D9"/>
    <w:rsid w:val="00EF521C"/>
    <w:rsid w:val="00F31F7C"/>
    <w:rsid w:val="00F54453"/>
    <w:rsid w:val="00F625B9"/>
    <w:rsid w:val="00F6408B"/>
    <w:rsid w:val="00F82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qFormat/>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99"/>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qFormat/>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99"/>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CC14A-F292-4E4E-AD1D-27864DC2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CBF3375F</Template>
  <TotalTime>0</TotalTime>
  <Pages>10</Pages>
  <Words>2831</Words>
  <Characters>15825</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Key Financial Data: January 1 to September 30, 2014 / Q3 2014</vt:lpstr>
    </vt:vector>
  </TitlesOfParts>
  <Company>Evonik Industries AG</Company>
  <LinksUpToDate>false</LinksUpToDate>
  <CharactersWithSpaces>18619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Financial Data: January 1 to September 30, 2014 / Q3 2014</dc:title>
  <dc:creator>Evonik Industries</dc:creator>
  <cp:lastModifiedBy>Bach, Katrin</cp:lastModifiedBy>
  <cp:revision>5</cp:revision>
  <cp:lastPrinted>2014-10-30T13:14:00Z</cp:lastPrinted>
  <dcterms:created xsi:type="dcterms:W3CDTF">2014-10-30T13:13:00Z</dcterms:created>
  <dcterms:modified xsi:type="dcterms:W3CDTF">2014-10-30T13:14:00Z</dcterms:modified>
</cp:coreProperties>
</file>