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2FE" w:rsidRDefault="00B51B77">
      <w:pPr>
        <w:spacing w:line="300" w:lineRule="exact"/>
        <w:ind w:left="0"/>
        <w:rPr>
          <w:szCs w:val="18"/>
          <w:u w:val="single"/>
        </w:rPr>
      </w:pPr>
      <w:proofErr w:type="spellStart"/>
      <w:r>
        <w:rPr>
          <w:szCs w:val="18"/>
          <w:u w:val="single"/>
        </w:rPr>
        <w:t>Embargoed</w:t>
      </w:r>
      <w:proofErr w:type="spellEnd"/>
      <w:r>
        <w:rPr>
          <w:szCs w:val="18"/>
          <w:u w:val="single"/>
        </w:rPr>
        <w:t xml:space="preserve"> </w:t>
      </w:r>
      <w:proofErr w:type="spellStart"/>
      <w:r>
        <w:rPr>
          <w:szCs w:val="18"/>
          <w:u w:val="single"/>
        </w:rPr>
        <w:t>until</w:t>
      </w:r>
      <w:proofErr w:type="spellEnd"/>
      <w:r>
        <w:rPr>
          <w:szCs w:val="18"/>
          <w:u w:val="single"/>
        </w:rPr>
        <w:t>: March 12, 2013 – 9.30 am</w:t>
      </w:r>
    </w:p>
    <w:p w:rsidR="009602FE" w:rsidRDefault="009602FE">
      <w:pPr>
        <w:spacing w:line="300" w:lineRule="exact"/>
        <w:ind w:left="0"/>
        <w:rPr>
          <w:sz w:val="20"/>
          <w:szCs w:val="20"/>
          <w:u w:val="single"/>
        </w:rPr>
        <w:sectPr w:rsidR="009602F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9602FE">
        <w:trPr>
          <w:trHeight w:hRule="exact" w:val="174"/>
        </w:trPr>
        <w:tc>
          <w:tcPr>
            <w:tcW w:w="2271" w:type="dxa"/>
          </w:tcPr>
          <w:p w:rsidR="009602FE" w:rsidRDefault="00B51B77">
            <w:pPr>
              <w:pStyle w:val="E-Datum"/>
              <w:framePr w:wrap="auto" w:vAnchor="margin" w:hAnchor="text" w:xAlign="left" w:yAlign="inline"/>
              <w:suppressOverlap w:val="0"/>
            </w:pPr>
            <w:r>
              <w:t>March 12, 2013</w:t>
            </w:r>
          </w:p>
        </w:tc>
      </w:tr>
      <w:tr w:rsidR="009602FE">
        <w:trPr>
          <w:trHeight w:hRule="exact" w:val="304"/>
        </w:trPr>
        <w:tc>
          <w:tcPr>
            <w:tcW w:w="2271" w:type="dxa"/>
          </w:tcPr>
          <w:p w:rsidR="009602FE" w:rsidRDefault="009602FE">
            <w:pPr>
              <w:spacing w:line="180" w:lineRule="exact"/>
              <w:ind w:left="0"/>
            </w:pPr>
          </w:p>
        </w:tc>
      </w:tr>
      <w:tr w:rsidR="009602FE" w:rsidRPr="00333551">
        <w:trPr>
          <w:trHeight w:hRule="exact" w:val="1222"/>
        </w:trPr>
        <w:tc>
          <w:tcPr>
            <w:tcW w:w="2271" w:type="dxa"/>
          </w:tcPr>
          <w:p w:rsidR="009602FE" w:rsidRDefault="00B51B77">
            <w:pPr>
              <w:pStyle w:val="M7"/>
              <w:framePr w:wrap="auto" w:vAnchor="margin" w:hAnchor="text" w:xAlign="left" w:yAlign="inline"/>
              <w:suppressOverlap w:val="0"/>
              <w:rPr>
                <w:lang w:val="en-US"/>
              </w:rPr>
            </w:pPr>
            <w:r>
              <w:rPr>
                <w:lang w:val="en-US"/>
              </w:rPr>
              <w:t>Barbara Müller</w:t>
            </w:r>
          </w:p>
          <w:p w:rsidR="009602FE" w:rsidRDefault="00B51B77">
            <w:pPr>
              <w:pStyle w:val="M8"/>
              <w:framePr w:wrap="auto" w:vAnchor="margin" w:hAnchor="text" w:xAlign="left" w:yAlign="inline"/>
              <w:suppressOverlap w:val="0"/>
              <w:rPr>
                <w:lang w:val="en-US"/>
              </w:rPr>
            </w:pPr>
            <w:r>
              <w:rPr>
                <w:lang w:val="en-US"/>
              </w:rPr>
              <w:t>Head of Corporate Press</w:t>
            </w:r>
          </w:p>
          <w:p w:rsidR="009602FE" w:rsidRDefault="00B51B77">
            <w:pPr>
              <w:pStyle w:val="M9"/>
              <w:framePr w:wrap="auto" w:vAnchor="margin" w:hAnchor="text" w:xAlign="left" w:yAlign="inline"/>
              <w:suppressOverlap w:val="0"/>
              <w:rPr>
                <w:lang w:val="en-US"/>
              </w:rPr>
            </w:pPr>
            <w:r>
              <w:rPr>
                <w:lang w:val="en-US"/>
              </w:rPr>
              <w:t>Phone +49</w:t>
            </w:r>
            <w:r>
              <w:rPr>
                <w:lang w:val="en-US"/>
              </w:rPr>
              <w:tab/>
              <w:t>201 177-3423</w:t>
            </w:r>
          </w:p>
          <w:p w:rsidR="009602FE" w:rsidRDefault="00B51B77">
            <w:pPr>
              <w:pStyle w:val="M10"/>
              <w:framePr w:wrap="auto" w:vAnchor="margin" w:hAnchor="text" w:xAlign="left" w:yAlign="inline"/>
              <w:suppressOverlap w:val="0"/>
            </w:pPr>
            <w:r>
              <w:t>Fax +49</w:t>
            </w:r>
            <w:r>
              <w:tab/>
              <w:t>201 177-3030</w:t>
            </w:r>
          </w:p>
          <w:p w:rsidR="009602FE" w:rsidRDefault="00B51B77">
            <w:pPr>
              <w:pStyle w:val="M10"/>
              <w:framePr w:wrap="auto" w:vAnchor="margin" w:hAnchor="text" w:xAlign="left" w:yAlign="inline"/>
              <w:suppressOverlap w:val="0"/>
            </w:pPr>
            <w:r>
              <w:t>barbara.mueller@evonik.com</w:t>
            </w:r>
            <w:r>
              <w:rPr>
                <w:lang w:val="sv-SE"/>
              </w:rPr>
              <w:t xml:space="preserve"> </w:t>
            </w:r>
          </w:p>
        </w:tc>
      </w:tr>
      <w:tr w:rsidR="009602FE" w:rsidRPr="00333551">
        <w:trPr>
          <w:trHeight w:val="2609"/>
        </w:trPr>
        <w:tc>
          <w:tcPr>
            <w:tcW w:w="2271" w:type="dxa"/>
          </w:tcPr>
          <w:p w:rsidR="009602FE" w:rsidRDefault="009602FE">
            <w:pPr>
              <w:pStyle w:val="M12"/>
              <w:framePr w:wrap="auto" w:vAnchor="margin" w:hAnchor="text" w:xAlign="left" w:yAlign="inline"/>
              <w:suppressOverlap w:val="0"/>
              <w:rPr>
                <w:lang w:val="en-US"/>
              </w:rPr>
            </w:pPr>
          </w:p>
          <w:p w:rsidR="009602FE" w:rsidRDefault="00B51B77">
            <w:pPr>
              <w:pStyle w:val="M1"/>
              <w:framePr w:wrap="auto" w:vAnchor="margin" w:hAnchor="text" w:xAlign="left" w:yAlign="inline"/>
              <w:suppressOverlap w:val="0"/>
              <w:rPr>
                <w:lang w:val="en-US"/>
              </w:rPr>
            </w:pPr>
            <w:r>
              <w:rPr>
                <w:lang w:val="en-US"/>
              </w:rPr>
              <w:br/>
            </w:r>
            <w:r>
              <w:rPr>
                <w:lang w:val="en-US"/>
              </w:rPr>
              <w:br/>
            </w:r>
            <w:r>
              <w:rPr>
                <w:lang w:val="en-US"/>
              </w:rPr>
              <w:br/>
            </w:r>
          </w:p>
        </w:tc>
      </w:tr>
      <w:tr w:rsidR="009602FE">
        <w:trPr>
          <w:trHeight w:hRule="exact" w:val="7880"/>
        </w:trPr>
        <w:tc>
          <w:tcPr>
            <w:tcW w:w="2271" w:type="dxa"/>
            <w:vAlign w:val="bottom"/>
          </w:tcPr>
          <w:p w:rsidR="009602FE" w:rsidRDefault="009602FE">
            <w:pPr>
              <w:pStyle w:val="Marginalie"/>
              <w:framePr w:w="0" w:hSpace="0" w:wrap="auto" w:vAnchor="margin" w:hAnchor="text" w:xAlign="left" w:yAlign="inline"/>
              <w:rPr>
                <w:b/>
                <w:lang w:val="en-US"/>
              </w:rPr>
            </w:pPr>
          </w:p>
          <w:p w:rsidR="009602FE" w:rsidRDefault="009602FE">
            <w:pPr>
              <w:pStyle w:val="V1"/>
              <w:framePr w:wrap="auto" w:vAnchor="margin" w:hAnchor="text" w:xAlign="left" w:yAlign="inline"/>
              <w:suppressOverlap w:val="0"/>
              <w:rPr>
                <w:lang w:val="en-US"/>
              </w:rPr>
            </w:pPr>
          </w:p>
          <w:p w:rsidR="009602FE" w:rsidRDefault="009602FE">
            <w:pPr>
              <w:pStyle w:val="V1"/>
              <w:framePr w:wrap="auto" w:vAnchor="margin" w:hAnchor="text" w:xAlign="left" w:yAlign="inline"/>
              <w:suppressOverlap w:val="0"/>
              <w:rPr>
                <w:lang w:val="en-US"/>
              </w:rPr>
            </w:pPr>
          </w:p>
          <w:p w:rsidR="009602FE" w:rsidRDefault="009602FE">
            <w:pPr>
              <w:pStyle w:val="V1"/>
              <w:framePr w:wrap="auto" w:vAnchor="margin" w:hAnchor="text" w:xAlign="left" w:yAlign="inline"/>
              <w:suppressOverlap w:val="0"/>
              <w:rPr>
                <w:lang w:val="en-US"/>
              </w:rPr>
            </w:pPr>
          </w:p>
          <w:p w:rsidR="009602FE" w:rsidRDefault="009602FE">
            <w:pPr>
              <w:pStyle w:val="V1"/>
              <w:framePr w:wrap="auto" w:vAnchor="margin" w:hAnchor="text" w:xAlign="left" w:yAlign="inline"/>
              <w:suppressOverlap w:val="0"/>
              <w:rPr>
                <w:lang w:val="en-US"/>
              </w:rPr>
            </w:pPr>
          </w:p>
          <w:p w:rsidR="009602FE" w:rsidRDefault="009602FE">
            <w:pPr>
              <w:pStyle w:val="V1"/>
              <w:framePr w:wrap="auto" w:vAnchor="margin" w:hAnchor="text" w:xAlign="left" w:yAlign="inline"/>
              <w:suppressOverlap w:val="0"/>
              <w:rPr>
                <w:lang w:val="en-US"/>
              </w:rPr>
            </w:pPr>
          </w:p>
          <w:p w:rsidR="009602FE" w:rsidRDefault="009602FE">
            <w:pPr>
              <w:pStyle w:val="V1"/>
              <w:framePr w:wrap="auto" w:vAnchor="margin" w:hAnchor="text" w:xAlign="left" w:yAlign="inline"/>
              <w:suppressOverlap w:val="0"/>
              <w:rPr>
                <w:lang w:val="en-US"/>
              </w:rPr>
            </w:pPr>
          </w:p>
          <w:p w:rsidR="009602FE" w:rsidRDefault="009602FE">
            <w:pPr>
              <w:pStyle w:val="V1"/>
              <w:framePr w:wrap="auto" w:vAnchor="margin" w:hAnchor="text" w:xAlign="left" w:yAlign="inline"/>
              <w:suppressOverlap w:val="0"/>
              <w:rPr>
                <w:lang w:val="en-US"/>
              </w:rPr>
            </w:pPr>
          </w:p>
          <w:p w:rsidR="009602FE" w:rsidRDefault="009602FE">
            <w:pPr>
              <w:pStyle w:val="V1"/>
              <w:framePr w:wrap="auto" w:vAnchor="margin" w:hAnchor="text" w:xAlign="left" w:yAlign="inline"/>
              <w:suppressOverlap w:val="0"/>
              <w:rPr>
                <w:lang w:val="en-US"/>
              </w:rPr>
            </w:pPr>
          </w:p>
          <w:p w:rsidR="009602FE" w:rsidRDefault="009602FE">
            <w:pPr>
              <w:pStyle w:val="V1"/>
              <w:framePr w:wrap="auto" w:vAnchor="margin" w:hAnchor="text" w:xAlign="left" w:yAlign="inline"/>
              <w:suppressOverlap w:val="0"/>
              <w:rPr>
                <w:lang w:val="en-US"/>
              </w:rPr>
            </w:pPr>
          </w:p>
          <w:p w:rsidR="009602FE" w:rsidRDefault="009602FE">
            <w:pPr>
              <w:pStyle w:val="V1"/>
              <w:framePr w:wrap="auto" w:vAnchor="margin" w:hAnchor="text" w:xAlign="left" w:yAlign="inline"/>
              <w:suppressOverlap w:val="0"/>
              <w:rPr>
                <w:lang w:val="en-US"/>
              </w:rPr>
            </w:pPr>
          </w:p>
          <w:p w:rsidR="009602FE" w:rsidRDefault="009602FE">
            <w:pPr>
              <w:pStyle w:val="V1"/>
              <w:framePr w:wrap="auto" w:vAnchor="margin" w:hAnchor="text" w:xAlign="left" w:yAlign="inline"/>
              <w:suppressOverlap w:val="0"/>
              <w:rPr>
                <w:lang w:val="en-US"/>
              </w:rPr>
            </w:pPr>
          </w:p>
          <w:p w:rsidR="009602FE" w:rsidRDefault="009602FE">
            <w:pPr>
              <w:pStyle w:val="V1"/>
              <w:framePr w:wrap="auto" w:vAnchor="margin" w:hAnchor="text" w:xAlign="left" w:yAlign="inline"/>
              <w:suppressOverlap w:val="0"/>
              <w:rPr>
                <w:lang w:val="en-US"/>
              </w:rPr>
            </w:pPr>
          </w:p>
          <w:p w:rsidR="009602FE" w:rsidRDefault="00B51B77">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C14193">
              <w:rPr>
                <w:noProof/>
              </w:rPr>
              <w:t>Evonik Industries AG</w:t>
            </w:r>
            <w:r>
              <w:fldChar w:fldCharType="end"/>
            </w:r>
          </w:p>
          <w:p w:rsidR="009602FE" w:rsidRDefault="00B51B77">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C14193">
              <w:rPr>
                <w:noProof/>
              </w:rPr>
              <w:t>Rellinghauser Straße 1-11</w:t>
            </w:r>
            <w:r>
              <w:fldChar w:fldCharType="end"/>
            </w:r>
          </w:p>
          <w:p w:rsidR="009602FE" w:rsidRDefault="00B51B77">
            <w:pPr>
              <w:pStyle w:val="V3"/>
              <w:framePr w:wrap="auto" w:vAnchor="margin" w:hAnchor="text" w:xAlign="left" w:yAlign="inline"/>
              <w:suppressOverlap w:val="0"/>
              <w:rPr>
                <w:lang w:val="en-US"/>
              </w:rPr>
            </w:pPr>
            <w:r>
              <w:rPr>
                <w:lang w:val="en-US"/>
              </w:rPr>
              <w:fldChar w:fldCharType="begin">
                <w:ffData>
                  <w:name w:val=""/>
                  <w:enabled/>
                  <w:calcOnExit w:val="0"/>
                  <w:textInput>
                    <w:default w:val="45128 Essen"/>
                  </w:textInput>
                </w:ffData>
              </w:fldChar>
            </w:r>
            <w:r>
              <w:rPr>
                <w:lang w:val="en-US"/>
              </w:rPr>
              <w:instrText xml:space="preserve"> FORMTEXT </w:instrText>
            </w:r>
            <w:r>
              <w:rPr>
                <w:lang w:val="en-US"/>
              </w:rPr>
            </w:r>
            <w:r>
              <w:rPr>
                <w:lang w:val="en-US"/>
              </w:rPr>
              <w:fldChar w:fldCharType="separate"/>
            </w:r>
            <w:r w:rsidR="00C14193">
              <w:rPr>
                <w:noProof/>
                <w:lang w:val="en-US"/>
              </w:rPr>
              <w:t>45128 Essen</w:t>
            </w:r>
            <w:r>
              <w:rPr>
                <w:lang w:val="en-US"/>
              </w:rPr>
              <w:fldChar w:fldCharType="end"/>
            </w:r>
          </w:p>
          <w:p w:rsidR="009602FE" w:rsidRDefault="00B51B77">
            <w:pPr>
              <w:pStyle w:val="V3"/>
              <w:framePr w:wrap="auto" w:vAnchor="margin" w:hAnchor="text" w:xAlign="left" w:yAlign="inline"/>
              <w:suppressOverlap w:val="0"/>
              <w:rPr>
                <w:lang w:val="en-US"/>
              </w:rPr>
            </w:pPr>
            <w:r>
              <w:rPr>
                <w:lang w:val="en-US"/>
              </w:rPr>
              <w:t>Germany</w:t>
            </w:r>
          </w:p>
          <w:p w:rsidR="009602FE" w:rsidRDefault="00B51B77">
            <w:pPr>
              <w:pStyle w:val="V4"/>
              <w:framePr w:wrap="auto" w:vAnchor="margin" w:hAnchor="text" w:xAlign="left" w:yAlign="inline"/>
              <w:suppressOverlap w:val="0"/>
              <w:rPr>
                <w:lang w:val="en-US"/>
              </w:rPr>
            </w:pPr>
            <w:r>
              <w:rPr>
                <w:lang w:val="en-US"/>
              </w:rPr>
              <w:fldChar w:fldCharType="begin">
                <w:ffData>
                  <w:name w:val=""/>
                  <w:enabled/>
                  <w:calcOnExit w:val="0"/>
                  <w:textInput>
                    <w:default w:val="Phone"/>
                  </w:textInput>
                </w:ffData>
              </w:fldChar>
            </w:r>
            <w:r>
              <w:rPr>
                <w:lang w:val="en-US"/>
              </w:rPr>
              <w:instrText xml:space="preserve"> FORMTEXT </w:instrText>
            </w:r>
            <w:r>
              <w:rPr>
                <w:lang w:val="en-US"/>
              </w:rPr>
            </w:r>
            <w:r>
              <w:rPr>
                <w:lang w:val="en-US"/>
              </w:rPr>
              <w:fldChar w:fldCharType="separate"/>
            </w:r>
            <w:r w:rsidR="00C14193">
              <w:rPr>
                <w:noProof/>
                <w:lang w:val="en-US"/>
              </w:rPr>
              <w:t>Phone</w:t>
            </w:r>
            <w:r>
              <w:rPr>
                <w:lang w:val="en-US"/>
              </w:rPr>
              <w:fldChar w:fldCharType="end"/>
            </w:r>
            <w:r>
              <w:rPr>
                <w:lang w:val="en-US"/>
              </w:rPr>
              <w:t xml:space="preserve"> </w:t>
            </w:r>
            <w:r>
              <w:rPr>
                <w:lang w:val="en-US"/>
              </w:rPr>
              <w:fldChar w:fldCharType="begin">
                <w:ffData>
                  <w:name w:val=""/>
                  <w:enabled/>
                  <w:calcOnExit w:val="0"/>
                  <w:textInput>
                    <w:default w:val="+49"/>
                  </w:textInput>
                </w:ffData>
              </w:fldChar>
            </w:r>
            <w:r>
              <w:rPr>
                <w:lang w:val="en-US"/>
              </w:rPr>
              <w:instrText xml:space="preserve"> FORMTEXT </w:instrText>
            </w:r>
            <w:r>
              <w:rPr>
                <w:lang w:val="en-US"/>
              </w:rPr>
            </w:r>
            <w:r>
              <w:rPr>
                <w:lang w:val="en-US"/>
              </w:rPr>
              <w:fldChar w:fldCharType="separate"/>
            </w:r>
            <w:r w:rsidR="00C14193">
              <w:rPr>
                <w:noProof/>
                <w:lang w:val="en-US"/>
              </w:rPr>
              <w:t>+49</w:t>
            </w:r>
            <w:r>
              <w:rPr>
                <w:lang w:val="en-US"/>
              </w:rPr>
              <w:fldChar w:fldCharType="end"/>
            </w:r>
            <w:r>
              <w:rPr>
                <w:lang w:val="en-US"/>
              </w:rPr>
              <w:tab/>
            </w:r>
            <w:r>
              <w:rPr>
                <w:lang w:val="en-US"/>
              </w:rPr>
              <w:tab/>
              <w:t>201 177</w:t>
            </w:r>
            <w:r>
              <w:rPr>
                <w:lang w:val="en-US"/>
              </w:rPr>
              <w:fldChar w:fldCharType="begin">
                <w:ffData>
                  <w:name w:val=""/>
                  <w:enabled/>
                  <w:calcOnExit w:val="0"/>
                  <w:textInput>
                    <w:default w:val="-"/>
                  </w:textInput>
                </w:ffData>
              </w:fldChar>
            </w:r>
            <w:r>
              <w:rPr>
                <w:lang w:val="en-US"/>
              </w:rPr>
              <w:instrText xml:space="preserve"> FORMTEXT </w:instrText>
            </w:r>
            <w:r>
              <w:rPr>
                <w:lang w:val="en-US"/>
              </w:rPr>
            </w:r>
            <w:r>
              <w:rPr>
                <w:lang w:val="en-US"/>
              </w:rPr>
              <w:fldChar w:fldCharType="separate"/>
            </w:r>
            <w:r w:rsidR="00C14193">
              <w:rPr>
                <w:noProof/>
                <w:lang w:val="en-US"/>
              </w:rPr>
              <w:t>-</w:t>
            </w:r>
            <w:r>
              <w:rPr>
                <w:lang w:val="en-US"/>
              </w:rPr>
              <w:fldChar w:fldCharType="end"/>
            </w:r>
            <w:r>
              <w:rPr>
                <w:lang w:val="en-US"/>
              </w:rPr>
              <w:t>01</w:t>
            </w:r>
          </w:p>
          <w:p w:rsidR="009602FE" w:rsidRDefault="00B51B77">
            <w:pPr>
              <w:pStyle w:val="V5"/>
              <w:framePr w:wrap="auto" w:vAnchor="margin" w:hAnchor="text" w:xAlign="left" w:yAlign="inline"/>
              <w:suppressOverlap w:val="0"/>
            </w:pPr>
            <w:r>
              <w:fldChar w:fldCharType="begin">
                <w:ffData>
                  <w:name w:val=""/>
                  <w:enabled/>
                  <w:calcOnExit w:val="0"/>
                  <w:textInput>
                    <w:default w:val="Fax"/>
                  </w:textInput>
                </w:ffData>
              </w:fldChar>
            </w:r>
            <w:r>
              <w:instrText xml:space="preserve"> FORMTEXT </w:instrText>
            </w:r>
            <w:r>
              <w:fldChar w:fldCharType="separate"/>
            </w:r>
            <w:r w:rsidR="00C14193">
              <w:rPr>
                <w:noProof/>
              </w:rPr>
              <w:t>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C1419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14193">
              <w:rPr>
                <w:noProof/>
              </w:rPr>
              <w:t>-</w:t>
            </w:r>
            <w:r>
              <w:fldChar w:fldCharType="end"/>
            </w:r>
            <w:r>
              <w:t>3475</w:t>
            </w:r>
          </w:p>
          <w:p w:rsidR="009602FE" w:rsidRDefault="00B51B77">
            <w:pPr>
              <w:pStyle w:val="V6"/>
              <w:framePr w:wrap="auto" w:vAnchor="margin" w:hAnchor="text" w:xAlign="left" w:yAlign="inline"/>
              <w:suppressOverlap w:val="0"/>
              <w:rPr>
                <w:lang w:val="en-US"/>
              </w:rPr>
            </w:pPr>
            <w:r>
              <w:rPr>
                <w:lang w:val="en-US"/>
              </w:rPr>
              <w:t>www.evonik.de</w:t>
            </w:r>
          </w:p>
          <w:p w:rsidR="009602FE" w:rsidRDefault="009602FE">
            <w:pPr>
              <w:pStyle w:val="Marginalie"/>
              <w:framePr w:w="0" w:hSpace="0" w:wrap="auto" w:vAnchor="margin" w:hAnchor="text" w:xAlign="left" w:yAlign="inline"/>
              <w:rPr>
                <w:lang w:val="en-US"/>
              </w:rPr>
            </w:pPr>
          </w:p>
          <w:p w:rsidR="009602FE" w:rsidRDefault="00B51B77">
            <w:pPr>
              <w:pStyle w:val="Marginalie"/>
              <w:framePr w:w="0" w:hSpace="0" w:wrap="auto" w:vAnchor="margin" w:hAnchor="text" w:xAlign="left" w:yAlign="inline"/>
              <w:rPr>
                <w:b/>
                <w:bCs/>
                <w:lang w:val="en-US"/>
              </w:rPr>
            </w:pPr>
            <w:r>
              <w:rPr>
                <w:b/>
                <w:bCs/>
                <w:lang w:val="en-US"/>
              </w:rPr>
              <w:t>Supervisory Board</w:t>
            </w:r>
          </w:p>
          <w:p w:rsidR="009602FE" w:rsidRDefault="00B51B77">
            <w:pPr>
              <w:pStyle w:val="Marginalie"/>
              <w:framePr w:w="0" w:hSpace="0" w:wrap="auto" w:vAnchor="margin" w:hAnchor="text" w:xAlign="left" w:yAlign="inline"/>
              <w:rPr>
                <w:lang w:val="en-US"/>
              </w:rPr>
            </w:pPr>
            <w:r>
              <w:rPr>
                <w:lang w:val="en-US"/>
              </w:rPr>
              <w:t>Dr. Werner Müller, Chairman</w:t>
            </w:r>
          </w:p>
          <w:p w:rsidR="009602FE" w:rsidRDefault="009602FE">
            <w:pPr>
              <w:pStyle w:val="Marginalie"/>
              <w:framePr w:w="0" w:hSpace="0" w:wrap="auto" w:vAnchor="margin" w:hAnchor="text" w:xAlign="left" w:yAlign="inline"/>
              <w:rPr>
                <w:lang w:val="en-US"/>
              </w:rPr>
            </w:pPr>
          </w:p>
          <w:p w:rsidR="009602FE" w:rsidRDefault="00B51B77">
            <w:pPr>
              <w:pStyle w:val="V9"/>
              <w:framePr w:wrap="auto" w:vAnchor="margin" w:hAnchor="text" w:xAlign="left" w:yAlign="inline"/>
              <w:suppressOverlap w:val="0"/>
            </w:pPr>
            <w:r>
              <w:fldChar w:fldCharType="begin">
                <w:ffData>
                  <w:name w:val=""/>
                  <w:enabled/>
                  <w:calcOnExit w:val="0"/>
                  <w:textInput>
                    <w:default w:val="Executive Board"/>
                  </w:textInput>
                </w:ffData>
              </w:fldChar>
            </w:r>
            <w:r>
              <w:instrText xml:space="preserve"> FORMTEXT </w:instrText>
            </w:r>
            <w:r>
              <w:fldChar w:fldCharType="separate"/>
            </w:r>
            <w:r w:rsidR="00C14193">
              <w:rPr>
                <w:noProof/>
              </w:rPr>
              <w:t>Executive Board</w:t>
            </w:r>
            <w:r>
              <w:fldChar w:fldCharType="end"/>
            </w:r>
          </w:p>
          <w:p w:rsidR="009602FE" w:rsidRDefault="00B51B77">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C14193">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C14193">
              <w:rPr>
                <w:noProof/>
              </w:rPr>
              <w:t>Vorsitzender</w:t>
            </w:r>
            <w:r>
              <w:fldChar w:fldCharType="end"/>
            </w:r>
          </w:p>
          <w:p w:rsidR="009602FE" w:rsidRDefault="00B51B77">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C14193">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C14193">
              <w:rPr>
                <w:noProof/>
              </w:rPr>
              <w:t>Dr. Thomas Haeberle</w:t>
            </w:r>
            <w:r>
              <w:fldChar w:fldCharType="end"/>
            </w:r>
            <w:r>
              <w:t xml:space="preserve">, </w:t>
            </w:r>
            <w:r>
              <w:br/>
              <w:t xml:space="preserve">Thomas Wessel, </w:t>
            </w:r>
            <w:r>
              <w:fldChar w:fldCharType="begin">
                <w:ffData>
                  <w:name w:val=""/>
                  <w:enabled/>
                  <w:calcOnExit w:val="0"/>
                  <w:textInput>
                    <w:default w:val="Patrik Wohlhauser"/>
                  </w:textInput>
                </w:ffData>
              </w:fldChar>
            </w:r>
            <w:r>
              <w:instrText xml:space="preserve"> FORMTEXT </w:instrText>
            </w:r>
            <w:r>
              <w:fldChar w:fldCharType="separate"/>
            </w:r>
            <w:r w:rsidR="00C14193">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C14193">
              <w:rPr>
                <w:noProof/>
              </w:rPr>
              <w:t>Dr. Dahai Yu</w:t>
            </w:r>
            <w:r>
              <w:fldChar w:fldCharType="end"/>
            </w:r>
          </w:p>
          <w:p w:rsidR="009602FE" w:rsidRDefault="009602FE">
            <w:pPr>
              <w:pStyle w:val="Marginalie"/>
              <w:framePr w:w="0" w:hSpace="0" w:wrap="auto" w:vAnchor="margin" w:hAnchor="text" w:xAlign="left" w:yAlign="inline"/>
            </w:pPr>
          </w:p>
          <w:p w:rsidR="009602FE" w:rsidRDefault="00B51B77">
            <w:pPr>
              <w:pStyle w:val="V14"/>
              <w:framePr w:wrap="auto" w:vAnchor="margin" w:hAnchor="text" w:xAlign="left" w:yAlign="inline"/>
              <w:suppressOverlap w:val="0"/>
              <w:rPr>
                <w:lang w:val="en-US"/>
              </w:rPr>
            </w:pPr>
            <w:r>
              <w:rPr>
                <w:lang w:val="en-US"/>
              </w:rPr>
              <w:t xml:space="preserve">Registered office </w:t>
            </w:r>
            <w:r>
              <w:rPr>
                <w:lang w:val="en-US"/>
              </w:rPr>
              <w:fldChar w:fldCharType="begin">
                <w:ffData>
                  <w:name w:val=""/>
                  <w:enabled/>
                  <w:calcOnExit w:val="0"/>
                  <w:textInput>
                    <w:default w:val="Essen"/>
                  </w:textInput>
                </w:ffData>
              </w:fldChar>
            </w:r>
            <w:r>
              <w:rPr>
                <w:lang w:val="en-US"/>
              </w:rPr>
              <w:instrText xml:space="preserve"> FORMTEXT </w:instrText>
            </w:r>
            <w:r>
              <w:rPr>
                <w:lang w:val="en-US"/>
              </w:rPr>
            </w:r>
            <w:r>
              <w:rPr>
                <w:lang w:val="en-US"/>
              </w:rPr>
              <w:fldChar w:fldCharType="separate"/>
            </w:r>
            <w:r w:rsidR="00C14193">
              <w:rPr>
                <w:noProof/>
                <w:lang w:val="en-US"/>
              </w:rPr>
              <w:t>Essen</w:t>
            </w:r>
            <w:r>
              <w:rPr>
                <w:lang w:val="en-US"/>
              </w:rPr>
              <w:fldChar w:fldCharType="end"/>
            </w:r>
          </w:p>
          <w:p w:rsidR="009602FE" w:rsidRDefault="00B51B77">
            <w:pPr>
              <w:pStyle w:val="V15"/>
              <w:framePr w:wrap="auto" w:vAnchor="margin" w:hAnchor="text" w:xAlign="left" w:yAlign="inline"/>
              <w:suppressOverlap w:val="0"/>
              <w:rPr>
                <w:lang w:val="en-US"/>
              </w:rPr>
            </w:pPr>
            <w:r>
              <w:rPr>
                <w:lang w:val="en-US"/>
              </w:rPr>
              <w:t>Registered court</w:t>
            </w:r>
          </w:p>
          <w:p w:rsidR="009602FE" w:rsidRDefault="00B51B77">
            <w:pPr>
              <w:pStyle w:val="V16"/>
              <w:framePr w:wrap="auto" w:vAnchor="margin" w:hAnchor="text" w:xAlign="left" w:yAlign="inline"/>
              <w:suppressOverlap w:val="0"/>
              <w:rPr>
                <w:lang w:val="en-US"/>
              </w:rPr>
            </w:pPr>
            <w:r>
              <w:rPr>
                <w:lang w:val="en-US"/>
              </w:rPr>
              <w:t>Essen local court</w:t>
            </w:r>
          </w:p>
          <w:p w:rsidR="009602FE" w:rsidRDefault="00B51B77">
            <w:pPr>
              <w:pStyle w:val="V17"/>
              <w:framePr w:wrap="auto" w:vAnchor="margin" w:hAnchor="text" w:xAlign="left" w:yAlign="inline"/>
              <w:suppressOverlap w:val="0"/>
              <w:rPr>
                <w:lang w:val="en-US"/>
              </w:rPr>
            </w:pPr>
            <w:r>
              <w:rPr>
                <w:lang w:val="en-US"/>
              </w:rPr>
              <w:t xml:space="preserve">Commercial registry </w:t>
            </w:r>
            <w:r>
              <w:rPr>
                <w:lang w:val="en-US"/>
              </w:rPr>
              <w:fldChar w:fldCharType="begin">
                <w:ffData>
                  <w:name w:val=""/>
                  <w:enabled/>
                  <w:calcOnExit w:val="0"/>
                  <w:textInput>
                    <w:default w:val="B 19474"/>
                  </w:textInput>
                </w:ffData>
              </w:fldChar>
            </w:r>
            <w:r>
              <w:rPr>
                <w:lang w:val="en-US"/>
              </w:rPr>
              <w:instrText xml:space="preserve"> FORMTEXT </w:instrText>
            </w:r>
            <w:r>
              <w:rPr>
                <w:lang w:val="en-US"/>
              </w:rPr>
            </w:r>
            <w:r>
              <w:rPr>
                <w:lang w:val="en-US"/>
              </w:rPr>
              <w:fldChar w:fldCharType="separate"/>
            </w:r>
            <w:r w:rsidR="00C14193">
              <w:rPr>
                <w:noProof/>
                <w:lang w:val="en-US"/>
              </w:rPr>
              <w:t>B 19474</w:t>
            </w:r>
            <w:r>
              <w:rPr>
                <w:lang w:val="en-US"/>
              </w:rPr>
              <w:fldChar w:fldCharType="end"/>
            </w:r>
          </w:p>
          <w:p w:rsidR="009602FE" w:rsidRDefault="00B51B77">
            <w:pPr>
              <w:pStyle w:val="V17"/>
              <w:framePr w:wrap="auto" w:vAnchor="margin" w:hAnchor="text" w:xAlign="left" w:yAlign="inline"/>
              <w:suppressOverlap w:val="0"/>
            </w:pPr>
            <w:r>
              <w:rPr>
                <w:lang w:val="en-US"/>
              </w:rPr>
              <w:t xml:space="preserve">VAT ID no. </w:t>
            </w:r>
            <w:r>
              <w:t>DE 811160003</w:t>
            </w:r>
          </w:p>
          <w:p w:rsidR="009602FE" w:rsidRDefault="009602FE">
            <w:pPr>
              <w:pStyle w:val="V18"/>
              <w:framePr w:wrap="auto" w:vAnchor="margin" w:hAnchor="text" w:xAlign="left" w:yAlign="inline"/>
              <w:suppressOverlap w:val="0"/>
            </w:pPr>
          </w:p>
        </w:tc>
      </w:tr>
    </w:tbl>
    <w:p w:rsidR="009602FE" w:rsidRDefault="009602FE">
      <w:pPr>
        <w:ind w:left="0"/>
        <w:rPr>
          <w:u w:val="single"/>
        </w:rPr>
      </w:pPr>
    </w:p>
    <w:p w:rsidR="009602FE" w:rsidRDefault="00601A20">
      <w:pPr>
        <w:ind w:left="0"/>
        <w:rPr>
          <w:u w:val="single"/>
          <w:lang w:val="en-US"/>
        </w:rPr>
      </w:pPr>
      <w:r>
        <w:rPr>
          <w:noProof/>
          <w:lang w:val="en-US" w:eastAsia="en-US"/>
        </w:rPr>
        <mc:AlternateContent>
          <mc:Choice Requires="wps">
            <w:drawing>
              <wp:anchor distT="0" distB="0" distL="114300" distR="114300" simplePos="0" relativeHeight="251658240" behindDoc="0" locked="0" layoutInCell="1" allowOverlap="1" wp14:anchorId="71313439" wp14:editId="07AD5B82">
                <wp:simplePos x="0" y="0"/>
                <wp:positionH relativeFrom="column">
                  <wp:posOffset>-102235</wp:posOffset>
                </wp:positionH>
                <wp:positionV relativeFrom="paragraph">
                  <wp:posOffset>44450</wp:posOffset>
                </wp:positionV>
                <wp:extent cx="4603750" cy="124777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0" cy="1247775"/>
                        </a:xfrm>
                        <a:prstGeom prst="rect">
                          <a:avLst/>
                        </a:prstGeom>
                        <a:noFill/>
                        <a:ln w="6350">
                          <a:noFill/>
                          <a:miter lim="800000"/>
                          <a:headEnd/>
                          <a:tailEnd/>
                        </a:ln>
                      </wps:spPr>
                      <wps:txbx>
                        <w:txbxContent>
                          <w:p w:rsidR="007B2E75" w:rsidRPr="005F508D" w:rsidRDefault="007B2E75" w:rsidP="007B2E75">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16"/>
                                <w:szCs w:val="16"/>
                                <w:lang w:val="en-GB" w:eastAsia="en-GB"/>
                              </w:rPr>
                            </w:pPr>
                            <w:r w:rsidRPr="005F508D">
                              <w:rPr>
                                <w:rFonts w:ascii="Arial" w:hAnsi="Arial" w:cs="Arial"/>
                                <w:sz w:val="16"/>
                                <w:szCs w:val="16"/>
                                <w:lang w:val="en-GB" w:eastAsia="en-GB"/>
                              </w:rPr>
                              <w:t>NOT FOR DISTRIBUTION OR RELEASE, DIRECTLY OR INDIRECTLY, IN OR INTO THE UNITED STATES, AUSTRALIA, CANADA OR JAPAN OR ANY OTHER JURISDICTION IN WHICH THE DISTRIBUTION OR RELEASE WOULD BE UNLAWFUL. OTHER RESTRICTIONS ARE APPLICABLE.</w:t>
                            </w:r>
                            <w:r>
                              <w:rPr>
                                <w:rFonts w:ascii="Arial" w:hAnsi="Arial" w:cs="Arial"/>
                                <w:sz w:val="16"/>
                                <w:szCs w:val="16"/>
                                <w:lang w:val="en-GB" w:eastAsia="en-GB"/>
                              </w:rPr>
                              <w:t xml:space="preserve"> </w:t>
                            </w:r>
                            <w:r w:rsidRPr="005F508D">
                              <w:rPr>
                                <w:rFonts w:ascii="Arial" w:hAnsi="Arial" w:cs="Arial"/>
                                <w:b/>
                                <w:sz w:val="16"/>
                                <w:szCs w:val="16"/>
                                <w:lang w:val="en-GB" w:eastAsia="en-GB"/>
                              </w:rPr>
                              <w:t>PLEASE SEE THE IMPORTANT NOTICE AT THE END OF THE PRESS RELEASE.</w:t>
                            </w:r>
                          </w:p>
                          <w:p w:rsidR="00A9771F" w:rsidRPr="007B2E75" w:rsidRDefault="00A9771F">
                            <w:pPr>
                              <w:ind w:left="0"/>
                              <w:rPr>
                                <w:rFonts w:ascii="Arial" w:hAnsi="Arial" w:cs="Arial"/>
                                <w:b/>
                                <w:sz w:val="16"/>
                                <w:szCs w:val="16"/>
                                <w:lang w:val="en-GB"/>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8.05pt;margin-top:3.5pt;width:362.5pt;height:9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" filled="f" stroked="f" strokeweight=".5pt">
                <v:textbox>
                  <w:txbxContent>
                    <w:p w:rsidR="007B2E75" w:rsidRPr="005F508D" w:rsidRDefault="007B2E75" w:rsidP="007B2E75">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16"/>
                          <w:szCs w:val="16"/>
                          <w:lang w:val="en-GB" w:eastAsia="en-GB"/>
                        </w:rPr>
                      </w:pPr>
                      <w:r w:rsidRPr="005F508D">
                        <w:rPr>
                          <w:rFonts w:ascii="Arial" w:hAnsi="Arial" w:cs="Arial"/>
                          <w:sz w:val="16"/>
                          <w:szCs w:val="16"/>
                          <w:lang w:val="en-GB" w:eastAsia="en-GB"/>
                        </w:rPr>
                        <w:t>NOT FOR DISTRIBUTION OR RELEASE, DIRECTLY OR INDIRECTLY, IN OR INTO THE UNITED STATES, AUSTRALIA, CANADA OR JAPAN OR ANY OTHER JURISDICTION IN WHICH THE DISTRIBUTION OR RELEASE WOULD BE UNLAWFUL. OTHER RESTRICTIONS ARE APPLICABLE.</w:t>
                      </w:r>
                      <w:r>
                        <w:rPr>
                          <w:rFonts w:ascii="Arial" w:hAnsi="Arial" w:cs="Arial"/>
                          <w:sz w:val="16"/>
                          <w:szCs w:val="16"/>
                          <w:lang w:val="en-GB" w:eastAsia="en-GB"/>
                        </w:rPr>
                        <w:t xml:space="preserve"> </w:t>
                      </w:r>
                      <w:r w:rsidRPr="005F508D">
                        <w:rPr>
                          <w:rFonts w:ascii="Arial" w:hAnsi="Arial" w:cs="Arial"/>
                          <w:b/>
                          <w:sz w:val="16"/>
                          <w:szCs w:val="16"/>
                          <w:lang w:val="en-GB" w:eastAsia="en-GB"/>
                        </w:rPr>
                        <w:t>PLEASE SEE THE IMPORTANT NOTICE AT THE END OF THE PRESS RELEASE.</w:t>
                      </w:r>
                    </w:p>
                    <w:p w:rsidR="00A9771F" w:rsidRPr="007B2E75" w:rsidRDefault="00A9771F">
                      <w:pPr>
                        <w:ind w:left="0"/>
                        <w:rPr>
                          <w:rFonts w:ascii="Arial" w:hAnsi="Arial" w:cs="Arial"/>
                          <w:b/>
                          <w:sz w:val="16"/>
                          <w:szCs w:val="16"/>
                          <w:lang w:val="en-GB"/>
                        </w:rPr>
                      </w:pPr>
                    </w:p>
                  </w:txbxContent>
                </v:textbox>
              </v:shape>
            </w:pict>
          </mc:Fallback>
        </mc:AlternateContent>
      </w:r>
    </w:p>
    <w:p w:rsidR="009602FE" w:rsidRDefault="009602FE">
      <w:pPr>
        <w:ind w:left="0"/>
        <w:rPr>
          <w:u w:val="single"/>
        </w:rPr>
      </w:pPr>
    </w:p>
    <w:p w:rsidR="009602FE" w:rsidRDefault="009602FE">
      <w:pPr>
        <w:ind w:left="0"/>
        <w:rPr>
          <w:u w:val="single"/>
        </w:rPr>
      </w:pPr>
    </w:p>
    <w:p w:rsidR="009602FE" w:rsidRDefault="009602FE">
      <w:pPr>
        <w:ind w:left="0"/>
        <w:rPr>
          <w:u w:val="single"/>
        </w:rPr>
      </w:pPr>
    </w:p>
    <w:p w:rsidR="009602FE" w:rsidRDefault="009602FE">
      <w:pPr>
        <w:ind w:left="0"/>
        <w:rPr>
          <w:u w:val="single"/>
        </w:rPr>
      </w:pPr>
    </w:p>
    <w:p w:rsidR="009602FE" w:rsidRDefault="009602FE">
      <w:pPr>
        <w:ind w:left="0"/>
        <w:rPr>
          <w:u w:val="single"/>
        </w:rPr>
      </w:pPr>
    </w:p>
    <w:p w:rsidR="009602FE" w:rsidRDefault="009602FE">
      <w:pPr>
        <w:ind w:left="0"/>
        <w:rPr>
          <w:u w:val="single"/>
        </w:rPr>
      </w:pPr>
    </w:p>
    <w:p w:rsidR="007B2E75" w:rsidRDefault="007B2E75">
      <w:pPr>
        <w:ind w:left="0"/>
        <w:rPr>
          <w:u w:val="single"/>
        </w:rPr>
      </w:pPr>
    </w:p>
    <w:p w:rsidR="009602FE" w:rsidRPr="007B2E75" w:rsidRDefault="00B51B77">
      <w:pPr>
        <w:ind w:left="0"/>
        <w:rPr>
          <w:u w:val="single"/>
          <w:lang w:val="en-US"/>
        </w:rPr>
      </w:pPr>
      <w:r w:rsidRPr="007B2E75">
        <w:rPr>
          <w:u w:val="single"/>
          <w:lang w:val="en-US"/>
        </w:rPr>
        <w:t>Key Financial Data</w:t>
      </w:r>
    </w:p>
    <w:p w:rsidR="009602FE" w:rsidRPr="007B2E75" w:rsidRDefault="00B51B77">
      <w:pPr>
        <w:ind w:left="0"/>
        <w:rPr>
          <w:u w:val="single"/>
          <w:lang w:val="en-US"/>
        </w:rPr>
      </w:pPr>
      <w:bookmarkStart w:id="0" w:name="_GoBack"/>
      <w:r w:rsidRPr="007B2E75">
        <w:rPr>
          <w:u w:val="single"/>
          <w:lang w:val="en-US"/>
        </w:rPr>
        <w:t>January 1 to December 31, 2012 / Q4 2012</w:t>
      </w:r>
    </w:p>
    <w:bookmarkEnd w:id="0"/>
    <w:p w:rsidR="009602FE" w:rsidRDefault="009602FE">
      <w:pPr>
        <w:spacing w:line="300" w:lineRule="exact"/>
        <w:rPr>
          <w:u w:val="single"/>
          <w:lang w:val="en-US"/>
        </w:rPr>
      </w:pPr>
    </w:p>
    <w:p w:rsidR="009602FE" w:rsidRDefault="00B51B77">
      <w:pPr>
        <w:spacing w:line="300" w:lineRule="exact"/>
        <w:ind w:left="0"/>
        <w:rPr>
          <w:b/>
          <w:bCs/>
          <w:sz w:val="22"/>
          <w:szCs w:val="22"/>
          <w:lang w:val="en-US"/>
        </w:rPr>
      </w:pPr>
      <w:r>
        <w:rPr>
          <w:b/>
          <w:bCs/>
          <w:sz w:val="22"/>
          <w:szCs w:val="22"/>
          <w:lang w:val="en-US"/>
        </w:rPr>
        <w:t>Successful business performance despite challenging global economic conditions—Investment in growth projects increased</w:t>
      </w:r>
    </w:p>
    <w:p w:rsidR="009602FE" w:rsidRDefault="009602FE">
      <w:pPr>
        <w:rPr>
          <w:lang w:val="en-US"/>
        </w:rPr>
      </w:pPr>
    </w:p>
    <w:p w:rsidR="009602FE" w:rsidRDefault="00B51B77">
      <w:pPr>
        <w:numPr>
          <w:ilvl w:val="0"/>
          <w:numId w:val="24"/>
        </w:numPr>
        <w:tabs>
          <w:tab w:val="clear" w:pos="1425"/>
          <w:tab w:val="num" w:pos="340"/>
        </w:tabs>
        <w:spacing w:line="300" w:lineRule="exact"/>
        <w:ind w:left="340" w:hanging="340"/>
        <w:rPr>
          <w:rFonts w:cs="Lucida Sans Unicode"/>
          <w:b/>
          <w:bCs/>
          <w:position w:val="0"/>
          <w:sz w:val="20"/>
          <w:szCs w:val="20"/>
        </w:rPr>
      </w:pPr>
      <w:r>
        <w:rPr>
          <w:rFonts w:cs="Lucida Sans Unicode"/>
          <w:b/>
          <w:bCs/>
          <w:position w:val="0"/>
          <w:sz w:val="20"/>
          <w:szCs w:val="20"/>
          <w:lang w:val="en-US"/>
        </w:rPr>
        <w:t>Klaus Engel, Chairman of the Executive Board: "</w:t>
      </w:r>
      <w:proofErr w:type="spellStart"/>
      <w:r>
        <w:rPr>
          <w:rFonts w:cs="Lucida Sans Unicode"/>
          <w:b/>
          <w:bCs/>
          <w:position w:val="0"/>
          <w:sz w:val="20"/>
          <w:szCs w:val="20"/>
          <w:lang w:val="en-US"/>
        </w:rPr>
        <w:t>Evonik</w:t>
      </w:r>
      <w:proofErr w:type="spellEnd"/>
      <w:r>
        <w:rPr>
          <w:rFonts w:cs="Lucida Sans Unicode"/>
          <w:b/>
          <w:bCs/>
          <w:position w:val="0"/>
          <w:sz w:val="20"/>
          <w:szCs w:val="20"/>
          <w:lang w:val="en-US"/>
        </w:rPr>
        <w:t xml:space="preserve"> did very well in a difficult environment. </w:t>
      </w:r>
      <w:r>
        <w:rPr>
          <w:rFonts w:cs="Lucida Sans Unicode"/>
          <w:b/>
          <w:bCs/>
          <w:position w:val="0"/>
          <w:sz w:val="20"/>
          <w:szCs w:val="20"/>
        </w:rPr>
        <w:t xml:space="preserve">2012 was </w:t>
      </w:r>
      <w:proofErr w:type="spellStart"/>
      <w:r>
        <w:rPr>
          <w:rFonts w:cs="Lucida Sans Unicode"/>
          <w:b/>
          <w:bCs/>
          <w:position w:val="0"/>
          <w:sz w:val="20"/>
          <w:szCs w:val="20"/>
        </w:rPr>
        <w:t>another</w:t>
      </w:r>
      <w:proofErr w:type="spellEnd"/>
      <w:r>
        <w:rPr>
          <w:rFonts w:cs="Lucida Sans Unicode"/>
          <w:b/>
          <w:bCs/>
          <w:position w:val="0"/>
          <w:sz w:val="20"/>
          <w:szCs w:val="20"/>
        </w:rPr>
        <w:t xml:space="preserve"> </w:t>
      </w:r>
      <w:proofErr w:type="spellStart"/>
      <w:r>
        <w:rPr>
          <w:rFonts w:cs="Lucida Sans Unicode"/>
          <w:b/>
          <w:bCs/>
          <w:position w:val="0"/>
          <w:sz w:val="20"/>
          <w:szCs w:val="20"/>
        </w:rPr>
        <w:t>successful</w:t>
      </w:r>
      <w:proofErr w:type="spellEnd"/>
      <w:r>
        <w:rPr>
          <w:rFonts w:cs="Lucida Sans Unicode"/>
          <w:b/>
          <w:bCs/>
          <w:position w:val="0"/>
          <w:sz w:val="20"/>
          <w:szCs w:val="20"/>
        </w:rPr>
        <w:t xml:space="preserve"> </w:t>
      </w:r>
      <w:proofErr w:type="spellStart"/>
      <w:r>
        <w:rPr>
          <w:rFonts w:cs="Lucida Sans Unicode"/>
          <w:b/>
          <w:bCs/>
          <w:position w:val="0"/>
          <w:sz w:val="20"/>
          <w:szCs w:val="20"/>
        </w:rPr>
        <w:t>year</w:t>
      </w:r>
      <w:proofErr w:type="spellEnd"/>
      <w:r>
        <w:rPr>
          <w:rFonts w:cs="Lucida Sans Unicode"/>
          <w:b/>
          <w:bCs/>
          <w:position w:val="0"/>
          <w:sz w:val="20"/>
          <w:szCs w:val="20"/>
        </w:rPr>
        <w:t>."</w:t>
      </w:r>
    </w:p>
    <w:p w:rsidR="009602FE" w:rsidRDefault="00B51B77">
      <w:pPr>
        <w:numPr>
          <w:ilvl w:val="0"/>
          <w:numId w:val="24"/>
        </w:numPr>
        <w:tabs>
          <w:tab w:val="clear" w:pos="1425"/>
          <w:tab w:val="num" w:pos="340"/>
        </w:tabs>
        <w:spacing w:line="300" w:lineRule="exact"/>
        <w:ind w:left="340" w:hanging="340"/>
        <w:rPr>
          <w:rFonts w:cs="Lucida Sans Unicode"/>
          <w:b/>
          <w:bCs/>
          <w:position w:val="0"/>
          <w:sz w:val="20"/>
          <w:szCs w:val="20"/>
        </w:rPr>
      </w:pPr>
      <w:proofErr w:type="spellStart"/>
      <w:r>
        <w:rPr>
          <w:rFonts w:cs="Lucida Sans Unicode"/>
          <w:b/>
          <w:bCs/>
          <w:position w:val="0"/>
          <w:sz w:val="20"/>
          <w:szCs w:val="20"/>
        </w:rPr>
        <w:t>Successful</w:t>
      </w:r>
      <w:proofErr w:type="spellEnd"/>
      <w:r>
        <w:rPr>
          <w:rFonts w:cs="Lucida Sans Unicode"/>
          <w:b/>
          <w:bCs/>
          <w:position w:val="0"/>
          <w:sz w:val="20"/>
          <w:szCs w:val="20"/>
        </w:rPr>
        <w:t xml:space="preserve"> </w:t>
      </w:r>
      <w:proofErr w:type="spellStart"/>
      <w:r>
        <w:rPr>
          <w:rFonts w:cs="Lucida Sans Unicode"/>
          <w:b/>
          <w:bCs/>
          <w:position w:val="0"/>
          <w:sz w:val="20"/>
          <w:szCs w:val="20"/>
        </w:rPr>
        <w:t>operating</w:t>
      </w:r>
      <w:proofErr w:type="spellEnd"/>
      <w:r>
        <w:rPr>
          <w:rFonts w:cs="Lucida Sans Unicode"/>
          <w:b/>
          <w:bCs/>
          <w:position w:val="0"/>
          <w:sz w:val="20"/>
          <w:szCs w:val="20"/>
        </w:rPr>
        <w:t xml:space="preserve"> </w:t>
      </w:r>
      <w:proofErr w:type="spellStart"/>
      <w:r>
        <w:rPr>
          <w:rFonts w:cs="Lucida Sans Unicode"/>
          <w:b/>
          <w:bCs/>
          <w:position w:val="0"/>
          <w:sz w:val="20"/>
          <w:szCs w:val="20"/>
        </w:rPr>
        <w:t>performance</w:t>
      </w:r>
      <w:proofErr w:type="spellEnd"/>
      <w:r>
        <w:rPr>
          <w:rFonts w:cs="Lucida Sans Unicode"/>
          <w:b/>
          <w:bCs/>
          <w:position w:val="0"/>
          <w:sz w:val="20"/>
          <w:szCs w:val="20"/>
        </w:rPr>
        <w:t xml:space="preserve"> in 2012:</w:t>
      </w:r>
    </w:p>
    <w:p w:rsidR="009602FE" w:rsidRDefault="00B51B77">
      <w:pPr>
        <w:numPr>
          <w:ilvl w:val="0"/>
          <w:numId w:val="24"/>
        </w:numPr>
        <w:tabs>
          <w:tab w:val="clear" w:pos="1425"/>
          <w:tab w:val="num" w:pos="851"/>
        </w:tabs>
        <w:spacing w:line="300" w:lineRule="exact"/>
        <w:ind w:left="851" w:hanging="284"/>
        <w:rPr>
          <w:rFonts w:cs="Lucida Sans Unicode"/>
          <w:b/>
          <w:bCs/>
          <w:position w:val="0"/>
          <w:sz w:val="20"/>
          <w:szCs w:val="20"/>
          <w:lang w:val="en-US"/>
        </w:rPr>
      </w:pPr>
      <w:r>
        <w:rPr>
          <w:rFonts w:cs="Lucida Sans Unicode"/>
          <w:b/>
          <w:bCs/>
          <w:position w:val="0"/>
          <w:sz w:val="20"/>
          <w:szCs w:val="20"/>
          <w:lang w:val="en-US"/>
        </w:rPr>
        <w:t>Organic sales virtually stable at €13.6 billion—6 percent decline year-on-year mainly due to divestment of the carbon black business</w:t>
      </w:r>
    </w:p>
    <w:p w:rsidR="009602FE" w:rsidRDefault="00B51B77">
      <w:pPr>
        <w:numPr>
          <w:ilvl w:val="0"/>
          <w:numId w:val="24"/>
        </w:numPr>
        <w:tabs>
          <w:tab w:val="clear" w:pos="1425"/>
          <w:tab w:val="num" w:pos="851"/>
        </w:tabs>
        <w:spacing w:line="300" w:lineRule="exact"/>
        <w:ind w:left="851" w:hanging="284"/>
        <w:rPr>
          <w:rFonts w:cs="Lucida Sans Unicode"/>
          <w:b/>
          <w:bCs/>
          <w:position w:val="0"/>
          <w:sz w:val="20"/>
          <w:szCs w:val="20"/>
          <w:lang w:val="en-US"/>
        </w:rPr>
      </w:pPr>
      <w:r>
        <w:rPr>
          <w:rFonts w:cs="Lucida Sans Unicode"/>
          <w:b/>
          <w:bCs/>
          <w:position w:val="0"/>
          <w:sz w:val="20"/>
          <w:szCs w:val="20"/>
          <w:lang w:val="en-US"/>
        </w:rPr>
        <w:t>Adjusted EBITDA was €2,589 million and adjusted EBIT was €1,953 million, both at a very good level; excluding the carbon black business they were close to the previous year´s records</w:t>
      </w:r>
    </w:p>
    <w:p w:rsidR="009602FE" w:rsidRDefault="00B51B77">
      <w:pPr>
        <w:numPr>
          <w:ilvl w:val="0"/>
          <w:numId w:val="24"/>
        </w:numPr>
        <w:tabs>
          <w:tab w:val="clear" w:pos="1425"/>
          <w:tab w:val="num" w:pos="851"/>
        </w:tabs>
        <w:spacing w:line="300" w:lineRule="exact"/>
        <w:ind w:left="851" w:hanging="284"/>
        <w:rPr>
          <w:rFonts w:cs="Lucida Sans Unicode"/>
          <w:b/>
          <w:bCs/>
          <w:position w:val="0"/>
          <w:sz w:val="20"/>
          <w:szCs w:val="20"/>
          <w:lang w:val="en-US"/>
        </w:rPr>
      </w:pPr>
      <w:r>
        <w:rPr>
          <w:rFonts w:cs="Lucida Sans Unicode"/>
          <w:b/>
          <w:bCs/>
          <w:position w:val="0"/>
          <w:sz w:val="20"/>
          <w:szCs w:val="20"/>
          <w:lang w:val="en-US"/>
        </w:rPr>
        <w:t>Adjusted EBITDA margin was 19.0 percent, unchanged from the previous year's excellent level</w:t>
      </w:r>
    </w:p>
    <w:p w:rsidR="009602FE" w:rsidRDefault="00B51B77">
      <w:pPr>
        <w:numPr>
          <w:ilvl w:val="0"/>
          <w:numId w:val="24"/>
        </w:numPr>
        <w:tabs>
          <w:tab w:val="clear" w:pos="1425"/>
          <w:tab w:val="num" w:pos="340"/>
        </w:tabs>
        <w:spacing w:line="300" w:lineRule="exact"/>
        <w:ind w:left="340" w:hanging="340"/>
        <w:rPr>
          <w:rFonts w:cs="Lucida Sans Unicode"/>
          <w:b/>
          <w:bCs/>
          <w:position w:val="0"/>
          <w:sz w:val="20"/>
          <w:szCs w:val="20"/>
          <w:lang w:val="en-US"/>
        </w:rPr>
      </w:pPr>
      <w:r>
        <w:rPr>
          <w:rFonts w:cs="Lucida Sans Unicode"/>
          <w:b/>
          <w:bCs/>
          <w:position w:val="0"/>
          <w:sz w:val="20"/>
          <w:szCs w:val="20"/>
          <w:lang w:val="en-US"/>
        </w:rPr>
        <w:t>Net income rose 15 percent to €1,164 million</w:t>
      </w:r>
    </w:p>
    <w:p w:rsidR="009602FE" w:rsidRDefault="00B51B77">
      <w:pPr>
        <w:numPr>
          <w:ilvl w:val="0"/>
          <w:numId w:val="24"/>
        </w:numPr>
        <w:tabs>
          <w:tab w:val="clear" w:pos="1425"/>
          <w:tab w:val="num" w:pos="340"/>
        </w:tabs>
        <w:spacing w:line="300" w:lineRule="exact"/>
        <w:ind w:left="340" w:hanging="340"/>
        <w:rPr>
          <w:rFonts w:cs="Lucida Sans Unicode"/>
          <w:b/>
          <w:bCs/>
          <w:position w:val="0"/>
          <w:sz w:val="20"/>
          <w:szCs w:val="20"/>
          <w:lang w:val="en-US"/>
        </w:rPr>
      </w:pPr>
      <w:r>
        <w:rPr>
          <w:rFonts w:cs="Lucida Sans Unicode"/>
          <w:b/>
          <w:bCs/>
          <w:position w:val="0"/>
          <w:sz w:val="20"/>
          <w:szCs w:val="20"/>
          <w:lang w:val="en-US"/>
        </w:rPr>
        <w:t>Capital expenditures increased considerably by 30 percent to €1,078 million</w:t>
      </w:r>
    </w:p>
    <w:p w:rsidR="009602FE" w:rsidRDefault="00B51B77">
      <w:pPr>
        <w:numPr>
          <w:ilvl w:val="0"/>
          <w:numId w:val="24"/>
        </w:numPr>
        <w:tabs>
          <w:tab w:val="clear" w:pos="1425"/>
          <w:tab w:val="num" w:pos="340"/>
        </w:tabs>
        <w:spacing w:line="300" w:lineRule="exact"/>
        <w:ind w:left="340" w:hanging="340"/>
        <w:rPr>
          <w:rFonts w:cs="Lucida Sans Unicode"/>
          <w:b/>
          <w:bCs/>
          <w:position w:val="0"/>
          <w:sz w:val="20"/>
          <w:szCs w:val="20"/>
          <w:lang w:val="en-US"/>
        </w:rPr>
      </w:pPr>
      <w:r>
        <w:rPr>
          <w:rFonts w:cs="Lucida Sans Unicode"/>
          <w:b/>
          <w:bCs/>
          <w:position w:val="0"/>
          <w:sz w:val="20"/>
          <w:szCs w:val="20"/>
          <w:lang w:val="en-US"/>
        </w:rPr>
        <w:t>Pace of innovation stepped up, R&amp;D spending increased 8 percent</w:t>
      </w:r>
    </w:p>
    <w:p w:rsidR="009602FE" w:rsidRDefault="00B51B77">
      <w:pPr>
        <w:numPr>
          <w:ilvl w:val="0"/>
          <w:numId w:val="24"/>
        </w:numPr>
        <w:tabs>
          <w:tab w:val="clear" w:pos="1425"/>
          <w:tab w:val="num" w:pos="340"/>
        </w:tabs>
        <w:spacing w:line="300" w:lineRule="exact"/>
        <w:ind w:left="340" w:hanging="340"/>
        <w:rPr>
          <w:rFonts w:cs="Lucida Sans Unicode"/>
          <w:b/>
          <w:bCs/>
          <w:position w:val="0"/>
          <w:sz w:val="20"/>
          <w:szCs w:val="20"/>
          <w:lang w:val="en-US"/>
        </w:rPr>
      </w:pPr>
      <w:r>
        <w:rPr>
          <w:rFonts w:cs="Lucida Sans Unicode"/>
          <w:b/>
          <w:bCs/>
          <w:position w:val="0"/>
          <w:sz w:val="20"/>
          <w:szCs w:val="20"/>
          <w:lang w:val="en-US"/>
        </w:rPr>
        <w:t>Outlook for 2013: While the global economic situation remains challenging, sales are expected to be higher and the operating results are also expected to remain at the very good level reported for 2012</w:t>
      </w:r>
      <w:r>
        <w:rPr>
          <w:rFonts w:cs="Lucida Sans Unicode"/>
          <w:b/>
          <w:bCs/>
          <w:position w:val="0"/>
          <w:sz w:val="20"/>
          <w:szCs w:val="20"/>
          <w:lang w:val="en-US"/>
        </w:rPr>
        <w:br/>
      </w:r>
    </w:p>
    <w:p w:rsidR="007B2E75" w:rsidRDefault="00B51B77" w:rsidP="007B2E75">
      <w:pPr>
        <w:spacing w:line="300" w:lineRule="exact"/>
        <w:rPr>
          <w:rFonts w:ascii="Lucida Sans" w:hAnsi="Lucida Sans"/>
          <w:sz w:val="20"/>
          <w:szCs w:val="20"/>
          <w:lang w:val="en-US" w:eastAsia="en-US"/>
        </w:rPr>
      </w:pPr>
      <w:r>
        <w:rPr>
          <w:rFonts w:ascii="Lucida Sans" w:hAnsi="Lucida Sans"/>
          <w:position w:val="0"/>
          <w:sz w:val="20"/>
          <w:lang w:val="en-US"/>
        </w:rPr>
        <w:t>Essen. "2012 provided impressive confirmation of the success of the course we have embarked on. Our strategy and figures are right.</w:t>
      </w:r>
      <w:r w:rsidR="00370E4A">
        <w:rPr>
          <w:rFonts w:ascii="Lucida Sans" w:hAnsi="Lucida Sans"/>
          <w:position w:val="0"/>
          <w:sz w:val="20"/>
          <w:lang w:val="en-US"/>
        </w:rPr>
        <w:t xml:space="preserve"> </w:t>
      </w:r>
      <w:proofErr w:type="spellStart"/>
      <w:r>
        <w:rPr>
          <w:rFonts w:ascii="Lucida Sans" w:hAnsi="Lucida Sans"/>
          <w:position w:val="0"/>
          <w:sz w:val="20"/>
          <w:lang w:val="en-US"/>
        </w:rPr>
        <w:t>Evonik</w:t>
      </w:r>
      <w:proofErr w:type="spellEnd"/>
      <w:r>
        <w:rPr>
          <w:rFonts w:ascii="Lucida Sans" w:hAnsi="Lucida Sans"/>
          <w:position w:val="0"/>
          <w:sz w:val="20"/>
          <w:lang w:val="en-US"/>
        </w:rPr>
        <w:t xml:space="preserve"> did very well in an increasingly challenging economic environment," said Klaus Engel, Chairman of the Executive Board of </w:t>
      </w:r>
      <w:proofErr w:type="spellStart"/>
      <w:r>
        <w:rPr>
          <w:rFonts w:ascii="Lucida Sans" w:hAnsi="Lucida Sans"/>
          <w:position w:val="0"/>
          <w:sz w:val="20"/>
          <w:lang w:val="en-US"/>
        </w:rPr>
        <w:t>Evonik</w:t>
      </w:r>
      <w:proofErr w:type="spellEnd"/>
      <w:r>
        <w:rPr>
          <w:rFonts w:ascii="Lucida Sans" w:hAnsi="Lucida Sans"/>
          <w:position w:val="0"/>
          <w:sz w:val="20"/>
          <w:lang w:val="en-US"/>
        </w:rPr>
        <w:t xml:space="preserve"> Industries AG, at today's Financial Press Conference. Operationally, in 2012, </w:t>
      </w:r>
      <w:proofErr w:type="spellStart"/>
      <w:r>
        <w:rPr>
          <w:rFonts w:ascii="Lucida Sans" w:hAnsi="Lucida Sans"/>
          <w:position w:val="0"/>
          <w:sz w:val="20"/>
          <w:lang w:val="en-US"/>
        </w:rPr>
        <w:t>Evonik</w:t>
      </w:r>
      <w:proofErr w:type="spellEnd"/>
      <w:r>
        <w:rPr>
          <w:rFonts w:ascii="Lucida Sans" w:hAnsi="Lucida Sans"/>
          <w:position w:val="0"/>
          <w:sz w:val="20"/>
          <w:lang w:val="en-US"/>
        </w:rPr>
        <w:t xml:space="preserve"> was able to build on the record earnings achieved in 2011, greatly increased investment and also stepped up the pace of innovation. "We are ready for the next big step," said Engel with reference to the company's intention of seeking a stock market listing. </w:t>
      </w:r>
      <w:r w:rsidR="00A13245">
        <w:rPr>
          <w:rFonts w:ascii="Lucida Sans" w:hAnsi="Lucida Sans"/>
          <w:position w:val="0"/>
          <w:sz w:val="20"/>
          <w:lang w:val="en-US"/>
        </w:rPr>
        <w:t>“</w:t>
      </w:r>
      <w:r w:rsidR="00A13245">
        <w:rPr>
          <w:rFonts w:ascii="Lucida Sans" w:hAnsi="Lucida Sans"/>
          <w:sz w:val="20"/>
          <w:szCs w:val="20"/>
          <w:lang w:val="en-US" w:eastAsia="en-US"/>
        </w:rPr>
        <w:t xml:space="preserve">The strong interest shown by </w:t>
      </w:r>
      <w:r w:rsidR="007B2E75">
        <w:rPr>
          <w:rFonts w:ascii="Lucida Sans" w:hAnsi="Lucida Sans"/>
          <w:sz w:val="20"/>
          <w:szCs w:val="20"/>
          <w:lang w:val="en-US" w:eastAsia="en-US"/>
        </w:rPr>
        <w:br w:type="page"/>
      </w:r>
    </w:p>
    <w:p w:rsidR="009602FE" w:rsidRDefault="00A13245">
      <w:pPr>
        <w:spacing w:line="300" w:lineRule="exact"/>
        <w:rPr>
          <w:rFonts w:ascii="Lucida Sans" w:hAnsi="Lucida Sans"/>
          <w:position w:val="0"/>
          <w:sz w:val="20"/>
          <w:lang w:val="en-US"/>
        </w:rPr>
      </w:pPr>
      <w:r>
        <w:rPr>
          <w:rFonts w:ascii="Lucida Sans" w:hAnsi="Lucida Sans"/>
          <w:sz w:val="20"/>
          <w:szCs w:val="20"/>
          <w:lang w:val="en-US" w:eastAsia="en-US"/>
        </w:rPr>
        <w:lastRenderedPageBreak/>
        <w:t xml:space="preserve">investors in connection with the private placements confirms the success of our growth strategy," he added. </w:t>
      </w:r>
      <w:r>
        <w:rPr>
          <w:lang w:val="en-US" w:eastAsia="en-US"/>
        </w:rPr>
        <w:br/>
      </w:r>
    </w:p>
    <w:p w:rsidR="009602FE" w:rsidRDefault="009602FE">
      <w:pPr>
        <w:spacing w:line="300" w:lineRule="exact"/>
        <w:rPr>
          <w:b/>
          <w:sz w:val="20"/>
          <w:szCs w:val="20"/>
          <w:lang w:val="en-US"/>
        </w:rPr>
      </w:pPr>
    </w:p>
    <w:p w:rsidR="009602FE" w:rsidRDefault="00B51B77">
      <w:pPr>
        <w:spacing w:line="300" w:lineRule="exact"/>
        <w:rPr>
          <w:b/>
          <w:sz w:val="20"/>
          <w:szCs w:val="20"/>
          <w:lang w:val="en-US"/>
        </w:rPr>
      </w:pPr>
      <w:proofErr w:type="spellStart"/>
      <w:r>
        <w:rPr>
          <w:b/>
          <w:sz w:val="20"/>
          <w:lang w:val="en-US"/>
        </w:rPr>
        <w:t>Evonik</w:t>
      </w:r>
      <w:proofErr w:type="spellEnd"/>
      <w:r>
        <w:rPr>
          <w:b/>
          <w:sz w:val="20"/>
          <w:lang w:val="en-US"/>
        </w:rPr>
        <w:t xml:space="preserve"> 2016 corporate program: Implementation is progressing rapidly</w:t>
      </w:r>
    </w:p>
    <w:p w:rsidR="009602FE" w:rsidRDefault="009602FE">
      <w:pPr>
        <w:rPr>
          <w:sz w:val="20"/>
          <w:szCs w:val="20"/>
          <w:lang w:val="en-US"/>
        </w:rPr>
      </w:pPr>
    </w:p>
    <w:p w:rsidR="009602FE" w:rsidRDefault="00B51B77">
      <w:pPr>
        <w:spacing w:line="300" w:lineRule="exact"/>
        <w:rPr>
          <w:rFonts w:ascii="Lucida Sans" w:hAnsi="Lucida Sans"/>
          <w:position w:val="0"/>
          <w:sz w:val="20"/>
          <w:lang w:val="en-US"/>
        </w:rPr>
      </w:pPr>
      <w:r>
        <w:rPr>
          <w:rFonts w:ascii="Lucida Sans" w:hAnsi="Lucida Sans"/>
          <w:position w:val="0"/>
          <w:sz w:val="20"/>
          <w:lang w:val="en-US"/>
        </w:rPr>
        <w:t xml:space="preserve">In spring 2012, </w:t>
      </w:r>
      <w:proofErr w:type="spellStart"/>
      <w:r>
        <w:rPr>
          <w:rFonts w:ascii="Lucida Sans" w:hAnsi="Lucida Sans"/>
          <w:position w:val="0"/>
          <w:sz w:val="20"/>
          <w:lang w:val="en-US"/>
        </w:rPr>
        <w:t>Evonik</w:t>
      </w:r>
      <w:proofErr w:type="spellEnd"/>
      <w:r>
        <w:rPr>
          <w:rFonts w:ascii="Lucida Sans" w:hAnsi="Lucida Sans"/>
          <w:position w:val="0"/>
          <w:sz w:val="20"/>
          <w:lang w:val="en-US"/>
        </w:rPr>
        <w:t xml:space="preserve"> set up the "</w:t>
      </w:r>
      <w:proofErr w:type="spellStart"/>
      <w:r>
        <w:rPr>
          <w:rFonts w:ascii="Lucida Sans" w:hAnsi="Lucida Sans"/>
          <w:position w:val="0"/>
          <w:sz w:val="20"/>
          <w:lang w:val="en-US"/>
        </w:rPr>
        <w:t>Evonik</w:t>
      </w:r>
      <w:proofErr w:type="spellEnd"/>
      <w:r>
        <w:rPr>
          <w:rFonts w:ascii="Lucida Sans" w:hAnsi="Lucida Sans"/>
          <w:position w:val="0"/>
          <w:sz w:val="20"/>
          <w:lang w:val="en-US"/>
        </w:rPr>
        <w:t xml:space="preserve"> 2016" corporate program. All measures to support </w:t>
      </w:r>
      <w:proofErr w:type="spellStart"/>
      <w:r>
        <w:rPr>
          <w:rFonts w:ascii="Lucida Sans" w:hAnsi="Lucida Sans"/>
          <w:position w:val="0"/>
          <w:sz w:val="20"/>
          <w:lang w:val="en-US"/>
        </w:rPr>
        <w:t>Evonik's</w:t>
      </w:r>
      <w:proofErr w:type="spellEnd"/>
      <w:r>
        <w:rPr>
          <w:rFonts w:ascii="Lucida Sans" w:hAnsi="Lucida Sans"/>
          <w:position w:val="0"/>
          <w:sz w:val="20"/>
          <w:lang w:val="en-US"/>
        </w:rPr>
        <w:t xml:space="preserve"> profitable, sustainable and value-oriented growth are grouped in three areas of action: growth, efficiency and values. </w:t>
      </w:r>
    </w:p>
    <w:p w:rsidR="009602FE" w:rsidRDefault="009602FE">
      <w:pPr>
        <w:spacing w:line="300" w:lineRule="exact"/>
        <w:rPr>
          <w:rFonts w:ascii="Lucida Sans" w:hAnsi="Lucida Sans"/>
          <w:position w:val="0"/>
          <w:sz w:val="20"/>
          <w:lang w:val="en-US"/>
        </w:rPr>
      </w:pPr>
    </w:p>
    <w:p w:rsidR="009602FE" w:rsidRDefault="00B51B77">
      <w:pPr>
        <w:spacing w:line="300" w:lineRule="exact"/>
        <w:rPr>
          <w:rFonts w:ascii="Lucida Sans" w:hAnsi="Lucida Sans"/>
          <w:position w:val="0"/>
          <w:sz w:val="20"/>
          <w:lang w:val="en-US"/>
        </w:rPr>
      </w:pPr>
      <w:proofErr w:type="spellStart"/>
      <w:r>
        <w:rPr>
          <w:rFonts w:ascii="Lucida Sans" w:hAnsi="Lucida Sans"/>
          <w:position w:val="0"/>
          <w:sz w:val="20"/>
          <w:lang w:val="en-US"/>
        </w:rPr>
        <w:t>Evonik</w:t>
      </w:r>
      <w:proofErr w:type="spellEnd"/>
      <w:r>
        <w:rPr>
          <w:rFonts w:ascii="Lucida Sans" w:hAnsi="Lucida Sans"/>
          <w:position w:val="0"/>
          <w:sz w:val="20"/>
          <w:lang w:val="en-US"/>
        </w:rPr>
        <w:t xml:space="preserve"> intends to invest more than €6 billion between 2012 and 2016 as part of this growth strategy in order to expand its leading market positions. A considerable proportion of the growth pro</w:t>
      </w:r>
      <w:r>
        <w:rPr>
          <w:rFonts w:ascii="Lucida Sans" w:hAnsi="Lucida Sans"/>
          <w:position w:val="0"/>
          <w:sz w:val="20"/>
          <w:lang w:val="en-US"/>
        </w:rPr>
        <w:softHyphen/>
        <w:t>jects will be imple</w:t>
      </w:r>
      <w:r>
        <w:rPr>
          <w:rFonts w:ascii="Lucida Sans" w:hAnsi="Lucida Sans"/>
          <w:position w:val="0"/>
          <w:sz w:val="20"/>
          <w:lang w:val="en-US"/>
        </w:rPr>
        <w:softHyphen/>
        <w:t xml:space="preserve">mented in emerging markets, so their share of Group sales should increase substantially in the future. </w:t>
      </w:r>
    </w:p>
    <w:p w:rsidR="009602FE" w:rsidRDefault="009602FE">
      <w:pPr>
        <w:spacing w:line="300" w:lineRule="exact"/>
        <w:rPr>
          <w:rFonts w:ascii="Lucida Sans" w:hAnsi="Lucida Sans"/>
          <w:position w:val="0"/>
          <w:sz w:val="20"/>
          <w:lang w:val="en-US"/>
        </w:rPr>
      </w:pPr>
    </w:p>
    <w:p w:rsidR="009602FE" w:rsidRDefault="00B51B77">
      <w:pPr>
        <w:spacing w:line="300" w:lineRule="exact"/>
        <w:rPr>
          <w:rFonts w:ascii="Lucida Sans" w:hAnsi="Lucida Sans"/>
          <w:position w:val="0"/>
          <w:sz w:val="20"/>
          <w:lang w:val="en-US"/>
        </w:rPr>
      </w:pPr>
      <w:r>
        <w:rPr>
          <w:rFonts w:ascii="Lucida Sans" w:hAnsi="Lucida Sans"/>
          <w:position w:val="0"/>
          <w:sz w:val="20"/>
          <w:lang w:val="en-US"/>
        </w:rPr>
        <w:t xml:space="preserve">Significant projects include the construction of a new production complex for the amino acid DL-methionine in Singapore, which is scheduled to come into service in 2014. In China, </w:t>
      </w:r>
      <w:proofErr w:type="spellStart"/>
      <w:r>
        <w:rPr>
          <w:rFonts w:ascii="Lucida Sans" w:hAnsi="Lucida Sans"/>
          <w:position w:val="0"/>
          <w:sz w:val="20"/>
          <w:lang w:val="en-US"/>
        </w:rPr>
        <w:t>Evonik</w:t>
      </w:r>
      <w:proofErr w:type="spellEnd"/>
      <w:r>
        <w:rPr>
          <w:rFonts w:ascii="Lucida Sans" w:hAnsi="Lucida Sans"/>
          <w:position w:val="0"/>
          <w:sz w:val="20"/>
          <w:lang w:val="en-US"/>
        </w:rPr>
        <w:t xml:space="preserve"> is building new plants for hydrogen peroxide and organic surfactants, which should come on stream by year-end 2013, and a facility for </w:t>
      </w:r>
      <w:proofErr w:type="spellStart"/>
      <w:r>
        <w:rPr>
          <w:rFonts w:ascii="Lucida Sans" w:hAnsi="Lucida Sans"/>
          <w:position w:val="0"/>
          <w:sz w:val="20"/>
          <w:lang w:val="en-US"/>
        </w:rPr>
        <w:t>isophorone</w:t>
      </w:r>
      <w:proofErr w:type="spellEnd"/>
      <w:r>
        <w:rPr>
          <w:rFonts w:ascii="Lucida Sans" w:hAnsi="Lucida Sans"/>
          <w:position w:val="0"/>
          <w:sz w:val="20"/>
          <w:lang w:val="en-US"/>
        </w:rPr>
        <w:t xml:space="preserve"> and </w:t>
      </w:r>
      <w:proofErr w:type="spellStart"/>
      <w:r>
        <w:rPr>
          <w:rFonts w:ascii="Lucida Sans" w:hAnsi="Lucida Sans"/>
          <w:position w:val="0"/>
          <w:sz w:val="20"/>
          <w:lang w:val="en-US"/>
        </w:rPr>
        <w:t>isophorone</w:t>
      </w:r>
      <w:proofErr w:type="spellEnd"/>
      <w:r>
        <w:rPr>
          <w:rFonts w:ascii="Lucida Sans" w:hAnsi="Lucida Sans"/>
          <w:position w:val="0"/>
          <w:sz w:val="20"/>
          <w:lang w:val="en-US"/>
        </w:rPr>
        <w:t xml:space="preserve"> derivatives, which should be completed by 2014. In Brazil, plants are being erected for the amino acid </w:t>
      </w:r>
      <w:proofErr w:type="spellStart"/>
      <w:r>
        <w:rPr>
          <w:rFonts w:ascii="Lucida Sans" w:hAnsi="Lucida Sans"/>
          <w:position w:val="0"/>
          <w:sz w:val="20"/>
          <w:lang w:val="en-US"/>
        </w:rPr>
        <w:t>Biolys</w:t>
      </w:r>
      <w:proofErr w:type="spellEnd"/>
      <w:r>
        <w:rPr>
          <w:rFonts w:ascii="Lucida Sans" w:hAnsi="Lucida Sans"/>
          <w:position w:val="0"/>
          <w:sz w:val="20"/>
          <w:lang w:val="en-US"/>
        </w:rPr>
        <w:t>® and for cosmetic raw materials, while in Argentina a plant for catalysts for biodiesel production is under construction. Engel: "In this way we aim to participate in the dynamic growth in the emerging markets in Asia and South America."</w:t>
      </w:r>
    </w:p>
    <w:p w:rsidR="009602FE" w:rsidRDefault="009602FE">
      <w:pPr>
        <w:spacing w:line="300" w:lineRule="exact"/>
        <w:rPr>
          <w:rFonts w:ascii="Lucida Sans" w:hAnsi="Lucida Sans"/>
          <w:position w:val="0"/>
          <w:sz w:val="20"/>
          <w:lang w:val="en-US"/>
        </w:rPr>
      </w:pPr>
    </w:p>
    <w:p w:rsidR="009602FE" w:rsidRDefault="00B51B77">
      <w:pPr>
        <w:spacing w:line="300" w:lineRule="exact"/>
        <w:rPr>
          <w:rFonts w:ascii="Lucida Sans" w:hAnsi="Lucida Sans"/>
          <w:position w:val="0"/>
          <w:sz w:val="20"/>
          <w:lang w:val="en-US"/>
        </w:rPr>
      </w:pPr>
      <w:r>
        <w:rPr>
          <w:rFonts w:ascii="Lucida Sans" w:hAnsi="Lucida Sans"/>
          <w:position w:val="0"/>
          <w:sz w:val="20"/>
          <w:lang w:val="en-US"/>
        </w:rPr>
        <w:t xml:space="preserve">Through On Track 2.0 </w:t>
      </w:r>
      <w:proofErr w:type="spellStart"/>
      <w:r>
        <w:rPr>
          <w:rFonts w:ascii="Lucida Sans" w:hAnsi="Lucida Sans"/>
          <w:position w:val="0"/>
          <w:sz w:val="20"/>
          <w:lang w:val="en-US"/>
        </w:rPr>
        <w:t>Evonik</w:t>
      </w:r>
      <w:proofErr w:type="spellEnd"/>
      <w:r>
        <w:rPr>
          <w:rFonts w:ascii="Lucida Sans" w:hAnsi="Lucida Sans"/>
          <w:position w:val="0"/>
          <w:sz w:val="20"/>
          <w:lang w:val="en-US"/>
        </w:rPr>
        <w:t xml:space="preserve"> aims to leverage sustained cost savings of €500 million a year by the end of 2016. Measures had already been defined for half of this amount in 2012 and savings of more than €140 million had been achieved. "That is a strong intermediate result and underscores the broad acceptance of “</w:t>
      </w:r>
      <w:proofErr w:type="spellStart"/>
      <w:r>
        <w:rPr>
          <w:rFonts w:ascii="Lucida Sans" w:hAnsi="Lucida Sans"/>
          <w:position w:val="0"/>
          <w:sz w:val="20"/>
          <w:lang w:val="en-US"/>
        </w:rPr>
        <w:t>Evonik</w:t>
      </w:r>
      <w:proofErr w:type="spellEnd"/>
      <w:r>
        <w:rPr>
          <w:rFonts w:ascii="Lucida Sans" w:hAnsi="Lucida Sans"/>
          <w:position w:val="0"/>
          <w:sz w:val="20"/>
          <w:lang w:val="en-US"/>
        </w:rPr>
        <w:t xml:space="preserve"> 2016” within the Group," stressed Engel. </w:t>
      </w:r>
    </w:p>
    <w:p w:rsidR="009602FE" w:rsidRDefault="009602FE">
      <w:pPr>
        <w:spacing w:line="300" w:lineRule="exact"/>
        <w:rPr>
          <w:sz w:val="20"/>
          <w:szCs w:val="20"/>
          <w:lang w:val="en-US"/>
        </w:rPr>
      </w:pPr>
    </w:p>
    <w:p w:rsidR="009602FE" w:rsidRDefault="00B51B77">
      <w:pPr>
        <w:spacing w:line="300" w:lineRule="exact"/>
        <w:rPr>
          <w:b/>
          <w:sz w:val="20"/>
          <w:szCs w:val="20"/>
          <w:lang w:val="en-US"/>
        </w:rPr>
      </w:pPr>
      <w:r>
        <w:rPr>
          <w:b/>
          <w:sz w:val="20"/>
          <w:lang w:val="en-US"/>
        </w:rPr>
        <w:t>Organic sales virtually stable—Operating results at a very good level</w:t>
      </w:r>
    </w:p>
    <w:p w:rsidR="009602FE" w:rsidRDefault="009602FE">
      <w:pPr>
        <w:spacing w:line="300" w:lineRule="exact"/>
        <w:rPr>
          <w:b/>
          <w:sz w:val="20"/>
          <w:szCs w:val="20"/>
          <w:lang w:val="en-US"/>
        </w:rPr>
      </w:pPr>
    </w:p>
    <w:p w:rsidR="009602FE" w:rsidRDefault="00B51B77">
      <w:pPr>
        <w:spacing w:line="300" w:lineRule="exact"/>
        <w:rPr>
          <w:sz w:val="20"/>
          <w:szCs w:val="20"/>
          <w:lang w:val="en-US"/>
        </w:rPr>
      </w:pPr>
      <w:r>
        <w:rPr>
          <w:sz w:val="20"/>
          <w:lang w:val="en-US"/>
        </w:rPr>
        <w:t xml:space="preserve">In light of the challenging business conditions in 2012, </w:t>
      </w:r>
      <w:proofErr w:type="spellStart"/>
      <w:r>
        <w:rPr>
          <w:sz w:val="20"/>
          <w:lang w:val="en-US"/>
        </w:rPr>
        <w:t>Evonik's</w:t>
      </w:r>
      <w:proofErr w:type="spellEnd"/>
      <w:r>
        <w:rPr>
          <w:sz w:val="20"/>
          <w:lang w:val="en-US"/>
        </w:rPr>
        <w:t xml:space="preserve"> performance was very good. Excluding the carbon black business, which was divested in July 2011, sales and the operating </w:t>
      </w:r>
      <w:r w:rsidRPr="00F312F7">
        <w:rPr>
          <w:sz w:val="20"/>
          <w:lang w:val="en-US"/>
        </w:rPr>
        <w:t xml:space="preserve">results </w:t>
      </w:r>
      <w:r w:rsidR="002A14FD" w:rsidRPr="00F312F7">
        <w:rPr>
          <w:sz w:val="20"/>
          <w:lang w:val="en-US"/>
        </w:rPr>
        <w:t xml:space="preserve">in 2012 </w:t>
      </w:r>
      <w:r w:rsidRPr="00F312F7">
        <w:rPr>
          <w:sz w:val="20"/>
          <w:lang w:val="en-US"/>
        </w:rPr>
        <w:t>were</w:t>
      </w:r>
      <w:r>
        <w:rPr>
          <w:sz w:val="20"/>
          <w:lang w:val="en-US"/>
        </w:rPr>
        <w:t xml:space="preserve"> close to the very good 2011 numbers.</w:t>
      </w:r>
    </w:p>
    <w:p w:rsidR="009602FE" w:rsidRDefault="009602FE">
      <w:pPr>
        <w:spacing w:line="300" w:lineRule="exact"/>
        <w:rPr>
          <w:sz w:val="20"/>
          <w:szCs w:val="20"/>
          <w:lang w:val="en-US"/>
        </w:rPr>
      </w:pPr>
    </w:p>
    <w:p w:rsidR="009602FE" w:rsidRDefault="00B51B77">
      <w:pPr>
        <w:spacing w:line="300" w:lineRule="exact"/>
        <w:rPr>
          <w:sz w:val="20"/>
          <w:szCs w:val="20"/>
          <w:lang w:val="en-US"/>
        </w:rPr>
      </w:pPr>
      <w:r>
        <w:rPr>
          <w:sz w:val="20"/>
          <w:lang w:val="en-US"/>
        </w:rPr>
        <w:t xml:space="preserve">Following a very </w:t>
      </w:r>
      <w:r w:rsidR="00370E4A">
        <w:rPr>
          <w:sz w:val="20"/>
          <w:lang w:val="en-US"/>
        </w:rPr>
        <w:t>good</w:t>
      </w:r>
      <w:r>
        <w:rPr>
          <w:sz w:val="20"/>
          <w:lang w:val="en-US"/>
        </w:rPr>
        <w:t xml:space="preserve"> first half, organic sales growth weakened slightly in the second half of the year. Although selling prices were slightly higher (+1 percent), </w:t>
      </w:r>
      <w:r>
        <w:rPr>
          <w:b/>
          <w:sz w:val="20"/>
          <w:lang w:val="en-US"/>
        </w:rPr>
        <w:t>organic sales</w:t>
      </w:r>
      <w:r>
        <w:rPr>
          <w:sz w:val="20"/>
          <w:lang w:val="en-US"/>
        </w:rPr>
        <w:t xml:space="preserve"> slipped slightly by 1 percent as a result of a slight decline in volumes (-2 percent, partly due to the volume shortfall following the incident at the CDT plant in Marl (Germany)). </w:t>
      </w:r>
      <w:r>
        <w:rPr>
          <w:b/>
          <w:sz w:val="20"/>
          <w:lang w:val="en-US"/>
        </w:rPr>
        <w:t>Group sales</w:t>
      </w:r>
      <w:r>
        <w:rPr>
          <w:sz w:val="20"/>
          <w:lang w:val="en-US"/>
        </w:rPr>
        <w:t xml:space="preserve"> fell by 6 percent overall to €13,629 million (2011: €14,540 million). This was </w:t>
      </w:r>
      <w:r w:rsidR="00A9771F">
        <w:rPr>
          <w:sz w:val="20"/>
          <w:lang w:val="en-US"/>
        </w:rPr>
        <w:t xml:space="preserve">mainly due </w:t>
      </w:r>
      <w:r w:rsidR="00A6726C">
        <w:rPr>
          <w:sz w:val="20"/>
          <w:lang w:val="en-US"/>
        </w:rPr>
        <w:t xml:space="preserve">to </w:t>
      </w:r>
      <w:r>
        <w:rPr>
          <w:sz w:val="20"/>
          <w:lang w:val="en-US"/>
        </w:rPr>
        <w:t>the divestment of the carbon black business in July 2011.</w:t>
      </w:r>
    </w:p>
    <w:p w:rsidR="009602FE" w:rsidRDefault="009602FE">
      <w:pPr>
        <w:spacing w:line="300" w:lineRule="exact"/>
        <w:rPr>
          <w:sz w:val="20"/>
          <w:szCs w:val="20"/>
          <w:lang w:val="en-US"/>
        </w:rPr>
      </w:pPr>
    </w:p>
    <w:p w:rsidR="009602FE" w:rsidRDefault="00B51B77">
      <w:pPr>
        <w:spacing w:line="300" w:lineRule="exact"/>
        <w:rPr>
          <w:sz w:val="20"/>
          <w:szCs w:val="20"/>
          <w:lang w:val="en-US"/>
        </w:rPr>
      </w:pPr>
      <w:r>
        <w:rPr>
          <w:sz w:val="20"/>
          <w:lang w:val="en-US"/>
        </w:rPr>
        <w:t xml:space="preserve">The operating results once again achieved a very good level in 2012. Adjusted </w:t>
      </w:r>
      <w:r>
        <w:rPr>
          <w:b/>
          <w:sz w:val="20"/>
          <w:lang w:val="en-US"/>
        </w:rPr>
        <w:t>EBITDA</w:t>
      </w:r>
      <w:r>
        <w:rPr>
          <w:sz w:val="20"/>
          <w:lang w:val="en-US"/>
        </w:rPr>
        <w:t xml:space="preserve"> declined by 6 percent to €2,589 million (2011: €2,768 million), mainly because the prior-year figure contains earnings from the carbon black business for the first seven months. Accordingly, adjusted </w:t>
      </w:r>
      <w:r>
        <w:rPr>
          <w:b/>
          <w:sz w:val="20"/>
          <w:lang w:val="en-US"/>
        </w:rPr>
        <w:t>EBIT</w:t>
      </w:r>
      <w:r>
        <w:rPr>
          <w:sz w:val="20"/>
          <w:lang w:val="en-US"/>
        </w:rPr>
        <w:t xml:space="preserve"> dropped 7 percent to €1,953 million (2011: €2,099 million). The adjusted</w:t>
      </w:r>
      <w:r>
        <w:rPr>
          <w:b/>
          <w:sz w:val="20"/>
          <w:lang w:val="en-US"/>
        </w:rPr>
        <w:t xml:space="preserve"> EBITDA margin</w:t>
      </w:r>
      <w:r>
        <w:rPr>
          <w:sz w:val="20"/>
          <w:lang w:val="en-US"/>
        </w:rPr>
        <w:t xml:space="preserve"> was 19.0 percent, in line with previous year's excellent level (19.0 percent), underscoring the Group's high profitability. </w:t>
      </w:r>
    </w:p>
    <w:p w:rsidR="009602FE" w:rsidRDefault="009602FE">
      <w:pPr>
        <w:spacing w:line="300" w:lineRule="exact"/>
        <w:rPr>
          <w:sz w:val="20"/>
          <w:szCs w:val="20"/>
          <w:lang w:val="en-US"/>
        </w:rPr>
      </w:pPr>
    </w:p>
    <w:p w:rsidR="009602FE" w:rsidRDefault="00B51B77">
      <w:pPr>
        <w:spacing w:line="300" w:lineRule="exact"/>
        <w:rPr>
          <w:b/>
          <w:sz w:val="20"/>
          <w:szCs w:val="20"/>
          <w:lang w:val="en-US"/>
        </w:rPr>
      </w:pPr>
      <w:r>
        <w:rPr>
          <w:b/>
          <w:sz w:val="20"/>
          <w:lang w:val="en-US"/>
        </w:rPr>
        <w:t>Considerable improvement in net income</w:t>
      </w:r>
    </w:p>
    <w:p w:rsidR="009602FE" w:rsidRDefault="009602FE">
      <w:pPr>
        <w:spacing w:line="300" w:lineRule="exact"/>
        <w:rPr>
          <w:sz w:val="20"/>
          <w:szCs w:val="20"/>
          <w:lang w:val="en-US"/>
        </w:rPr>
      </w:pPr>
    </w:p>
    <w:p w:rsidR="009602FE" w:rsidRDefault="00B51B77">
      <w:pPr>
        <w:spacing w:line="300" w:lineRule="exact"/>
        <w:rPr>
          <w:sz w:val="20"/>
          <w:szCs w:val="20"/>
          <w:lang w:val="en-US"/>
        </w:rPr>
      </w:pPr>
      <w:r>
        <w:rPr>
          <w:sz w:val="20"/>
          <w:lang w:val="en-US"/>
        </w:rPr>
        <w:t xml:space="preserve">The </w:t>
      </w:r>
      <w:r>
        <w:rPr>
          <w:b/>
          <w:sz w:val="20"/>
          <w:lang w:val="en-US"/>
        </w:rPr>
        <w:t>adjustments</w:t>
      </w:r>
      <w:r>
        <w:rPr>
          <w:sz w:val="20"/>
          <w:lang w:val="en-US"/>
        </w:rPr>
        <w:t xml:space="preserve"> of €16 million are the net balance of non-operating income and expense items which by their nature are one-off or rare. They mainly consist of income and expense items that essentially cancel each other out and are connected with the restructuring of the photovoltaic business in response to tough competition, and the incident at the CDT plant in Marl (Germany). Further, the adjustments contain income from the quarterly revaluation of the STEAG options. </w:t>
      </w:r>
      <w:r>
        <w:rPr>
          <w:b/>
          <w:sz w:val="20"/>
          <w:lang w:val="en-US"/>
        </w:rPr>
        <w:t>Income before income taxes from continuing operations</w:t>
      </w:r>
      <w:r>
        <w:rPr>
          <w:sz w:val="20"/>
          <w:lang w:val="en-US"/>
        </w:rPr>
        <w:t xml:space="preserve"> rose 4 percent to €1,612 million (2011: €1,543 million). </w:t>
      </w:r>
      <w:r>
        <w:rPr>
          <w:b/>
          <w:sz w:val="20"/>
          <w:lang w:val="en-US"/>
        </w:rPr>
        <w:t>Net income</w:t>
      </w:r>
      <w:r>
        <w:rPr>
          <w:sz w:val="20"/>
          <w:lang w:val="en-US"/>
        </w:rPr>
        <w:t xml:space="preserve"> climbed 15 percent to €1,164 million (2011: €1,011 million). </w:t>
      </w:r>
    </w:p>
    <w:p w:rsidR="009602FE" w:rsidRDefault="009602FE">
      <w:pPr>
        <w:spacing w:line="300" w:lineRule="exact"/>
        <w:rPr>
          <w:sz w:val="20"/>
          <w:szCs w:val="20"/>
          <w:lang w:val="en-US"/>
        </w:rPr>
      </w:pPr>
    </w:p>
    <w:p w:rsidR="009602FE" w:rsidRDefault="00B51B77">
      <w:pPr>
        <w:spacing w:line="300" w:lineRule="exact"/>
        <w:rPr>
          <w:b/>
          <w:sz w:val="20"/>
          <w:szCs w:val="20"/>
          <w:lang w:val="en-US"/>
        </w:rPr>
      </w:pPr>
      <w:r>
        <w:rPr>
          <w:b/>
          <w:sz w:val="20"/>
          <w:lang w:val="en-US"/>
        </w:rPr>
        <w:t>Another attractive return on capital</w:t>
      </w:r>
    </w:p>
    <w:p w:rsidR="009602FE" w:rsidRDefault="009602FE">
      <w:pPr>
        <w:spacing w:line="300" w:lineRule="exact"/>
        <w:rPr>
          <w:sz w:val="20"/>
          <w:szCs w:val="20"/>
          <w:lang w:val="en-US"/>
        </w:rPr>
      </w:pPr>
    </w:p>
    <w:p w:rsidR="009602FE" w:rsidRDefault="00B51B77">
      <w:pPr>
        <w:spacing w:line="300" w:lineRule="exact"/>
        <w:rPr>
          <w:sz w:val="20"/>
          <w:szCs w:val="20"/>
          <w:lang w:val="en-US"/>
        </w:rPr>
      </w:pPr>
      <w:r>
        <w:rPr>
          <w:sz w:val="20"/>
          <w:lang w:val="en-US"/>
        </w:rPr>
        <w:t>The return on capital employed (</w:t>
      </w:r>
      <w:r>
        <w:rPr>
          <w:b/>
          <w:sz w:val="20"/>
          <w:lang w:val="en-US"/>
        </w:rPr>
        <w:t>ROCE</w:t>
      </w:r>
      <w:r>
        <w:rPr>
          <w:sz w:val="20"/>
          <w:lang w:val="en-US"/>
        </w:rPr>
        <w:t xml:space="preserve">) remained at an attractive level of 17.2 percent. The decrease compared with the previous year's excellent value (18.7 percent) was mainly caused by higher capital expenditures, which increased capital employed slightly but have not yet impacted adjusted EBIT. Thanks to the successful operating performance, the </w:t>
      </w:r>
      <w:r>
        <w:rPr>
          <w:b/>
          <w:sz w:val="20"/>
          <w:lang w:val="en-US"/>
        </w:rPr>
        <w:t>cash flow from operating activities from continuing operations</w:t>
      </w:r>
      <w:r>
        <w:rPr>
          <w:sz w:val="20"/>
          <w:lang w:val="en-US"/>
        </w:rPr>
        <w:t xml:space="preserve"> was €1,420 million, in line with the previous year's high level (2011: €1,435 million). </w:t>
      </w:r>
      <w:r>
        <w:rPr>
          <w:b/>
          <w:sz w:val="20"/>
          <w:lang w:val="en-US"/>
        </w:rPr>
        <w:lastRenderedPageBreak/>
        <w:t>Capital expenditures</w:t>
      </w:r>
      <w:r>
        <w:rPr>
          <w:sz w:val="20"/>
          <w:lang w:val="en-US"/>
        </w:rPr>
        <w:t xml:space="preserve"> increased considerably, by 30 percent, to €1,078 million (2011: €830 million). The increase is mainly attributable to strategic growth projects, which </w:t>
      </w:r>
      <w:proofErr w:type="spellStart"/>
      <w:r>
        <w:rPr>
          <w:sz w:val="20"/>
          <w:lang w:val="en-US"/>
        </w:rPr>
        <w:t>Evonik</w:t>
      </w:r>
      <w:proofErr w:type="spellEnd"/>
      <w:r>
        <w:rPr>
          <w:sz w:val="20"/>
          <w:lang w:val="en-US"/>
        </w:rPr>
        <w:t xml:space="preserve"> either started in previous years or initiated in 2012. The </w:t>
      </w:r>
      <w:r>
        <w:rPr>
          <w:b/>
          <w:sz w:val="20"/>
          <w:lang w:val="en-US"/>
        </w:rPr>
        <w:t>net financial debt</w:t>
      </w:r>
      <w:r>
        <w:rPr>
          <w:sz w:val="20"/>
          <w:lang w:val="en-US"/>
        </w:rPr>
        <w:t xml:space="preserve"> was €1,163 million, an increase of €320 million compared with year-end 2011. This was principally due to the transfer of €400 million to the contractual trust arrangement (CTA) to fund further pension obligations.</w:t>
      </w:r>
    </w:p>
    <w:p w:rsidR="009602FE" w:rsidRDefault="009602FE">
      <w:pPr>
        <w:spacing w:line="300" w:lineRule="exact"/>
        <w:rPr>
          <w:rFonts w:cs="Lucida Sans Unicode"/>
          <w:sz w:val="20"/>
          <w:szCs w:val="20"/>
          <w:lang w:val="en-US"/>
        </w:rPr>
      </w:pPr>
    </w:p>
    <w:p w:rsidR="009602FE" w:rsidRDefault="00B51B77">
      <w:pPr>
        <w:spacing w:line="300" w:lineRule="exact"/>
        <w:rPr>
          <w:b/>
          <w:sz w:val="20"/>
          <w:szCs w:val="20"/>
          <w:lang w:val="en-US"/>
        </w:rPr>
      </w:pPr>
      <w:r>
        <w:rPr>
          <w:b/>
          <w:sz w:val="20"/>
          <w:lang w:val="en-US"/>
        </w:rPr>
        <w:t>Research and development driven forward</w:t>
      </w:r>
    </w:p>
    <w:p w:rsidR="009602FE" w:rsidRPr="00685ED6" w:rsidRDefault="009602FE">
      <w:pPr>
        <w:spacing w:line="300" w:lineRule="exact"/>
        <w:rPr>
          <w:sz w:val="20"/>
          <w:lang w:val="en-US"/>
        </w:rPr>
      </w:pPr>
    </w:p>
    <w:p w:rsidR="00685ED6" w:rsidRPr="00685ED6" w:rsidRDefault="00685ED6" w:rsidP="00685ED6">
      <w:pPr>
        <w:spacing w:line="300" w:lineRule="exact"/>
        <w:rPr>
          <w:sz w:val="20"/>
          <w:lang w:val="en-US"/>
        </w:rPr>
      </w:pPr>
      <w:r w:rsidRPr="00601A20">
        <w:rPr>
          <w:sz w:val="20"/>
          <w:lang w:val="en-US"/>
        </w:rPr>
        <w:t xml:space="preserve">To strengthen its innovative capability further, </w:t>
      </w:r>
      <w:proofErr w:type="spellStart"/>
      <w:r w:rsidRPr="00601A20">
        <w:rPr>
          <w:sz w:val="20"/>
          <w:lang w:val="en-US"/>
        </w:rPr>
        <w:t>Evonik</w:t>
      </w:r>
      <w:proofErr w:type="spellEnd"/>
      <w:r w:rsidRPr="00601A20">
        <w:rPr>
          <w:sz w:val="20"/>
          <w:lang w:val="en-US"/>
        </w:rPr>
        <w:t xml:space="preserve"> raised research and development spending by 8 percent to €393 million in 2012. Examples of </w:t>
      </w:r>
      <w:proofErr w:type="spellStart"/>
      <w:r w:rsidRPr="00601A20">
        <w:rPr>
          <w:sz w:val="20"/>
          <w:lang w:val="en-US"/>
        </w:rPr>
        <w:t>Evonik's</w:t>
      </w:r>
      <w:proofErr w:type="spellEnd"/>
      <w:r w:rsidRPr="00601A20">
        <w:rPr>
          <w:sz w:val="20"/>
          <w:lang w:val="en-US"/>
        </w:rPr>
        <w:t xml:space="preserve"> latest R&amp;D successes include new applications for feed additives and custom-tailored cosmetic ingredients. New products based on renewable raw materials and innovative insulating materials are geared to more efficient use of resources. Overall, </w:t>
      </w:r>
      <w:proofErr w:type="spellStart"/>
      <w:r w:rsidRPr="00601A20">
        <w:rPr>
          <w:sz w:val="20"/>
          <w:lang w:val="en-US"/>
        </w:rPr>
        <w:t>Evonik</w:t>
      </w:r>
      <w:proofErr w:type="spellEnd"/>
      <w:r w:rsidRPr="00601A20">
        <w:rPr>
          <w:sz w:val="20"/>
          <w:lang w:val="en-US"/>
        </w:rPr>
        <w:t xml:space="preserve"> increased the number of R&amp;D projects to around 500.</w:t>
      </w:r>
    </w:p>
    <w:p w:rsidR="009602FE" w:rsidRDefault="009602FE">
      <w:pPr>
        <w:spacing w:line="300" w:lineRule="exact"/>
        <w:rPr>
          <w:sz w:val="20"/>
          <w:szCs w:val="20"/>
          <w:lang w:val="en-US"/>
        </w:rPr>
      </w:pPr>
    </w:p>
    <w:p w:rsidR="00685ED6" w:rsidRDefault="00685ED6">
      <w:pPr>
        <w:spacing w:line="300" w:lineRule="exact"/>
        <w:rPr>
          <w:sz w:val="20"/>
          <w:szCs w:val="20"/>
          <w:lang w:val="en-US"/>
        </w:rPr>
      </w:pPr>
    </w:p>
    <w:p w:rsidR="009602FE" w:rsidRDefault="00B51B77">
      <w:pPr>
        <w:spacing w:line="300" w:lineRule="exact"/>
        <w:rPr>
          <w:rFonts w:cs="Lucida Sans Unicode"/>
          <w:b/>
          <w:sz w:val="20"/>
          <w:szCs w:val="20"/>
          <w:lang w:val="en-US"/>
        </w:rPr>
      </w:pPr>
      <w:r>
        <w:rPr>
          <w:b/>
          <w:sz w:val="20"/>
          <w:lang w:val="en-US"/>
        </w:rPr>
        <w:t xml:space="preserve">Development of the segments in fiscal 2012 </w:t>
      </w:r>
    </w:p>
    <w:p w:rsidR="009602FE" w:rsidRDefault="009602FE">
      <w:pPr>
        <w:spacing w:line="300" w:lineRule="exact"/>
        <w:rPr>
          <w:rFonts w:cs="Lucida Sans Unicode"/>
          <w:b/>
          <w:sz w:val="20"/>
          <w:szCs w:val="20"/>
          <w:lang w:val="en-US"/>
        </w:rPr>
      </w:pPr>
    </w:p>
    <w:p w:rsidR="009602FE" w:rsidRDefault="00B51B77">
      <w:pPr>
        <w:spacing w:line="300" w:lineRule="exact"/>
        <w:rPr>
          <w:rFonts w:cs="Lucida Sans Unicode"/>
          <w:b/>
          <w:sz w:val="20"/>
          <w:szCs w:val="20"/>
          <w:lang w:val="en-US"/>
        </w:rPr>
      </w:pPr>
      <w:r>
        <w:rPr>
          <w:b/>
          <w:sz w:val="20"/>
          <w:lang w:val="en-US"/>
        </w:rPr>
        <w:t>Consumer, Health &amp; Nutrition</w:t>
      </w:r>
    </w:p>
    <w:p w:rsidR="009602FE" w:rsidRDefault="009602FE">
      <w:pPr>
        <w:spacing w:line="300" w:lineRule="exact"/>
        <w:rPr>
          <w:rFonts w:cs="Lucida Sans Unicode"/>
          <w:b/>
          <w:sz w:val="20"/>
          <w:szCs w:val="20"/>
          <w:lang w:val="en-US"/>
        </w:rPr>
      </w:pPr>
    </w:p>
    <w:p w:rsidR="009602FE" w:rsidRDefault="00B51B77">
      <w:pPr>
        <w:spacing w:line="300" w:lineRule="exact"/>
        <w:rPr>
          <w:rFonts w:cs="Lucida Sans Unicode"/>
          <w:sz w:val="20"/>
          <w:szCs w:val="20"/>
          <w:lang w:val="en-US"/>
        </w:rPr>
      </w:pPr>
      <w:r>
        <w:rPr>
          <w:sz w:val="20"/>
          <w:lang w:val="en-US"/>
        </w:rPr>
        <w:t xml:space="preserve">The </w:t>
      </w:r>
      <w:r>
        <w:rPr>
          <w:b/>
          <w:sz w:val="20"/>
          <w:lang w:val="en-US"/>
        </w:rPr>
        <w:t>Consumer, Health &amp; Nutrition</w:t>
      </w:r>
      <w:r>
        <w:rPr>
          <w:sz w:val="20"/>
          <w:lang w:val="en-US"/>
        </w:rPr>
        <w:t xml:space="preserve"> segment produces specialty chemicals, principally for applications in the consumer goods, animal nutrition and health-care sectors. This segment comprises the Consumer Specialties and Health &amp; Nutrition Business Units. </w:t>
      </w:r>
    </w:p>
    <w:p w:rsidR="009602FE" w:rsidRDefault="009602FE">
      <w:pPr>
        <w:spacing w:line="300" w:lineRule="exact"/>
        <w:rPr>
          <w:rFonts w:cs="Lucida Sans Unicode"/>
          <w:sz w:val="20"/>
          <w:szCs w:val="20"/>
          <w:lang w:val="en-US"/>
        </w:rPr>
      </w:pPr>
    </w:p>
    <w:p w:rsidR="009602FE" w:rsidRDefault="00B51B77">
      <w:pPr>
        <w:spacing w:line="300" w:lineRule="exact"/>
        <w:rPr>
          <w:rFonts w:cs="Lucida Sans Unicode"/>
          <w:sz w:val="20"/>
          <w:szCs w:val="20"/>
          <w:lang w:val="en-US"/>
        </w:rPr>
      </w:pPr>
      <w:r>
        <w:rPr>
          <w:sz w:val="20"/>
          <w:lang w:val="en-US"/>
        </w:rPr>
        <w:t xml:space="preserve">2012 was another very successful year for the Consumer, Health &amp; Nutrition segment. Globally, it saw demand for its products grow so overall production capacity was once again well utilized. However, selling prices slipped slightly, especially in the second half of the year. Buoyed by higher volumes, the segment posted slight organic sales growth. Together with the positive effect of exchange rates, </w:t>
      </w:r>
      <w:r>
        <w:rPr>
          <w:b/>
          <w:sz w:val="20"/>
          <w:lang w:val="en-US"/>
        </w:rPr>
        <w:t>sales</w:t>
      </w:r>
      <w:r>
        <w:rPr>
          <w:sz w:val="20"/>
          <w:lang w:val="en-US"/>
        </w:rPr>
        <w:t xml:space="preserve"> grew by 3 percent to €4,204 million. Due to the good volume development, the operating results were once again excellent. Adjusted </w:t>
      </w:r>
      <w:r>
        <w:rPr>
          <w:b/>
          <w:sz w:val="20"/>
          <w:lang w:val="en-US"/>
        </w:rPr>
        <w:t>EBITDA</w:t>
      </w:r>
      <w:r>
        <w:rPr>
          <w:sz w:val="20"/>
          <w:lang w:val="en-US"/>
        </w:rPr>
        <w:t xml:space="preserve"> matched the previous year's level at €1,050 million and adjusted </w:t>
      </w:r>
      <w:r>
        <w:rPr>
          <w:b/>
          <w:sz w:val="20"/>
          <w:lang w:val="en-US"/>
        </w:rPr>
        <w:t>EBIT</w:t>
      </w:r>
      <w:r>
        <w:rPr>
          <w:sz w:val="20"/>
          <w:lang w:val="en-US"/>
        </w:rPr>
        <w:t xml:space="preserve"> rose 1 percent to €924 million. The adjusted </w:t>
      </w:r>
      <w:r>
        <w:rPr>
          <w:b/>
          <w:sz w:val="20"/>
          <w:lang w:val="en-US"/>
        </w:rPr>
        <w:t>EBITDA margin</w:t>
      </w:r>
      <w:r>
        <w:rPr>
          <w:sz w:val="20"/>
          <w:lang w:val="en-US"/>
        </w:rPr>
        <w:t xml:space="preserve"> declined slightly, but was still at a very high level, at 25.0 percent (2011: 25.7 percent).    </w:t>
      </w:r>
    </w:p>
    <w:p w:rsidR="009602FE" w:rsidRDefault="009602FE">
      <w:pPr>
        <w:spacing w:line="300" w:lineRule="exact"/>
        <w:rPr>
          <w:rFonts w:cs="Lucida Sans Unicode"/>
          <w:sz w:val="20"/>
          <w:szCs w:val="20"/>
          <w:lang w:val="en-US"/>
        </w:rPr>
      </w:pPr>
    </w:p>
    <w:p w:rsidR="009602FE" w:rsidRDefault="007B2E75">
      <w:pPr>
        <w:spacing w:line="300" w:lineRule="exact"/>
        <w:rPr>
          <w:rFonts w:cs="Lucida Sans Unicode"/>
          <w:b/>
          <w:sz w:val="20"/>
          <w:szCs w:val="20"/>
          <w:lang w:val="en-US"/>
        </w:rPr>
      </w:pPr>
      <w:r>
        <w:rPr>
          <w:b/>
          <w:sz w:val="20"/>
          <w:lang w:val="en-US"/>
        </w:rPr>
        <w:br w:type="column"/>
      </w:r>
      <w:r w:rsidR="00B51B77">
        <w:rPr>
          <w:b/>
          <w:sz w:val="20"/>
          <w:lang w:val="en-US"/>
        </w:rPr>
        <w:lastRenderedPageBreak/>
        <w:t>Resource Efficiency</w:t>
      </w:r>
    </w:p>
    <w:p w:rsidR="009602FE" w:rsidRDefault="009602FE">
      <w:pPr>
        <w:spacing w:line="300" w:lineRule="exact"/>
        <w:rPr>
          <w:rFonts w:cs="Lucida Sans Unicode"/>
          <w:b/>
          <w:sz w:val="20"/>
          <w:szCs w:val="20"/>
          <w:lang w:val="en-US"/>
        </w:rPr>
      </w:pPr>
    </w:p>
    <w:p w:rsidR="009602FE" w:rsidRDefault="00B51B77">
      <w:pPr>
        <w:spacing w:line="300" w:lineRule="exact"/>
        <w:rPr>
          <w:rFonts w:cs="Lucida Sans Unicode"/>
          <w:sz w:val="20"/>
          <w:szCs w:val="20"/>
          <w:lang w:val="en-US"/>
        </w:rPr>
      </w:pPr>
      <w:r>
        <w:rPr>
          <w:sz w:val="20"/>
          <w:lang w:val="en-US"/>
        </w:rPr>
        <w:t xml:space="preserve">The </w:t>
      </w:r>
      <w:r>
        <w:rPr>
          <w:b/>
          <w:sz w:val="20"/>
          <w:lang w:val="en-US"/>
        </w:rPr>
        <w:t>Resource Efficiency</w:t>
      </w:r>
      <w:r>
        <w:rPr>
          <w:sz w:val="20"/>
          <w:lang w:val="en-US"/>
        </w:rPr>
        <w:t xml:space="preserve"> segment provides environment-friendly and energy-efficient system solutions. It comprises the Inorganic Materials and Coatings &amp; Additives Business Units.</w:t>
      </w:r>
    </w:p>
    <w:p w:rsidR="009602FE" w:rsidRDefault="009602FE">
      <w:pPr>
        <w:spacing w:line="300" w:lineRule="exact"/>
        <w:rPr>
          <w:rFonts w:cs="Lucida Sans Unicode"/>
          <w:sz w:val="20"/>
          <w:szCs w:val="20"/>
          <w:lang w:val="en-US"/>
        </w:rPr>
      </w:pPr>
    </w:p>
    <w:p w:rsidR="009602FE" w:rsidRDefault="00B51B77">
      <w:pPr>
        <w:spacing w:line="300" w:lineRule="exact"/>
        <w:rPr>
          <w:rFonts w:cs="Lucida Sans Unicode"/>
          <w:sz w:val="20"/>
          <w:szCs w:val="20"/>
          <w:lang w:val="en-US"/>
        </w:rPr>
      </w:pPr>
      <w:r>
        <w:rPr>
          <w:b/>
          <w:sz w:val="20"/>
          <w:lang w:val="en-US"/>
        </w:rPr>
        <w:t>Sales</w:t>
      </w:r>
      <w:r>
        <w:rPr>
          <w:sz w:val="20"/>
          <w:lang w:val="en-US"/>
        </w:rPr>
        <w:t xml:space="preserve"> in the Resource Efficiency segment dropped by 23 percent to €3,131 million, principally as a result of the divestment of the non-core carbon black activities at the end of July 2011 and the colorants business at the end of April 2012. After adjustment for these factors and the positive currency effect, organic sales were only slightly lower than in the previous year. The drop in volumes was partly offset by slightly higher selling prices. The operating results declined, mainly because earnings from the carbon black busi</w:t>
      </w:r>
      <w:r>
        <w:rPr>
          <w:lang w:val="en-US"/>
        </w:rPr>
        <w:softHyphen/>
      </w:r>
      <w:r>
        <w:rPr>
          <w:sz w:val="20"/>
          <w:lang w:val="en-US"/>
        </w:rPr>
        <w:t xml:space="preserve">ness were included in the previous year's figures until July. Adjusted </w:t>
      </w:r>
      <w:r>
        <w:rPr>
          <w:b/>
          <w:sz w:val="20"/>
          <w:lang w:val="en-US"/>
        </w:rPr>
        <w:t>EBITDA</w:t>
      </w:r>
      <w:r>
        <w:rPr>
          <w:sz w:val="20"/>
          <w:lang w:val="en-US"/>
        </w:rPr>
        <w:t xml:space="preserve"> therefore decreased by 14 percent to €655 million, while adjust</w:t>
      </w:r>
      <w:r>
        <w:rPr>
          <w:lang w:val="en-US"/>
        </w:rPr>
        <w:softHyphen/>
      </w:r>
      <w:r>
        <w:rPr>
          <w:sz w:val="20"/>
          <w:lang w:val="en-US"/>
        </w:rPr>
        <w:t xml:space="preserve">ed </w:t>
      </w:r>
      <w:r>
        <w:rPr>
          <w:b/>
          <w:sz w:val="20"/>
          <w:lang w:val="en-US"/>
        </w:rPr>
        <w:t>EBIT</w:t>
      </w:r>
      <w:r>
        <w:rPr>
          <w:sz w:val="20"/>
          <w:lang w:val="en-US"/>
        </w:rPr>
        <w:t xml:space="preserve"> fell 15 percent to €517 million. The adjusted </w:t>
      </w:r>
      <w:r>
        <w:rPr>
          <w:b/>
          <w:sz w:val="20"/>
          <w:lang w:val="en-US"/>
        </w:rPr>
        <w:t>EBITDA margin</w:t>
      </w:r>
      <w:r>
        <w:rPr>
          <w:sz w:val="20"/>
          <w:lang w:val="en-US"/>
        </w:rPr>
        <w:t xml:space="preserve"> improved from 18.9 percent to 20.9 percent for operational reasons and as a result of the divestment of the non-core businesses.</w:t>
      </w:r>
    </w:p>
    <w:p w:rsidR="009602FE" w:rsidRDefault="009602FE">
      <w:pPr>
        <w:spacing w:line="300" w:lineRule="exact"/>
        <w:rPr>
          <w:rFonts w:cs="Lucida Sans Unicode"/>
          <w:sz w:val="20"/>
          <w:szCs w:val="20"/>
          <w:lang w:val="en-US"/>
        </w:rPr>
      </w:pPr>
    </w:p>
    <w:p w:rsidR="009602FE" w:rsidRDefault="00B51B77">
      <w:pPr>
        <w:spacing w:line="300" w:lineRule="exact"/>
        <w:rPr>
          <w:rFonts w:cs="Lucida Sans Unicode"/>
          <w:b/>
          <w:sz w:val="20"/>
          <w:szCs w:val="20"/>
          <w:lang w:val="en-US"/>
        </w:rPr>
      </w:pPr>
      <w:r>
        <w:rPr>
          <w:b/>
          <w:sz w:val="20"/>
          <w:lang w:val="en-US"/>
        </w:rPr>
        <w:t>Specialty Materials</w:t>
      </w:r>
    </w:p>
    <w:p w:rsidR="009602FE" w:rsidRDefault="009602FE">
      <w:pPr>
        <w:spacing w:line="300" w:lineRule="exact"/>
        <w:rPr>
          <w:rFonts w:cs="Lucida Sans Unicode"/>
          <w:b/>
          <w:sz w:val="20"/>
          <w:szCs w:val="20"/>
          <w:lang w:val="en-US"/>
        </w:rPr>
      </w:pPr>
    </w:p>
    <w:p w:rsidR="009602FE" w:rsidRDefault="00B51B77">
      <w:pPr>
        <w:spacing w:line="300" w:lineRule="exact"/>
        <w:rPr>
          <w:rFonts w:cs="Lucida Sans Unicode"/>
          <w:sz w:val="20"/>
          <w:szCs w:val="20"/>
          <w:lang w:val="en-US"/>
        </w:rPr>
      </w:pPr>
      <w:r>
        <w:rPr>
          <w:sz w:val="20"/>
          <w:lang w:val="en-US"/>
        </w:rPr>
        <w:t xml:space="preserve">The heart of the </w:t>
      </w:r>
      <w:r>
        <w:rPr>
          <w:b/>
          <w:sz w:val="20"/>
          <w:lang w:val="en-US"/>
        </w:rPr>
        <w:t>Specialty Materials</w:t>
      </w:r>
      <w:r>
        <w:rPr>
          <w:sz w:val="20"/>
          <w:lang w:val="en-US"/>
        </w:rPr>
        <w:t xml:space="preserve"> segment is the production of polymer materials and intermediates, mainly for the rubber and plastics industries. This segment comprises the Performance Polymers and Advanced Intermediates Business Units. </w:t>
      </w:r>
    </w:p>
    <w:p w:rsidR="009602FE" w:rsidRDefault="009602FE">
      <w:pPr>
        <w:spacing w:line="300" w:lineRule="exact"/>
        <w:rPr>
          <w:rFonts w:cs="Lucida Sans Unicode"/>
          <w:sz w:val="20"/>
          <w:szCs w:val="20"/>
          <w:lang w:val="en-US"/>
        </w:rPr>
      </w:pPr>
    </w:p>
    <w:p w:rsidR="009602FE" w:rsidRDefault="00B51B77">
      <w:pPr>
        <w:spacing w:line="300" w:lineRule="exact"/>
        <w:rPr>
          <w:rFonts w:cs="Lucida Sans Unicode"/>
          <w:sz w:val="20"/>
          <w:szCs w:val="20"/>
          <w:lang w:val="en-US"/>
        </w:rPr>
      </w:pPr>
      <w:r>
        <w:rPr>
          <w:sz w:val="20"/>
          <w:lang w:val="en-US"/>
        </w:rPr>
        <w:t xml:space="preserve">This segment's </w:t>
      </w:r>
      <w:r>
        <w:rPr>
          <w:b/>
          <w:sz w:val="20"/>
          <w:lang w:val="en-US"/>
        </w:rPr>
        <w:t>sales</w:t>
      </w:r>
      <w:r>
        <w:rPr>
          <w:sz w:val="20"/>
          <w:lang w:val="en-US"/>
        </w:rPr>
        <w:t xml:space="preserve"> dropped 1 percent to €4,843 million. Positive currency effects essentially offset the organic sales decline. The production stoppage resulting from the fire at the CDT plant and lower demand, especially for </w:t>
      </w:r>
      <w:proofErr w:type="spellStart"/>
      <w:r>
        <w:rPr>
          <w:sz w:val="20"/>
          <w:lang w:val="en-US"/>
        </w:rPr>
        <w:t>methacrylates</w:t>
      </w:r>
      <w:proofErr w:type="spellEnd"/>
      <w:r>
        <w:rPr>
          <w:sz w:val="20"/>
          <w:lang w:val="en-US"/>
        </w:rPr>
        <w:t xml:space="preserve">, resulted in lower volumes. Selling prices increased slightly as some of the raw material cost increases were passed on to customers. The operating results were below the very good level achieved in the previous year, mainly due to the demand-induced drop in volumes, the rise in raw materials costs and, in some cases, lower margins. Adjusted </w:t>
      </w:r>
      <w:r>
        <w:rPr>
          <w:b/>
          <w:sz w:val="20"/>
          <w:lang w:val="en-US"/>
        </w:rPr>
        <w:t>EBITDA</w:t>
      </w:r>
      <w:r>
        <w:rPr>
          <w:sz w:val="20"/>
          <w:lang w:val="en-US"/>
        </w:rPr>
        <w:t xml:space="preserve"> decreased by 7 percent to €843 million, while adjusted </w:t>
      </w:r>
      <w:r>
        <w:rPr>
          <w:b/>
          <w:sz w:val="20"/>
          <w:lang w:val="en-US"/>
        </w:rPr>
        <w:t>EBIT</w:t>
      </w:r>
      <w:r>
        <w:rPr>
          <w:sz w:val="20"/>
          <w:lang w:val="en-US"/>
        </w:rPr>
        <w:t xml:space="preserve"> fell 8 percent to €691 million. The earnings reduction caused by the production shortfall at the CDT plant has been offset to a large extent by insurance. The adjusted </w:t>
      </w:r>
      <w:r>
        <w:rPr>
          <w:b/>
          <w:sz w:val="20"/>
          <w:lang w:val="en-US"/>
        </w:rPr>
        <w:t>EBITDA margin</w:t>
      </w:r>
      <w:r>
        <w:rPr>
          <w:sz w:val="20"/>
          <w:lang w:val="en-US"/>
        </w:rPr>
        <w:t xml:space="preserve"> dropped from 18.6 percent in 2011 to 17.4 percent in 2012. </w:t>
      </w:r>
    </w:p>
    <w:p w:rsidR="009602FE" w:rsidRDefault="007B2E75">
      <w:pPr>
        <w:spacing w:line="300" w:lineRule="exact"/>
        <w:rPr>
          <w:rFonts w:cs="Lucida Sans Unicode"/>
          <w:b/>
          <w:sz w:val="20"/>
          <w:szCs w:val="20"/>
          <w:lang w:val="en-US"/>
        </w:rPr>
      </w:pPr>
      <w:r>
        <w:rPr>
          <w:b/>
          <w:sz w:val="20"/>
          <w:lang w:val="en-US"/>
        </w:rPr>
        <w:br w:type="column"/>
      </w:r>
      <w:r w:rsidR="00B51B77">
        <w:rPr>
          <w:b/>
          <w:sz w:val="20"/>
          <w:lang w:val="en-US"/>
        </w:rPr>
        <w:lastRenderedPageBreak/>
        <w:t>Services</w:t>
      </w:r>
    </w:p>
    <w:p w:rsidR="009602FE" w:rsidRDefault="009602FE">
      <w:pPr>
        <w:spacing w:line="300" w:lineRule="exact"/>
        <w:rPr>
          <w:sz w:val="20"/>
          <w:lang w:val="en-US"/>
        </w:rPr>
      </w:pPr>
    </w:p>
    <w:p w:rsidR="009602FE" w:rsidRDefault="00B51B77">
      <w:pPr>
        <w:spacing w:line="300" w:lineRule="exact"/>
        <w:rPr>
          <w:sz w:val="20"/>
          <w:lang w:val="en-US"/>
        </w:rPr>
      </w:pPr>
      <w:r>
        <w:rPr>
          <w:sz w:val="20"/>
          <w:lang w:val="en-US"/>
        </w:rPr>
        <w:t xml:space="preserve">The </w:t>
      </w:r>
      <w:r>
        <w:rPr>
          <w:b/>
          <w:sz w:val="20"/>
          <w:lang w:val="en-US"/>
        </w:rPr>
        <w:t>Services</w:t>
      </w:r>
      <w:r>
        <w:rPr>
          <w:sz w:val="20"/>
          <w:lang w:val="en-US"/>
        </w:rPr>
        <w:t xml:space="preserve"> segment mainly provides services for the chemicals segments and the Corporate Center, but also serves third parties.</w:t>
      </w:r>
    </w:p>
    <w:p w:rsidR="009602FE" w:rsidRDefault="009602FE">
      <w:pPr>
        <w:spacing w:line="300" w:lineRule="exact"/>
        <w:rPr>
          <w:rFonts w:cs="Lucida Sans Unicode"/>
          <w:sz w:val="20"/>
          <w:szCs w:val="20"/>
          <w:lang w:val="en-US"/>
        </w:rPr>
      </w:pPr>
    </w:p>
    <w:p w:rsidR="009602FE" w:rsidRDefault="00B51B77">
      <w:pPr>
        <w:spacing w:line="300" w:lineRule="exact"/>
        <w:rPr>
          <w:rFonts w:cs="Lucida Sans Unicode"/>
          <w:sz w:val="20"/>
          <w:szCs w:val="20"/>
          <w:lang w:val="en-US"/>
        </w:rPr>
      </w:pPr>
      <w:r>
        <w:rPr>
          <w:sz w:val="20"/>
          <w:lang w:val="en-US"/>
        </w:rPr>
        <w:t xml:space="preserve">The Services segment's </w:t>
      </w:r>
      <w:r>
        <w:rPr>
          <w:b/>
          <w:sz w:val="20"/>
          <w:lang w:val="en-US"/>
        </w:rPr>
        <w:t xml:space="preserve">sales </w:t>
      </w:r>
      <w:r>
        <w:rPr>
          <w:sz w:val="20"/>
          <w:lang w:val="en-US"/>
        </w:rPr>
        <w:t>totaled €2,715 million in 2012. Internal sales ac</w:t>
      </w:r>
      <w:r>
        <w:rPr>
          <w:lang w:val="en-US"/>
        </w:rPr>
        <w:softHyphen/>
      </w:r>
      <w:r>
        <w:rPr>
          <w:sz w:val="20"/>
          <w:lang w:val="en-US"/>
        </w:rPr>
        <w:t>counted for €1,716 million of the total. External sales grew 5 percent to €999 million, mainly because of higher demand for ser</w:t>
      </w:r>
      <w:r>
        <w:rPr>
          <w:lang w:val="en-US"/>
        </w:rPr>
        <w:softHyphen/>
      </w:r>
      <w:r>
        <w:rPr>
          <w:sz w:val="20"/>
          <w:lang w:val="en-US"/>
        </w:rPr>
        <w:t xml:space="preserve">vices. Adjusted </w:t>
      </w:r>
      <w:r>
        <w:rPr>
          <w:b/>
          <w:sz w:val="20"/>
          <w:lang w:val="en-US"/>
        </w:rPr>
        <w:t>EBITDA</w:t>
      </w:r>
      <w:r>
        <w:rPr>
          <w:sz w:val="20"/>
          <w:lang w:val="en-US"/>
        </w:rPr>
        <w:t xml:space="preserve"> increased 17 percent to €163 million, while adjusted </w:t>
      </w:r>
      <w:r>
        <w:rPr>
          <w:b/>
          <w:sz w:val="20"/>
          <w:lang w:val="en-US"/>
        </w:rPr>
        <w:t>EBIT</w:t>
      </w:r>
      <w:r>
        <w:rPr>
          <w:sz w:val="20"/>
          <w:lang w:val="en-US"/>
        </w:rPr>
        <w:t xml:space="preserve"> rose 21 percent to €68 million. </w:t>
      </w:r>
    </w:p>
    <w:p w:rsidR="009602FE" w:rsidRDefault="009602FE">
      <w:pPr>
        <w:spacing w:line="300" w:lineRule="exact"/>
        <w:rPr>
          <w:rFonts w:cs="Lucida Sans Unicode"/>
          <w:sz w:val="20"/>
          <w:szCs w:val="20"/>
          <w:lang w:val="en-US"/>
        </w:rPr>
      </w:pPr>
    </w:p>
    <w:p w:rsidR="009602FE" w:rsidRDefault="00B51B77">
      <w:pPr>
        <w:spacing w:line="300" w:lineRule="exact"/>
        <w:rPr>
          <w:rFonts w:cs="Lucida Sans Unicode"/>
          <w:b/>
          <w:sz w:val="20"/>
          <w:szCs w:val="20"/>
          <w:lang w:val="en-US"/>
        </w:rPr>
      </w:pPr>
      <w:r>
        <w:rPr>
          <w:b/>
          <w:sz w:val="20"/>
          <w:lang w:val="en-US"/>
        </w:rPr>
        <w:t>Real Estate</w:t>
      </w:r>
    </w:p>
    <w:p w:rsidR="009602FE" w:rsidRDefault="009602FE">
      <w:pPr>
        <w:spacing w:line="300" w:lineRule="exact"/>
        <w:rPr>
          <w:sz w:val="20"/>
          <w:lang w:val="en-US"/>
        </w:rPr>
      </w:pPr>
    </w:p>
    <w:p w:rsidR="009602FE" w:rsidRDefault="00B51B77">
      <w:pPr>
        <w:spacing w:line="300" w:lineRule="exact"/>
        <w:rPr>
          <w:rFonts w:cs="Lucida Sans Unicode"/>
          <w:sz w:val="20"/>
          <w:szCs w:val="20"/>
          <w:lang w:val="en-US"/>
        </w:rPr>
      </w:pPr>
      <w:r>
        <w:rPr>
          <w:sz w:val="20"/>
          <w:lang w:val="en-US"/>
        </w:rPr>
        <w:t xml:space="preserve">The </w:t>
      </w:r>
      <w:r>
        <w:rPr>
          <w:b/>
          <w:sz w:val="20"/>
          <w:lang w:val="en-US"/>
        </w:rPr>
        <w:t>Real Estate</w:t>
      </w:r>
      <w:r>
        <w:rPr>
          <w:sz w:val="20"/>
          <w:lang w:val="en-US"/>
        </w:rPr>
        <w:t xml:space="preserve"> segment, which </w:t>
      </w:r>
      <w:proofErr w:type="spellStart"/>
      <w:r>
        <w:rPr>
          <w:sz w:val="20"/>
          <w:lang w:val="en-US"/>
        </w:rPr>
        <w:t>Evonik</w:t>
      </w:r>
      <w:proofErr w:type="spellEnd"/>
      <w:r>
        <w:rPr>
          <w:sz w:val="20"/>
          <w:lang w:val="en-US"/>
        </w:rPr>
        <w:t xml:space="preserve"> plans to exit entirely in the medium term, focuses on letting homes to private households in the German federal state of North Rhine-Westphalia. </w:t>
      </w:r>
    </w:p>
    <w:p w:rsidR="009602FE" w:rsidRDefault="009602FE">
      <w:pPr>
        <w:spacing w:line="300" w:lineRule="exact"/>
        <w:rPr>
          <w:rFonts w:cs="Lucida Sans Unicode"/>
          <w:sz w:val="20"/>
          <w:szCs w:val="20"/>
          <w:lang w:val="en-US"/>
        </w:rPr>
      </w:pPr>
    </w:p>
    <w:p w:rsidR="009602FE" w:rsidRDefault="00B51B77">
      <w:pPr>
        <w:spacing w:line="300" w:lineRule="exact"/>
        <w:rPr>
          <w:rFonts w:cs="Lucida Sans Unicode"/>
          <w:sz w:val="20"/>
          <w:szCs w:val="20"/>
          <w:lang w:val="en-US"/>
        </w:rPr>
      </w:pPr>
      <w:r>
        <w:rPr>
          <w:sz w:val="20"/>
          <w:lang w:val="en-US"/>
        </w:rPr>
        <w:t xml:space="preserve">Since January 1, 2012, the operational management of the </w:t>
      </w:r>
      <w:r>
        <w:rPr>
          <w:b/>
          <w:sz w:val="20"/>
          <w:lang w:val="en-US"/>
        </w:rPr>
        <w:t>Real Estate</w:t>
      </w:r>
      <w:r>
        <w:rPr>
          <w:sz w:val="20"/>
          <w:lang w:val="en-US"/>
        </w:rPr>
        <w:t xml:space="preserve"> segment's property holdings has been assigned to </w:t>
      </w:r>
      <w:proofErr w:type="spellStart"/>
      <w:r>
        <w:rPr>
          <w:sz w:val="20"/>
          <w:lang w:val="en-US"/>
        </w:rPr>
        <w:t>Vivawest</w:t>
      </w:r>
      <w:proofErr w:type="spellEnd"/>
      <w:r>
        <w:rPr>
          <w:sz w:val="20"/>
          <w:lang w:val="en-US"/>
        </w:rPr>
        <w:t xml:space="preserve"> </w:t>
      </w:r>
      <w:proofErr w:type="spellStart"/>
      <w:r>
        <w:rPr>
          <w:sz w:val="20"/>
          <w:lang w:val="en-US"/>
        </w:rPr>
        <w:t>Wohnen</w:t>
      </w:r>
      <w:proofErr w:type="spellEnd"/>
      <w:r>
        <w:rPr>
          <w:sz w:val="20"/>
          <w:lang w:val="en-US"/>
        </w:rPr>
        <w:t xml:space="preserve"> GmbH, a joint venture of </w:t>
      </w:r>
      <w:proofErr w:type="spellStart"/>
      <w:r>
        <w:rPr>
          <w:sz w:val="20"/>
          <w:lang w:val="en-US"/>
        </w:rPr>
        <w:t>Evonik</w:t>
      </w:r>
      <w:proofErr w:type="spellEnd"/>
      <w:r>
        <w:rPr>
          <w:sz w:val="20"/>
          <w:lang w:val="en-US"/>
        </w:rPr>
        <w:t xml:space="preserve"> and THS that is recognized at equity. As a result of this accounting change, some of the sales previously reported by this segment are no longer included. This did not have a significant effect on the operating results. </w:t>
      </w:r>
    </w:p>
    <w:p w:rsidR="009602FE" w:rsidRDefault="009602FE">
      <w:pPr>
        <w:spacing w:line="300" w:lineRule="exact"/>
        <w:rPr>
          <w:rFonts w:cs="Lucida Sans Unicode"/>
          <w:sz w:val="20"/>
          <w:szCs w:val="20"/>
          <w:lang w:val="en-US"/>
        </w:rPr>
      </w:pPr>
    </w:p>
    <w:p w:rsidR="009602FE" w:rsidRDefault="00B51B77">
      <w:pPr>
        <w:spacing w:line="300" w:lineRule="exact"/>
        <w:rPr>
          <w:sz w:val="20"/>
          <w:szCs w:val="20"/>
          <w:lang w:val="en-US"/>
        </w:rPr>
      </w:pPr>
      <w:r>
        <w:rPr>
          <w:sz w:val="20"/>
          <w:lang w:val="en-US"/>
        </w:rPr>
        <w:t xml:space="preserve">Owing to this change, this segment’s </w:t>
      </w:r>
      <w:r>
        <w:rPr>
          <w:b/>
          <w:sz w:val="20"/>
          <w:lang w:val="en-US"/>
        </w:rPr>
        <w:t>sales</w:t>
      </w:r>
      <w:r>
        <w:rPr>
          <w:sz w:val="20"/>
          <w:lang w:val="en-US"/>
        </w:rPr>
        <w:t xml:space="preserve"> declined 42 percent to €239 million. The operating results, which comprise the at-equity earnings of </w:t>
      </w:r>
      <w:proofErr w:type="spellStart"/>
      <w:r>
        <w:rPr>
          <w:sz w:val="20"/>
          <w:lang w:val="en-US"/>
        </w:rPr>
        <w:t>Vivawest</w:t>
      </w:r>
      <w:proofErr w:type="spellEnd"/>
      <w:r>
        <w:rPr>
          <w:sz w:val="20"/>
          <w:lang w:val="en-US"/>
        </w:rPr>
        <w:t xml:space="preserve"> </w:t>
      </w:r>
      <w:proofErr w:type="spellStart"/>
      <w:r>
        <w:rPr>
          <w:sz w:val="20"/>
          <w:lang w:val="en-US"/>
        </w:rPr>
        <w:t>Wohnen</w:t>
      </w:r>
      <w:proofErr w:type="spellEnd"/>
      <w:r>
        <w:rPr>
          <w:sz w:val="20"/>
          <w:lang w:val="en-US"/>
        </w:rPr>
        <w:t xml:space="preserve"> and THS, were lower than in the previous year. In this context, it should be noted that earnings included special effects from the revaluation of deferred tax assets at THS (2012: €6 million, 2011: €20 million). Overall, adjusted </w:t>
      </w:r>
      <w:r>
        <w:rPr>
          <w:b/>
          <w:sz w:val="20"/>
          <w:lang w:val="en-US"/>
        </w:rPr>
        <w:t>EBITDA</w:t>
      </w:r>
      <w:r>
        <w:rPr>
          <w:sz w:val="20"/>
          <w:lang w:val="en-US"/>
        </w:rPr>
        <w:t xml:space="preserve"> declined by 9 percent to €199 million, while adjusted </w:t>
      </w:r>
      <w:r>
        <w:rPr>
          <w:b/>
          <w:sz w:val="20"/>
          <w:lang w:val="en-US"/>
        </w:rPr>
        <w:t>EBIT</w:t>
      </w:r>
      <w:r>
        <w:rPr>
          <w:sz w:val="20"/>
          <w:lang w:val="en-US"/>
        </w:rPr>
        <w:t xml:space="preserve"> slipped 10 percent to €154 million. </w:t>
      </w:r>
    </w:p>
    <w:p w:rsidR="009602FE" w:rsidRDefault="009602FE">
      <w:pPr>
        <w:spacing w:line="300" w:lineRule="exact"/>
        <w:rPr>
          <w:rFonts w:ascii="Times New Roman" w:hAnsi="Times New Roman"/>
          <w:b/>
          <w:color w:val="000000"/>
          <w:sz w:val="24"/>
          <w:lang w:val="en-US"/>
        </w:rPr>
      </w:pPr>
    </w:p>
    <w:p w:rsidR="009602FE" w:rsidRDefault="00B51B77">
      <w:pPr>
        <w:spacing w:line="300" w:lineRule="exact"/>
        <w:rPr>
          <w:rFonts w:cs="Lucida Sans Unicode"/>
          <w:b/>
          <w:color w:val="000000"/>
          <w:sz w:val="20"/>
          <w:szCs w:val="20"/>
          <w:lang w:val="en-US"/>
        </w:rPr>
      </w:pPr>
      <w:proofErr w:type="spellStart"/>
      <w:r>
        <w:rPr>
          <w:b/>
          <w:color w:val="000000"/>
          <w:sz w:val="20"/>
          <w:lang w:val="en-US"/>
        </w:rPr>
        <w:t>Evonik</w:t>
      </w:r>
      <w:proofErr w:type="spellEnd"/>
      <w:r>
        <w:rPr>
          <w:b/>
          <w:color w:val="000000"/>
          <w:sz w:val="20"/>
          <w:lang w:val="en-US"/>
        </w:rPr>
        <w:t xml:space="preserve"> Group: Fourth quarter marked by deterioration in the economy </w:t>
      </w:r>
    </w:p>
    <w:p w:rsidR="009602FE" w:rsidRDefault="009602FE">
      <w:pPr>
        <w:spacing w:line="300" w:lineRule="exact"/>
        <w:rPr>
          <w:rFonts w:cs="Lucida Sans Unicode"/>
          <w:b/>
          <w:color w:val="000000"/>
          <w:sz w:val="20"/>
          <w:szCs w:val="20"/>
          <w:lang w:val="en-US"/>
        </w:rPr>
      </w:pPr>
    </w:p>
    <w:p w:rsidR="009602FE" w:rsidRDefault="00B51B77">
      <w:pPr>
        <w:spacing w:line="300" w:lineRule="exact"/>
        <w:rPr>
          <w:sz w:val="20"/>
          <w:lang w:val="en-US"/>
        </w:rPr>
      </w:pPr>
      <w:r>
        <w:rPr>
          <w:sz w:val="20"/>
          <w:lang w:val="en-US"/>
        </w:rPr>
        <w:t xml:space="preserve">The economic slowdown in the fourth quarter of 2012 and destocking by customers impacted </w:t>
      </w:r>
      <w:proofErr w:type="spellStart"/>
      <w:r>
        <w:rPr>
          <w:sz w:val="20"/>
          <w:lang w:val="en-US"/>
        </w:rPr>
        <w:t>Evonik's</w:t>
      </w:r>
      <w:proofErr w:type="spellEnd"/>
      <w:r>
        <w:rPr>
          <w:sz w:val="20"/>
          <w:lang w:val="en-US"/>
        </w:rPr>
        <w:t xml:space="preserve"> business performance.</w:t>
      </w:r>
      <w:r>
        <w:rPr>
          <w:color w:val="000000"/>
          <w:sz w:val="20"/>
          <w:lang w:val="en-US"/>
        </w:rPr>
        <w:t xml:space="preserve"> Group </w:t>
      </w:r>
      <w:r>
        <w:rPr>
          <w:b/>
          <w:color w:val="000000"/>
          <w:sz w:val="20"/>
          <w:lang w:val="en-US"/>
        </w:rPr>
        <w:t>sales</w:t>
      </w:r>
      <w:r>
        <w:rPr>
          <w:color w:val="000000"/>
          <w:sz w:val="20"/>
          <w:lang w:val="en-US"/>
        </w:rPr>
        <w:t xml:space="preserve"> declined 2 percent year-on-year to €3,273 million in the wake of a drop in selling prices but slightly higher volumes. Adjusted </w:t>
      </w:r>
      <w:r>
        <w:rPr>
          <w:b/>
          <w:color w:val="000000"/>
          <w:sz w:val="20"/>
          <w:lang w:val="en-US"/>
        </w:rPr>
        <w:t>EBITDA</w:t>
      </w:r>
      <w:r>
        <w:rPr>
          <w:color w:val="000000"/>
          <w:sz w:val="20"/>
          <w:lang w:val="en-US"/>
        </w:rPr>
        <w:t xml:space="preserve"> fell 6 percent to €492 million, while adjusted </w:t>
      </w:r>
      <w:r>
        <w:rPr>
          <w:b/>
          <w:color w:val="000000"/>
          <w:sz w:val="20"/>
          <w:lang w:val="en-US"/>
        </w:rPr>
        <w:t>EBIT</w:t>
      </w:r>
      <w:r>
        <w:rPr>
          <w:color w:val="000000"/>
          <w:sz w:val="20"/>
          <w:lang w:val="en-US"/>
        </w:rPr>
        <w:t xml:space="preserve"> dropped 3 percent to €336 million. The adjusted </w:t>
      </w:r>
      <w:r>
        <w:rPr>
          <w:b/>
          <w:color w:val="000000"/>
          <w:sz w:val="20"/>
          <w:lang w:val="en-US"/>
        </w:rPr>
        <w:t>EBITDA margin</w:t>
      </w:r>
      <w:r>
        <w:rPr>
          <w:color w:val="000000"/>
          <w:sz w:val="20"/>
          <w:lang w:val="en-US"/>
        </w:rPr>
        <w:t xml:space="preserve"> was 15.0 percent, slightly </w:t>
      </w:r>
      <w:r>
        <w:rPr>
          <w:color w:val="000000"/>
          <w:sz w:val="20"/>
          <w:lang w:val="en-US"/>
        </w:rPr>
        <w:lastRenderedPageBreak/>
        <w:t xml:space="preserve">below the level reported for the fourth quarter of 2011 (15.7 percent). </w:t>
      </w:r>
      <w:r>
        <w:rPr>
          <w:sz w:val="20"/>
          <w:lang w:val="en-US"/>
        </w:rPr>
        <w:t>Due to tax effects, net income was €128 million higher than in the fourth quarter of 2011 at €276 million.</w:t>
      </w:r>
    </w:p>
    <w:p w:rsidR="009602FE" w:rsidRDefault="009602FE">
      <w:pPr>
        <w:spacing w:line="300" w:lineRule="exact"/>
        <w:rPr>
          <w:sz w:val="20"/>
          <w:lang w:val="en-US"/>
        </w:rPr>
      </w:pPr>
    </w:p>
    <w:p w:rsidR="009602FE" w:rsidRDefault="009602FE">
      <w:pPr>
        <w:spacing w:line="300" w:lineRule="exact"/>
        <w:rPr>
          <w:sz w:val="20"/>
          <w:lang w:val="en-US"/>
        </w:rPr>
      </w:pPr>
    </w:p>
    <w:p w:rsidR="009602FE" w:rsidRDefault="00B51B77">
      <w:pPr>
        <w:spacing w:line="300" w:lineRule="exact"/>
        <w:rPr>
          <w:b/>
          <w:sz w:val="20"/>
          <w:szCs w:val="20"/>
          <w:lang w:val="en-US"/>
        </w:rPr>
      </w:pPr>
      <w:r>
        <w:rPr>
          <w:b/>
          <w:sz w:val="20"/>
          <w:lang w:val="en-US"/>
        </w:rPr>
        <w:t>Outlook</w:t>
      </w:r>
    </w:p>
    <w:p w:rsidR="009602FE" w:rsidRDefault="009602FE">
      <w:pPr>
        <w:spacing w:line="300" w:lineRule="exact"/>
        <w:rPr>
          <w:b/>
          <w:sz w:val="20"/>
          <w:szCs w:val="20"/>
          <w:lang w:val="en-US"/>
        </w:rPr>
      </w:pPr>
    </w:p>
    <w:p w:rsidR="009602FE" w:rsidRDefault="00B51B77">
      <w:pPr>
        <w:spacing w:line="300" w:lineRule="exact"/>
        <w:rPr>
          <w:b/>
          <w:sz w:val="20"/>
          <w:szCs w:val="20"/>
          <w:lang w:val="en-US"/>
        </w:rPr>
      </w:pPr>
      <w:r>
        <w:rPr>
          <w:b/>
          <w:sz w:val="20"/>
          <w:lang w:val="en-US"/>
        </w:rPr>
        <w:t>2013: Another successful year anticipated although the business situation remains challenging</w:t>
      </w:r>
    </w:p>
    <w:p w:rsidR="009602FE" w:rsidRDefault="009602FE">
      <w:pPr>
        <w:spacing w:line="300" w:lineRule="exact"/>
        <w:rPr>
          <w:sz w:val="20"/>
          <w:szCs w:val="20"/>
          <w:lang w:val="en-US"/>
        </w:rPr>
      </w:pPr>
    </w:p>
    <w:p w:rsidR="009602FE" w:rsidRDefault="00B51B77">
      <w:pPr>
        <w:spacing w:line="300" w:lineRule="exact"/>
        <w:rPr>
          <w:sz w:val="20"/>
          <w:szCs w:val="20"/>
          <w:lang w:val="en-US"/>
        </w:rPr>
      </w:pPr>
      <w:r>
        <w:rPr>
          <w:sz w:val="20"/>
          <w:lang w:val="en-US"/>
        </w:rPr>
        <w:t xml:space="preserve">The global economic situation remains challenging. At present, a rapid recovery of the global economy does not seem very likely. Moreover, the smoldering sovereign debt crisis in Europe is still causing considerable uncertainty that could hold back economic development. </w:t>
      </w:r>
    </w:p>
    <w:p w:rsidR="009602FE" w:rsidRDefault="009602FE">
      <w:pPr>
        <w:spacing w:line="300" w:lineRule="exact"/>
        <w:rPr>
          <w:sz w:val="20"/>
          <w:szCs w:val="20"/>
          <w:lang w:val="en-US"/>
        </w:rPr>
      </w:pPr>
    </w:p>
    <w:p w:rsidR="009602FE" w:rsidRDefault="00B51B77">
      <w:pPr>
        <w:spacing w:line="300" w:lineRule="exact"/>
        <w:rPr>
          <w:sz w:val="20"/>
          <w:szCs w:val="20"/>
          <w:lang w:val="en-US"/>
        </w:rPr>
      </w:pPr>
      <w:r>
        <w:rPr>
          <w:sz w:val="20"/>
          <w:lang w:val="en-US"/>
        </w:rPr>
        <w:t xml:space="preserve">Nevertheless, </w:t>
      </w:r>
      <w:proofErr w:type="spellStart"/>
      <w:r>
        <w:rPr>
          <w:sz w:val="20"/>
          <w:lang w:val="en-US"/>
        </w:rPr>
        <w:t>Evonik</w:t>
      </w:r>
      <w:proofErr w:type="spellEnd"/>
      <w:r>
        <w:rPr>
          <w:sz w:val="20"/>
          <w:lang w:val="en-US"/>
        </w:rPr>
        <w:t xml:space="preserve"> expects to report another successful business performance in 2013. While the economic situation will remain challenging, from the present vantage point, implementation of our first growth investments will make a positive contribution. Thanks to these new production capacities and rising demand, the Group expects sales to be higher in 2013, while the operating results should be in line with the very good level reported for 2012. </w:t>
      </w:r>
    </w:p>
    <w:p w:rsidR="009602FE" w:rsidRDefault="009602FE">
      <w:pPr>
        <w:spacing w:line="300" w:lineRule="exact"/>
        <w:rPr>
          <w:sz w:val="20"/>
          <w:szCs w:val="20"/>
          <w:lang w:val="en-US"/>
        </w:rPr>
      </w:pPr>
    </w:p>
    <w:p w:rsidR="009602FE" w:rsidRDefault="00B51B77">
      <w:pPr>
        <w:spacing w:line="300" w:lineRule="exact"/>
        <w:rPr>
          <w:b/>
          <w:sz w:val="20"/>
          <w:szCs w:val="20"/>
          <w:lang w:val="en-US"/>
        </w:rPr>
      </w:pPr>
      <w:r>
        <w:rPr>
          <w:b/>
          <w:sz w:val="20"/>
          <w:lang w:val="en-US"/>
        </w:rPr>
        <w:t>2014: Sales and operating results expected to rise</w:t>
      </w:r>
    </w:p>
    <w:p w:rsidR="009602FE" w:rsidRDefault="009602FE">
      <w:pPr>
        <w:spacing w:line="300" w:lineRule="exact"/>
        <w:rPr>
          <w:sz w:val="20"/>
          <w:szCs w:val="20"/>
          <w:lang w:val="en-US"/>
        </w:rPr>
      </w:pPr>
    </w:p>
    <w:p w:rsidR="009602FE" w:rsidRDefault="00B51B77">
      <w:pPr>
        <w:spacing w:line="300" w:lineRule="exact"/>
        <w:rPr>
          <w:sz w:val="20"/>
          <w:szCs w:val="20"/>
          <w:lang w:val="en-US"/>
        </w:rPr>
      </w:pPr>
      <w:proofErr w:type="spellStart"/>
      <w:r>
        <w:rPr>
          <w:sz w:val="20"/>
          <w:lang w:val="en-US"/>
        </w:rPr>
        <w:t>Evonik</w:t>
      </w:r>
      <w:proofErr w:type="spellEnd"/>
      <w:r>
        <w:rPr>
          <w:sz w:val="20"/>
          <w:lang w:val="en-US"/>
        </w:rPr>
        <w:t xml:space="preserve"> expects that, driven by higher demand, in 2014 sales and the operating results will be considerably higher than in 2012 and 2013. Based on the present assessment of the situation, this should be driven partly by higher production capacity, which </w:t>
      </w:r>
      <w:proofErr w:type="spellStart"/>
      <w:r>
        <w:rPr>
          <w:sz w:val="20"/>
          <w:lang w:val="en-US"/>
        </w:rPr>
        <w:t>Evonik</w:t>
      </w:r>
      <w:proofErr w:type="spellEnd"/>
      <w:r>
        <w:rPr>
          <w:sz w:val="20"/>
          <w:lang w:val="en-US"/>
        </w:rPr>
        <w:t xml:space="preserve"> anticipates will enable it to derive above-average benefit from the expected market growth.</w:t>
      </w:r>
    </w:p>
    <w:p w:rsidR="009602FE" w:rsidRDefault="009602FE">
      <w:pPr>
        <w:ind w:right="79"/>
        <w:rPr>
          <w:sz w:val="20"/>
          <w:szCs w:val="20"/>
          <w:lang w:val="en-US"/>
        </w:rPr>
      </w:pPr>
    </w:p>
    <w:p w:rsidR="009602FE" w:rsidRDefault="009602FE">
      <w:pPr>
        <w:ind w:right="79"/>
        <w:rPr>
          <w:sz w:val="20"/>
          <w:szCs w:val="20"/>
          <w:lang w:val="en-US"/>
        </w:rPr>
      </w:pPr>
    </w:p>
    <w:p w:rsidR="009602FE" w:rsidRDefault="009602FE">
      <w:pPr>
        <w:ind w:right="79"/>
        <w:rPr>
          <w:sz w:val="20"/>
          <w:szCs w:val="20"/>
          <w:lang w:val="en-US"/>
        </w:rPr>
      </w:pPr>
    </w:p>
    <w:p w:rsidR="009602FE" w:rsidRDefault="00B51B77">
      <w:pPr>
        <w:spacing w:line="160" w:lineRule="exact"/>
        <w:rPr>
          <w:rFonts w:cs="Lucida Sans Unicode"/>
          <w:b/>
          <w:bCs/>
          <w:sz w:val="20"/>
          <w:szCs w:val="20"/>
          <w:lang w:val="en-US"/>
        </w:rPr>
      </w:pPr>
      <w:r>
        <w:rPr>
          <w:lang w:val="en-US"/>
        </w:rPr>
        <w:br w:type="page"/>
      </w:r>
      <w:r>
        <w:rPr>
          <w:b/>
          <w:sz w:val="20"/>
          <w:lang w:val="en-US"/>
        </w:rPr>
        <w:lastRenderedPageBreak/>
        <w:t xml:space="preserve"> </w:t>
      </w:r>
    </w:p>
    <w:p w:rsidR="009602FE" w:rsidRDefault="009602FE">
      <w:pPr>
        <w:spacing w:line="160" w:lineRule="exact"/>
        <w:rPr>
          <w:sz w:val="20"/>
          <w:szCs w:val="20"/>
          <w:lang w:val="en-US"/>
        </w:rPr>
      </w:pPr>
    </w:p>
    <w:p w:rsidR="009602FE" w:rsidRDefault="00B51B77">
      <w:pPr>
        <w:spacing w:line="160" w:lineRule="exact"/>
        <w:rPr>
          <w:rFonts w:cs="Lucida Sans Unicode"/>
          <w:bCs/>
          <w:sz w:val="16"/>
          <w:szCs w:val="16"/>
          <w:lang w:val="en-US"/>
        </w:rPr>
      </w:pPr>
      <w:proofErr w:type="spellStart"/>
      <w:r>
        <w:rPr>
          <w:b/>
          <w:sz w:val="20"/>
          <w:lang w:val="en-US"/>
        </w:rPr>
        <w:t>Evonik</w:t>
      </w:r>
      <w:proofErr w:type="spellEnd"/>
      <w:r>
        <w:rPr>
          <w:b/>
          <w:sz w:val="20"/>
          <w:lang w:val="en-US"/>
        </w:rPr>
        <w:t xml:space="preserve"> Group: Excerpt from the income statement</w:t>
      </w:r>
      <w:r>
        <w:rPr>
          <w:rFonts w:cs="Lucida Sans Unicode"/>
          <w:b/>
          <w:sz w:val="20"/>
          <w:szCs w:val="20"/>
          <w:lang w:val="en-US"/>
        </w:rPr>
        <w:br/>
      </w:r>
    </w:p>
    <w:tbl>
      <w:tblPr>
        <w:tblW w:w="1006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43"/>
        <w:gridCol w:w="1037"/>
        <w:gridCol w:w="1037"/>
        <w:gridCol w:w="1037"/>
        <w:gridCol w:w="1038"/>
        <w:gridCol w:w="1037"/>
        <w:gridCol w:w="1037"/>
      </w:tblGrid>
      <w:tr w:rsidR="009602FE">
        <w:trPr>
          <w:trHeight w:val="510"/>
        </w:trPr>
        <w:tc>
          <w:tcPr>
            <w:tcW w:w="3843" w:type="dxa"/>
            <w:noWrap/>
            <w:vAlign w:val="center"/>
          </w:tcPr>
          <w:p w:rsidR="009602FE" w:rsidRDefault="00B51B77">
            <w:pPr>
              <w:rPr>
                <w:rFonts w:cs="Lucida Sans Unicode"/>
                <w:b/>
                <w:bCs/>
                <w:spacing w:val="-8"/>
                <w:sz w:val="20"/>
                <w:szCs w:val="20"/>
              </w:rPr>
            </w:pPr>
            <w:r>
              <w:rPr>
                <w:b/>
                <w:spacing w:val="-8"/>
                <w:sz w:val="20"/>
              </w:rPr>
              <w:t xml:space="preserve">(in € </w:t>
            </w:r>
            <w:proofErr w:type="spellStart"/>
            <w:r>
              <w:rPr>
                <w:b/>
                <w:spacing w:val="-8"/>
                <w:sz w:val="20"/>
              </w:rPr>
              <w:t>million</w:t>
            </w:r>
            <w:proofErr w:type="spellEnd"/>
            <w:r>
              <w:rPr>
                <w:b/>
                <w:spacing w:val="-8"/>
                <w:sz w:val="20"/>
              </w:rPr>
              <w:t>)</w:t>
            </w:r>
          </w:p>
        </w:tc>
        <w:tc>
          <w:tcPr>
            <w:tcW w:w="1037" w:type="dxa"/>
            <w:shd w:val="clear" w:color="auto" w:fill="D9D9D9"/>
            <w:vAlign w:val="center"/>
          </w:tcPr>
          <w:p w:rsidR="009602FE" w:rsidRDefault="00B51B77">
            <w:pPr>
              <w:jc w:val="center"/>
              <w:rPr>
                <w:rFonts w:cs="Lucida Sans Unicode"/>
                <w:b/>
                <w:bCs/>
                <w:spacing w:val="-8"/>
                <w:sz w:val="20"/>
                <w:szCs w:val="20"/>
              </w:rPr>
            </w:pPr>
            <w:r>
              <w:rPr>
                <w:b/>
                <w:spacing w:val="-8"/>
                <w:sz w:val="20"/>
              </w:rPr>
              <w:t>Q4 2012</w:t>
            </w:r>
          </w:p>
        </w:tc>
        <w:tc>
          <w:tcPr>
            <w:tcW w:w="1037" w:type="dxa"/>
            <w:vAlign w:val="center"/>
          </w:tcPr>
          <w:p w:rsidR="009602FE" w:rsidRDefault="00B51B77">
            <w:pPr>
              <w:jc w:val="center"/>
              <w:rPr>
                <w:rFonts w:cs="Lucida Sans Unicode"/>
                <w:b/>
                <w:bCs/>
                <w:spacing w:val="-8"/>
                <w:sz w:val="20"/>
                <w:szCs w:val="20"/>
              </w:rPr>
            </w:pPr>
            <w:r>
              <w:rPr>
                <w:b/>
                <w:spacing w:val="-8"/>
                <w:sz w:val="20"/>
              </w:rPr>
              <w:t>Q4 2011</w:t>
            </w:r>
          </w:p>
        </w:tc>
        <w:tc>
          <w:tcPr>
            <w:tcW w:w="1037" w:type="dxa"/>
            <w:vAlign w:val="center"/>
          </w:tcPr>
          <w:p w:rsidR="009602FE" w:rsidRDefault="00B51B77">
            <w:pPr>
              <w:jc w:val="center"/>
              <w:rPr>
                <w:rFonts w:cs="Lucida Sans Unicode"/>
                <w:b/>
                <w:bCs/>
                <w:spacing w:val="-8"/>
                <w:sz w:val="20"/>
                <w:szCs w:val="20"/>
              </w:rPr>
            </w:pPr>
            <w:r>
              <w:rPr>
                <w:b/>
                <w:spacing w:val="-8"/>
                <w:sz w:val="20"/>
              </w:rPr>
              <w:t xml:space="preserve">Change </w:t>
            </w:r>
            <w:r>
              <w:rPr>
                <w:rFonts w:cs="Lucida Sans Unicode"/>
                <w:b/>
                <w:bCs/>
                <w:spacing w:val="-8"/>
                <w:sz w:val="20"/>
                <w:szCs w:val="20"/>
              </w:rPr>
              <w:br/>
            </w:r>
            <w:r>
              <w:rPr>
                <w:b/>
                <w:spacing w:val="-8"/>
                <w:sz w:val="20"/>
              </w:rPr>
              <w:t>in %</w:t>
            </w:r>
          </w:p>
        </w:tc>
        <w:tc>
          <w:tcPr>
            <w:tcW w:w="1038" w:type="dxa"/>
            <w:shd w:val="clear" w:color="auto" w:fill="D9D9D9"/>
            <w:vAlign w:val="center"/>
          </w:tcPr>
          <w:p w:rsidR="009602FE" w:rsidRDefault="00B51B77">
            <w:pPr>
              <w:jc w:val="center"/>
              <w:rPr>
                <w:rFonts w:cs="Lucida Sans Unicode"/>
                <w:b/>
                <w:bCs/>
                <w:spacing w:val="-8"/>
                <w:sz w:val="20"/>
                <w:szCs w:val="20"/>
              </w:rPr>
            </w:pPr>
            <w:r>
              <w:rPr>
                <w:b/>
                <w:spacing w:val="-8"/>
                <w:sz w:val="20"/>
              </w:rPr>
              <w:t>2012</w:t>
            </w:r>
          </w:p>
        </w:tc>
        <w:tc>
          <w:tcPr>
            <w:tcW w:w="1037" w:type="dxa"/>
            <w:vAlign w:val="center"/>
          </w:tcPr>
          <w:p w:rsidR="009602FE" w:rsidRDefault="00B51B77">
            <w:pPr>
              <w:jc w:val="center"/>
              <w:rPr>
                <w:rFonts w:cs="Lucida Sans Unicode"/>
                <w:b/>
                <w:bCs/>
                <w:spacing w:val="-8"/>
                <w:sz w:val="20"/>
                <w:szCs w:val="20"/>
              </w:rPr>
            </w:pPr>
            <w:r>
              <w:rPr>
                <w:b/>
                <w:spacing w:val="-8"/>
                <w:sz w:val="20"/>
              </w:rPr>
              <w:t>2011</w:t>
            </w:r>
            <w:r>
              <w:rPr>
                <w:b/>
                <w:spacing w:val="-8"/>
                <w:sz w:val="20"/>
                <w:vertAlign w:val="superscript"/>
              </w:rPr>
              <w:t>1)</w:t>
            </w:r>
          </w:p>
        </w:tc>
        <w:tc>
          <w:tcPr>
            <w:tcW w:w="1037" w:type="dxa"/>
            <w:vAlign w:val="center"/>
          </w:tcPr>
          <w:p w:rsidR="009602FE" w:rsidRDefault="00B51B77">
            <w:pPr>
              <w:jc w:val="center"/>
              <w:rPr>
                <w:rFonts w:cs="Lucida Sans Unicode"/>
                <w:b/>
                <w:bCs/>
                <w:spacing w:val="-8"/>
                <w:sz w:val="20"/>
                <w:szCs w:val="20"/>
              </w:rPr>
            </w:pPr>
            <w:r>
              <w:rPr>
                <w:b/>
                <w:spacing w:val="-8"/>
                <w:sz w:val="20"/>
              </w:rPr>
              <w:t xml:space="preserve">Change </w:t>
            </w:r>
            <w:r>
              <w:rPr>
                <w:rFonts w:cs="Lucida Sans Unicode"/>
                <w:b/>
                <w:bCs/>
                <w:spacing w:val="-8"/>
                <w:sz w:val="20"/>
                <w:szCs w:val="20"/>
              </w:rPr>
              <w:br/>
            </w:r>
            <w:r>
              <w:rPr>
                <w:b/>
                <w:spacing w:val="-8"/>
                <w:sz w:val="20"/>
              </w:rPr>
              <w:t>in %</w:t>
            </w:r>
          </w:p>
        </w:tc>
      </w:tr>
      <w:tr w:rsidR="009602FE">
        <w:trPr>
          <w:trHeight w:val="300"/>
        </w:trPr>
        <w:tc>
          <w:tcPr>
            <w:tcW w:w="3843" w:type="dxa"/>
            <w:noWrap/>
            <w:vAlign w:val="bottom"/>
          </w:tcPr>
          <w:p w:rsidR="009602FE" w:rsidRDefault="00B51B77">
            <w:pPr>
              <w:rPr>
                <w:rFonts w:cs="Lucida Sans Unicode"/>
                <w:spacing w:val="-8"/>
                <w:sz w:val="20"/>
                <w:szCs w:val="20"/>
              </w:rPr>
            </w:pPr>
            <w:proofErr w:type="spellStart"/>
            <w:r>
              <w:rPr>
                <w:spacing w:val="-8"/>
                <w:sz w:val="20"/>
              </w:rPr>
              <w:t>Sales</w:t>
            </w:r>
            <w:proofErr w:type="spellEnd"/>
          </w:p>
        </w:tc>
        <w:tc>
          <w:tcPr>
            <w:tcW w:w="1037" w:type="dxa"/>
            <w:shd w:val="clear" w:color="auto" w:fill="D9D9D9"/>
            <w:noWrap/>
            <w:vAlign w:val="bottom"/>
          </w:tcPr>
          <w:p w:rsidR="009602FE" w:rsidRDefault="00B51B77">
            <w:pPr>
              <w:jc w:val="right"/>
              <w:rPr>
                <w:rFonts w:cs="Lucida Sans Unicode"/>
                <w:spacing w:val="-8"/>
                <w:sz w:val="20"/>
                <w:szCs w:val="20"/>
              </w:rPr>
            </w:pPr>
            <w:r>
              <w:rPr>
                <w:spacing w:val="-8"/>
                <w:sz w:val="20"/>
              </w:rPr>
              <w:t>3,273</w:t>
            </w:r>
          </w:p>
        </w:tc>
        <w:tc>
          <w:tcPr>
            <w:tcW w:w="1037" w:type="dxa"/>
            <w:noWrap/>
            <w:vAlign w:val="bottom"/>
          </w:tcPr>
          <w:p w:rsidR="009602FE" w:rsidRDefault="00B51B77">
            <w:pPr>
              <w:jc w:val="right"/>
              <w:rPr>
                <w:rFonts w:cs="Lucida Sans Unicode"/>
                <w:spacing w:val="-8"/>
                <w:sz w:val="20"/>
                <w:szCs w:val="20"/>
              </w:rPr>
            </w:pPr>
            <w:r>
              <w:rPr>
                <w:spacing w:val="-8"/>
                <w:sz w:val="20"/>
              </w:rPr>
              <w:t>3,330</w:t>
            </w:r>
          </w:p>
        </w:tc>
        <w:tc>
          <w:tcPr>
            <w:tcW w:w="1037" w:type="dxa"/>
            <w:noWrap/>
            <w:vAlign w:val="bottom"/>
          </w:tcPr>
          <w:p w:rsidR="009602FE" w:rsidRDefault="00B51B77">
            <w:pPr>
              <w:jc w:val="right"/>
              <w:rPr>
                <w:rFonts w:cs="Lucida Sans Unicode"/>
                <w:spacing w:val="-8"/>
                <w:sz w:val="20"/>
                <w:szCs w:val="20"/>
              </w:rPr>
            </w:pPr>
            <w:r>
              <w:rPr>
                <w:spacing w:val="-8"/>
                <w:sz w:val="20"/>
              </w:rPr>
              <w:t>-2</w:t>
            </w:r>
          </w:p>
        </w:tc>
        <w:tc>
          <w:tcPr>
            <w:tcW w:w="1038" w:type="dxa"/>
            <w:shd w:val="clear" w:color="auto" w:fill="D9D9D9"/>
            <w:noWrap/>
            <w:vAlign w:val="bottom"/>
          </w:tcPr>
          <w:p w:rsidR="009602FE" w:rsidRDefault="00B51B77">
            <w:pPr>
              <w:jc w:val="right"/>
              <w:rPr>
                <w:rFonts w:cs="Lucida Sans Unicode"/>
                <w:spacing w:val="-8"/>
                <w:sz w:val="20"/>
                <w:szCs w:val="20"/>
              </w:rPr>
            </w:pPr>
            <w:r>
              <w:rPr>
                <w:spacing w:val="-8"/>
                <w:sz w:val="20"/>
              </w:rPr>
              <w:t>13,629</w:t>
            </w:r>
          </w:p>
        </w:tc>
        <w:tc>
          <w:tcPr>
            <w:tcW w:w="1037" w:type="dxa"/>
            <w:noWrap/>
            <w:vAlign w:val="bottom"/>
          </w:tcPr>
          <w:p w:rsidR="009602FE" w:rsidRDefault="00B51B77">
            <w:pPr>
              <w:jc w:val="right"/>
              <w:rPr>
                <w:rFonts w:cs="Lucida Sans Unicode"/>
                <w:spacing w:val="-8"/>
                <w:sz w:val="20"/>
                <w:szCs w:val="20"/>
              </w:rPr>
            </w:pPr>
            <w:r>
              <w:rPr>
                <w:spacing w:val="-8"/>
                <w:sz w:val="20"/>
              </w:rPr>
              <w:t>14,540</w:t>
            </w:r>
          </w:p>
        </w:tc>
        <w:tc>
          <w:tcPr>
            <w:tcW w:w="1037" w:type="dxa"/>
            <w:noWrap/>
            <w:vAlign w:val="bottom"/>
          </w:tcPr>
          <w:p w:rsidR="009602FE" w:rsidRDefault="00B51B77">
            <w:pPr>
              <w:jc w:val="right"/>
              <w:rPr>
                <w:rFonts w:cs="Lucida Sans Unicode"/>
                <w:spacing w:val="-8"/>
                <w:sz w:val="20"/>
                <w:szCs w:val="20"/>
              </w:rPr>
            </w:pPr>
            <w:r>
              <w:rPr>
                <w:spacing w:val="-8"/>
                <w:sz w:val="20"/>
              </w:rPr>
              <w:t>-6</w:t>
            </w:r>
          </w:p>
        </w:tc>
      </w:tr>
      <w:tr w:rsidR="009602FE">
        <w:trPr>
          <w:trHeight w:val="300"/>
        </w:trPr>
        <w:tc>
          <w:tcPr>
            <w:tcW w:w="3843" w:type="dxa"/>
            <w:noWrap/>
            <w:vAlign w:val="bottom"/>
          </w:tcPr>
          <w:p w:rsidR="009602FE" w:rsidRDefault="00B51B77">
            <w:pPr>
              <w:rPr>
                <w:rFonts w:cs="Lucida Sans Unicode"/>
                <w:spacing w:val="-8"/>
                <w:sz w:val="20"/>
                <w:szCs w:val="20"/>
              </w:rPr>
            </w:pPr>
            <w:proofErr w:type="spellStart"/>
            <w:r>
              <w:rPr>
                <w:spacing w:val="-8"/>
                <w:sz w:val="20"/>
              </w:rPr>
              <w:t>Adjusted</w:t>
            </w:r>
            <w:proofErr w:type="spellEnd"/>
            <w:r>
              <w:rPr>
                <w:spacing w:val="-8"/>
                <w:sz w:val="20"/>
              </w:rPr>
              <w:t xml:space="preserve"> EBITDA</w:t>
            </w:r>
          </w:p>
        </w:tc>
        <w:tc>
          <w:tcPr>
            <w:tcW w:w="1037" w:type="dxa"/>
            <w:shd w:val="clear" w:color="auto" w:fill="D9D9D9"/>
            <w:noWrap/>
            <w:vAlign w:val="bottom"/>
          </w:tcPr>
          <w:p w:rsidR="009602FE" w:rsidRDefault="00B51B77">
            <w:pPr>
              <w:jc w:val="right"/>
              <w:rPr>
                <w:rFonts w:cs="Lucida Sans Unicode"/>
                <w:spacing w:val="-8"/>
                <w:sz w:val="20"/>
                <w:szCs w:val="20"/>
              </w:rPr>
            </w:pPr>
            <w:r>
              <w:rPr>
                <w:spacing w:val="-8"/>
                <w:sz w:val="20"/>
              </w:rPr>
              <w:t>492</w:t>
            </w:r>
          </w:p>
        </w:tc>
        <w:tc>
          <w:tcPr>
            <w:tcW w:w="1037" w:type="dxa"/>
            <w:noWrap/>
            <w:vAlign w:val="bottom"/>
          </w:tcPr>
          <w:p w:rsidR="009602FE" w:rsidRDefault="00B51B77">
            <w:pPr>
              <w:jc w:val="right"/>
              <w:rPr>
                <w:rFonts w:cs="Lucida Sans Unicode"/>
                <w:spacing w:val="-8"/>
                <w:sz w:val="20"/>
                <w:szCs w:val="20"/>
              </w:rPr>
            </w:pPr>
            <w:r>
              <w:rPr>
                <w:spacing w:val="-8"/>
                <w:sz w:val="20"/>
              </w:rPr>
              <w:t>522</w:t>
            </w:r>
          </w:p>
        </w:tc>
        <w:tc>
          <w:tcPr>
            <w:tcW w:w="1037" w:type="dxa"/>
            <w:noWrap/>
            <w:vAlign w:val="bottom"/>
          </w:tcPr>
          <w:p w:rsidR="009602FE" w:rsidRDefault="00B51B77">
            <w:pPr>
              <w:jc w:val="right"/>
              <w:rPr>
                <w:rFonts w:cs="Lucida Sans Unicode"/>
                <w:spacing w:val="-8"/>
                <w:sz w:val="20"/>
                <w:szCs w:val="20"/>
              </w:rPr>
            </w:pPr>
            <w:r>
              <w:rPr>
                <w:spacing w:val="-8"/>
                <w:sz w:val="20"/>
              </w:rPr>
              <w:t>-6</w:t>
            </w:r>
          </w:p>
        </w:tc>
        <w:tc>
          <w:tcPr>
            <w:tcW w:w="1038" w:type="dxa"/>
            <w:shd w:val="clear" w:color="auto" w:fill="D9D9D9"/>
            <w:noWrap/>
            <w:vAlign w:val="bottom"/>
          </w:tcPr>
          <w:p w:rsidR="009602FE" w:rsidRDefault="00B51B77">
            <w:pPr>
              <w:jc w:val="right"/>
              <w:rPr>
                <w:rFonts w:cs="Lucida Sans Unicode"/>
                <w:spacing w:val="-8"/>
                <w:sz w:val="20"/>
                <w:szCs w:val="20"/>
              </w:rPr>
            </w:pPr>
            <w:r>
              <w:rPr>
                <w:spacing w:val="-8"/>
                <w:sz w:val="20"/>
              </w:rPr>
              <w:t>2,589</w:t>
            </w:r>
          </w:p>
        </w:tc>
        <w:tc>
          <w:tcPr>
            <w:tcW w:w="1037" w:type="dxa"/>
            <w:noWrap/>
            <w:vAlign w:val="bottom"/>
          </w:tcPr>
          <w:p w:rsidR="009602FE" w:rsidRDefault="00B51B77">
            <w:pPr>
              <w:jc w:val="right"/>
              <w:rPr>
                <w:rFonts w:cs="Lucida Sans Unicode"/>
                <w:spacing w:val="-8"/>
                <w:sz w:val="20"/>
                <w:szCs w:val="20"/>
              </w:rPr>
            </w:pPr>
            <w:r>
              <w:rPr>
                <w:spacing w:val="-8"/>
                <w:sz w:val="20"/>
              </w:rPr>
              <w:t>2,768</w:t>
            </w:r>
          </w:p>
        </w:tc>
        <w:tc>
          <w:tcPr>
            <w:tcW w:w="1037" w:type="dxa"/>
            <w:noWrap/>
            <w:vAlign w:val="bottom"/>
          </w:tcPr>
          <w:p w:rsidR="009602FE" w:rsidRDefault="00B51B77">
            <w:pPr>
              <w:jc w:val="right"/>
              <w:rPr>
                <w:rFonts w:cs="Lucida Sans Unicode"/>
                <w:spacing w:val="-8"/>
                <w:sz w:val="20"/>
                <w:szCs w:val="20"/>
              </w:rPr>
            </w:pPr>
            <w:r>
              <w:rPr>
                <w:spacing w:val="-8"/>
                <w:sz w:val="20"/>
              </w:rPr>
              <w:t>-6</w:t>
            </w:r>
          </w:p>
        </w:tc>
      </w:tr>
      <w:tr w:rsidR="009602FE">
        <w:trPr>
          <w:trHeight w:val="300"/>
        </w:trPr>
        <w:tc>
          <w:tcPr>
            <w:tcW w:w="3843" w:type="dxa"/>
            <w:noWrap/>
            <w:vAlign w:val="bottom"/>
          </w:tcPr>
          <w:p w:rsidR="009602FE" w:rsidRDefault="00B51B77">
            <w:pPr>
              <w:rPr>
                <w:rFonts w:cs="Lucida Sans Unicode"/>
                <w:b/>
                <w:spacing w:val="-8"/>
                <w:sz w:val="20"/>
                <w:szCs w:val="20"/>
              </w:rPr>
            </w:pPr>
            <w:proofErr w:type="spellStart"/>
            <w:r>
              <w:rPr>
                <w:b/>
                <w:spacing w:val="-8"/>
                <w:sz w:val="20"/>
              </w:rPr>
              <w:t>Adjusted</w:t>
            </w:r>
            <w:proofErr w:type="spellEnd"/>
            <w:r>
              <w:rPr>
                <w:b/>
                <w:spacing w:val="-8"/>
                <w:sz w:val="20"/>
              </w:rPr>
              <w:t xml:space="preserve"> EBIT</w:t>
            </w:r>
          </w:p>
        </w:tc>
        <w:tc>
          <w:tcPr>
            <w:tcW w:w="1037" w:type="dxa"/>
            <w:shd w:val="clear" w:color="auto" w:fill="D9D9D9"/>
            <w:noWrap/>
            <w:vAlign w:val="bottom"/>
          </w:tcPr>
          <w:p w:rsidR="009602FE" w:rsidRDefault="00B51B77">
            <w:pPr>
              <w:jc w:val="right"/>
              <w:rPr>
                <w:rFonts w:cs="Lucida Sans Unicode"/>
                <w:spacing w:val="-8"/>
                <w:sz w:val="20"/>
                <w:szCs w:val="20"/>
              </w:rPr>
            </w:pPr>
            <w:r>
              <w:rPr>
                <w:spacing w:val="-8"/>
                <w:sz w:val="20"/>
              </w:rPr>
              <w:t>336</w:t>
            </w:r>
          </w:p>
        </w:tc>
        <w:tc>
          <w:tcPr>
            <w:tcW w:w="1037" w:type="dxa"/>
            <w:noWrap/>
            <w:vAlign w:val="bottom"/>
          </w:tcPr>
          <w:p w:rsidR="009602FE" w:rsidRDefault="00B51B77">
            <w:pPr>
              <w:jc w:val="right"/>
              <w:rPr>
                <w:rFonts w:cs="Lucida Sans Unicode"/>
                <w:spacing w:val="-8"/>
                <w:sz w:val="20"/>
                <w:szCs w:val="20"/>
              </w:rPr>
            </w:pPr>
            <w:r>
              <w:rPr>
                <w:spacing w:val="-8"/>
                <w:sz w:val="20"/>
              </w:rPr>
              <w:t>347</w:t>
            </w:r>
          </w:p>
        </w:tc>
        <w:tc>
          <w:tcPr>
            <w:tcW w:w="1037" w:type="dxa"/>
            <w:noWrap/>
            <w:vAlign w:val="bottom"/>
          </w:tcPr>
          <w:p w:rsidR="009602FE" w:rsidRDefault="00B51B77">
            <w:pPr>
              <w:jc w:val="right"/>
              <w:rPr>
                <w:rFonts w:cs="Lucida Sans Unicode"/>
                <w:spacing w:val="-8"/>
                <w:sz w:val="20"/>
                <w:szCs w:val="20"/>
              </w:rPr>
            </w:pPr>
            <w:r>
              <w:rPr>
                <w:spacing w:val="-8"/>
                <w:sz w:val="20"/>
              </w:rPr>
              <w:t>-3</w:t>
            </w:r>
          </w:p>
        </w:tc>
        <w:tc>
          <w:tcPr>
            <w:tcW w:w="1038" w:type="dxa"/>
            <w:shd w:val="clear" w:color="auto" w:fill="D9D9D9"/>
            <w:noWrap/>
            <w:vAlign w:val="bottom"/>
          </w:tcPr>
          <w:p w:rsidR="009602FE" w:rsidRDefault="00B51B77">
            <w:pPr>
              <w:jc w:val="right"/>
              <w:rPr>
                <w:rFonts w:cs="Lucida Sans Unicode"/>
                <w:spacing w:val="-8"/>
                <w:sz w:val="20"/>
                <w:szCs w:val="20"/>
              </w:rPr>
            </w:pPr>
            <w:r>
              <w:rPr>
                <w:spacing w:val="-8"/>
                <w:sz w:val="20"/>
              </w:rPr>
              <w:t>1,953</w:t>
            </w:r>
          </w:p>
        </w:tc>
        <w:tc>
          <w:tcPr>
            <w:tcW w:w="1037" w:type="dxa"/>
            <w:noWrap/>
            <w:vAlign w:val="bottom"/>
          </w:tcPr>
          <w:p w:rsidR="009602FE" w:rsidRDefault="00B51B77">
            <w:pPr>
              <w:jc w:val="right"/>
              <w:rPr>
                <w:rFonts w:cs="Lucida Sans Unicode"/>
                <w:spacing w:val="-8"/>
                <w:sz w:val="20"/>
                <w:szCs w:val="20"/>
              </w:rPr>
            </w:pPr>
            <w:r>
              <w:rPr>
                <w:spacing w:val="-8"/>
                <w:sz w:val="20"/>
              </w:rPr>
              <w:t>2,099</w:t>
            </w:r>
          </w:p>
        </w:tc>
        <w:tc>
          <w:tcPr>
            <w:tcW w:w="1037" w:type="dxa"/>
            <w:noWrap/>
            <w:vAlign w:val="bottom"/>
          </w:tcPr>
          <w:p w:rsidR="009602FE" w:rsidRDefault="00B51B77">
            <w:pPr>
              <w:jc w:val="right"/>
              <w:rPr>
                <w:rFonts w:cs="Lucida Sans Unicode"/>
                <w:spacing w:val="-8"/>
                <w:sz w:val="20"/>
                <w:szCs w:val="20"/>
              </w:rPr>
            </w:pPr>
            <w:r>
              <w:rPr>
                <w:spacing w:val="-8"/>
                <w:sz w:val="20"/>
              </w:rPr>
              <w:t>-7</w:t>
            </w:r>
          </w:p>
        </w:tc>
      </w:tr>
      <w:tr w:rsidR="009602FE">
        <w:trPr>
          <w:trHeight w:val="300"/>
        </w:trPr>
        <w:tc>
          <w:tcPr>
            <w:tcW w:w="3843" w:type="dxa"/>
            <w:noWrap/>
            <w:vAlign w:val="bottom"/>
          </w:tcPr>
          <w:p w:rsidR="009602FE" w:rsidRDefault="00B51B77">
            <w:pPr>
              <w:rPr>
                <w:rFonts w:cs="Lucida Sans Unicode"/>
                <w:spacing w:val="-8"/>
                <w:sz w:val="20"/>
                <w:szCs w:val="20"/>
              </w:rPr>
            </w:pPr>
            <w:proofErr w:type="spellStart"/>
            <w:r>
              <w:rPr>
                <w:spacing w:val="-8"/>
                <w:sz w:val="20"/>
              </w:rPr>
              <w:t>Adjustments</w:t>
            </w:r>
            <w:proofErr w:type="spellEnd"/>
          </w:p>
        </w:tc>
        <w:tc>
          <w:tcPr>
            <w:tcW w:w="1037" w:type="dxa"/>
            <w:shd w:val="clear" w:color="auto" w:fill="D9D9D9"/>
            <w:noWrap/>
            <w:vAlign w:val="bottom"/>
          </w:tcPr>
          <w:p w:rsidR="009602FE" w:rsidRDefault="00B51B77">
            <w:pPr>
              <w:jc w:val="right"/>
              <w:rPr>
                <w:rFonts w:cs="Lucida Sans Unicode"/>
                <w:spacing w:val="-8"/>
                <w:sz w:val="20"/>
                <w:szCs w:val="20"/>
              </w:rPr>
            </w:pPr>
            <w:r>
              <w:rPr>
                <w:spacing w:val="-8"/>
                <w:sz w:val="20"/>
              </w:rPr>
              <w:t>41</w:t>
            </w:r>
          </w:p>
        </w:tc>
        <w:tc>
          <w:tcPr>
            <w:tcW w:w="1037" w:type="dxa"/>
            <w:noWrap/>
            <w:vAlign w:val="bottom"/>
          </w:tcPr>
          <w:p w:rsidR="009602FE" w:rsidRDefault="00B51B77">
            <w:pPr>
              <w:jc w:val="right"/>
              <w:rPr>
                <w:rFonts w:cs="Lucida Sans Unicode"/>
                <w:spacing w:val="-8"/>
                <w:sz w:val="20"/>
                <w:szCs w:val="20"/>
              </w:rPr>
            </w:pPr>
            <w:r>
              <w:rPr>
                <w:spacing w:val="-8"/>
                <w:sz w:val="20"/>
              </w:rPr>
              <w:t>-55</w:t>
            </w:r>
          </w:p>
        </w:tc>
        <w:tc>
          <w:tcPr>
            <w:tcW w:w="1037" w:type="dxa"/>
            <w:noWrap/>
            <w:vAlign w:val="bottom"/>
          </w:tcPr>
          <w:p w:rsidR="009602FE" w:rsidRDefault="009602FE">
            <w:pPr>
              <w:jc w:val="right"/>
              <w:rPr>
                <w:rFonts w:cs="Lucida Sans Unicode"/>
                <w:spacing w:val="-8"/>
                <w:sz w:val="20"/>
                <w:szCs w:val="20"/>
              </w:rPr>
            </w:pPr>
          </w:p>
        </w:tc>
        <w:tc>
          <w:tcPr>
            <w:tcW w:w="1038" w:type="dxa"/>
            <w:shd w:val="clear" w:color="auto" w:fill="D9D9D9"/>
            <w:noWrap/>
            <w:vAlign w:val="bottom"/>
          </w:tcPr>
          <w:p w:rsidR="009602FE" w:rsidRDefault="00B51B77">
            <w:pPr>
              <w:jc w:val="right"/>
              <w:rPr>
                <w:rFonts w:cs="Lucida Sans Unicode"/>
                <w:spacing w:val="-8"/>
                <w:sz w:val="20"/>
                <w:szCs w:val="20"/>
              </w:rPr>
            </w:pPr>
            <w:r>
              <w:rPr>
                <w:spacing w:val="-8"/>
                <w:sz w:val="20"/>
              </w:rPr>
              <w:t>16</w:t>
            </w:r>
          </w:p>
        </w:tc>
        <w:tc>
          <w:tcPr>
            <w:tcW w:w="1037" w:type="dxa"/>
            <w:noWrap/>
            <w:vAlign w:val="bottom"/>
          </w:tcPr>
          <w:p w:rsidR="009602FE" w:rsidRDefault="00B51B77">
            <w:pPr>
              <w:jc w:val="right"/>
              <w:rPr>
                <w:rFonts w:cs="Lucida Sans Unicode"/>
                <w:spacing w:val="-8"/>
                <w:sz w:val="20"/>
                <w:szCs w:val="20"/>
              </w:rPr>
            </w:pPr>
            <w:r>
              <w:rPr>
                <w:spacing w:val="-8"/>
                <w:sz w:val="20"/>
              </w:rPr>
              <w:t>-175</w:t>
            </w:r>
          </w:p>
        </w:tc>
        <w:tc>
          <w:tcPr>
            <w:tcW w:w="1037" w:type="dxa"/>
            <w:noWrap/>
            <w:vAlign w:val="bottom"/>
          </w:tcPr>
          <w:p w:rsidR="009602FE" w:rsidRDefault="009602FE">
            <w:pPr>
              <w:jc w:val="right"/>
              <w:rPr>
                <w:rFonts w:cs="Lucida Sans Unicode"/>
                <w:spacing w:val="-8"/>
                <w:sz w:val="20"/>
                <w:szCs w:val="20"/>
              </w:rPr>
            </w:pPr>
          </w:p>
        </w:tc>
      </w:tr>
      <w:tr w:rsidR="009602FE">
        <w:trPr>
          <w:trHeight w:val="300"/>
        </w:trPr>
        <w:tc>
          <w:tcPr>
            <w:tcW w:w="3843" w:type="dxa"/>
            <w:noWrap/>
            <w:vAlign w:val="bottom"/>
          </w:tcPr>
          <w:p w:rsidR="009602FE" w:rsidRDefault="00B51B77">
            <w:pPr>
              <w:rPr>
                <w:rFonts w:cs="Lucida Sans Unicode"/>
                <w:spacing w:val="-8"/>
                <w:sz w:val="20"/>
                <w:szCs w:val="20"/>
              </w:rPr>
            </w:pPr>
            <w:r>
              <w:rPr>
                <w:spacing w:val="-8"/>
                <w:sz w:val="20"/>
              </w:rPr>
              <w:t xml:space="preserve">Net </w:t>
            </w:r>
            <w:proofErr w:type="spellStart"/>
            <w:r>
              <w:rPr>
                <w:spacing w:val="-8"/>
                <w:sz w:val="20"/>
              </w:rPr>
              <w:t>interest</w:t>
            </w:r>
            <w:proofErr w:type="spellEnd"/>
            <w:r>
              <w:rPr>
                <w:spacing w:val="-8"/>
                <w:sz w:val="20"/>
              </w:rPr>
              <w:t xml:space="preserve"> </w:t>
            </w:r>
            <w:proofErr w:type="spellStart"/>
            <w:r>
              <w:rPr>
                <w:spacing w:val="-8"/>
                <w:sz w:val="20"/>
              </w:rPr>
              <w:t>expense</w:t>
            </w:r>
            <w:proofErr w:type="spellEnd"/>
          </w:p>
        </w:tc>
        <w:tc>
          <w:tcPr>
            <w:tcW w:w="1037" w:type="dxa"/>
            <w:shd w:val="clear" w:color="auto" w:fill="D9D9D9"/>
            <w:noWrap/>
            <w:vAlign w:val="bottom"/>
          </w:tcPr>
          <w:p w:rsidR="009602FE" w:rsidRDefault="00B51B77">
            <w:pPr>
              <w:jc w:val="right"/>
              <w:rPr>
                <w:rFonts w:cs="Lucida Sans Unicode"/>
                <w:spacing w:val="-8"/>
                <w:sz w:val="20"/>
                <w:szCs w:val="20"/>
              </w:rPr>
            </w:pPr>
            <w:r>
              <w:rPr>
                <w:spacing w:val="-8"/>
                <w:sz w:val="20"/>
              </w:rPr>
              <w:t>-92</w:t>
            </w:r>
          </w:p>
        </w:tc>
        <w:tc>
          <w:tcPr>
            <w:tcW w:w="1037" w:type="dxa"/>
            <w:noWrap/>
            <w:vAlign w:val="bottom"/>
          </w:tcPr>
          <w:p w:rsidR="009602FE" w:rsidRDefault="00B51B77">
            <w:pPr>
              <w:jc w:val="right"/>
              <w:rPr>
                <w:rFonts w:cs="Lucida Sans Unicode"/>
                <w:spacing w:val="-8"/>
                <w:sz w:val="20"/>
                <w:szCs w:val="20"/>
              </w:rPr>
            </w:pPr>
            <w:r>
              <w:rPr>
                <w:spacing w:val="-8"/>
                <w:sz w:val="20"/>
              </w:rPr>
              <w:t>-94</w:t>
            </w:r>
          </w:p>
        </w:tc>
        <w:tc>
          <w:tcPr>
            <w:tcW w:w="1037" w:type="dxa"/>
            <w:noWrap/>
            <w:vAlign w:val="bottom"/>
          </w:tcPr>
          <w:p w:rsidR="009602FE" w:rsidRDefault="009602FE">
            <w:pPr>
              <w:jc w:val="right"/>
              <w:rPr>
                <w:rFonts w:cs="Lucida Sans Unicode"/>
                <w:spacing w:val="-8"/>
                <w:sz w:val="20"/>
                <w:szCs w:val="20"/>
              </w:rPr>
            </w:pPr>
          </w:p>
        </w:tc>
        <w:tc>
          <w:tcPr>
            <w:tcW w:w="1038" w:type="dxa"/>
            <w:shd w:val="clear" w:color="auto" w:fill="D9D9D9"/>
            <w:noWrap/>
            <w:vAlign w:val="bottom"/>
          </w:tcPr>
          <w:p w:rsidR="009602FE" w:rsidRDefault="00B51B77">
            <w:pPr>
              <w:jc w:val="right"/>
              <w:rPr>
                <w:rFonts w:cs="Lucida Sans Unicode"/>
                <w:spacing w:val="-8"/>
                <w:sz w:val="20"/>
                <w:szCs w:val="20"/>
              </w:rPr>
            </w:pPr>
            <w:r>
              <w:rPr>
                <w:spacing w:val="-8"/>
                <w:sz w:val="20"/>
              </w:rPr>
              <w:t>-357</w:t>
            </w:r>
          </w:p>
        </w:tc>
        <w:tc>
          <w:tcPr>
            <w:tcW w:w="1037" w:type="dxa"/>
            <w:noWrap/>
            <w:vAlign w:val="bottom"/>
          </w:tcPr>
          <w:p w:rsidR="009602FE" w:rsidRDefault="00B51B77">
            <w:pPr>
              <w:jc w:val="right"/>
              <w:rPr>
                <w:rFonts w:cs="Lucida Sans Unicode"/>
                <w:spacing w:val="-8"/>
                <w:sz w:val="20"/>
                <w:szCs w:val="20"/>
              </w:rPr>
            </w:pPr>
            <w:r>
              <w:rPr>
                <w:spacing w:val="-8"/>
                <w:sz w:val="20"/>
              </w:rPr>
              <w:t>-381</w:t>
            </w:r>
          </w:p>
        </w:tc>
        <w:tc>
          <w:tcPr>
            <w:tcW w:w="1037" w:type="dxa"/>
            <w:noWrap/>
            <w:vAlign w:val="bottom"/>
          </w:tcPr>
          <w:p w:rsidR="009602FE" w:rsidRDefault="009602FE">
            <w:pPr>
              <w:jc w:val="right"/>
              <w:rPr>
                <w:rFonts w:cs="Lucida Sans Unicode"/>
                <w:spacing w:val="-8"/>
                <w:sz w:val="20"/>
                <w:szCs w:val="20"/>
              </w:rPr>
            </w:pPr>
          </w:p>
        </w:tc>
      </w:tr>
      <w:tr w:rsidR="009602FE">
        <w:trPr>
          <w:trHeight w:val="510"/>
        </w:trPr>
        <w:tc>
          <w:tcPr>
            <w:tcW w:w="3843" w:type="dxa"/>
            <w:vAlign w:val="bottom"/>
          </w:tcPr>
          <w:p w:rsidR="009602FE" w:rsidRDefault="00B51B77">
            <w:pPr>
              <w:rPr>
                <w:rFonts w:cs="Lucida Sans Unicode"/>
                <w:b/>
                <w:bCs/>
                <w:spacing w:val="-8"/>
                <w:sz w:val="20"/>
                <w:szCs w:val="20"/>
                <w:lang w:val="en-US"/>
              </w:rPr>
            </w:pPr>
            <w:r>
              <w:rPr>
                <w:b/>
                <w:spacing w:val="-8"/>
                <w:sz w:val="20"/>
                <w:lang w:val="en-US"/>
              </w:rPr>
              <w:t>= Income before income taxes, continuing operations</w:t>
            </w:r>
          </w:p>
        </w:tc>
        <w:tc>
          <w:tcPr>
            <w:tcW w:w="1037" w:type="dxa"/>
            <w:shd w:val="clear" w:color="auto" w:fill="D9D9D9"/>
            <w:noWrap/>
            <w:vAlign w:val="center"/>
          </w:tcPr>
          <w:p w:rsidR="009602FE" w:rsidRDefault="00B51B77">
            <w:pPr>
              <w:jc w:val="right"/>
              <w:rPr>
                <w:rFonts w:cs="Lucida Sans Unicode"/>
                <w:b/>
                <w:bCs/>
                <w:spacing w:val="-8"/>
                <w:sz w:val="20"/>
                <w:szCs w:val="20"/>
              </w:rPr>
            </w:pPr>
            <w:r>
              <w:rPr>
                <w:b/>
                <w:spacing w:val="-8"/>
                <w:sz w:val="20"/>
              </w:rPr>
              <w:t>285</w:t>
            </w:r>
          </w:p>
        </w:tc>
        <w:tc>
          <w:tcPr>
            <w:tcW w:w="1037" w:type="dxa"/>
            <w:noWrap/>
            <w:vAlign w:val="center"/>
          </w:tcPr>
          <w:p w:rsidR="009602FE" w:rsidRDefault="00B51B77">
            <w:pPr>
              <w:jc w:val="right"/>
              <w:rPr>
                <w:rFonts w:cs="Lucida Sans Unicode"/>
                <w:b/>
                <w:bCs/>
                <w:spacing w:val="-8"/>
                <w:sz w:val="20"/>
                <w:szCs w:val="20"/>
              </w:rPr>
            </w:pPr>
            <w:r>
              <w:rPr>
                <w:b/>
                <w:spacing w:val="-8"/>
                <w:sz w:val="20"/>
              </w:rPr>
              <w:t>198</w:t>
            </w:r>
          </w:p>
        </w:tc>
        <w:tc>
          <w:tcPr>
            <w:tcW w:w="1037" w:type="dxa"/>
            <w:noWrap/>
            <w:vAlign w:val="center"/>
          </w:tcPr>
          <w:p w:rsidR="009602FE" w:rsidRDefault="00B51B77">
            <w:pPr>
              <w:jc w:val="right"/>
              <w:rPr>
                <w:rFonts w:cs="Lucida Sans Unicode"/>
                <w:b/>
                <w:bCs/>
                <w:spacing w:val="-8"/>
                <w:sz w:val="20"/>
                <w:szCs w:val="20"/>
              </w:rPr>
            </w:pPr>
            <w:r>
              <w:rPr>
                <w:b/>
                <w:spacing w:val="-8"/>
                <w:sz w:val="20"/>
              </w:rPr>
              <w:t>44</w:t>
            </w:r>
          </w:p>
        </w:tc>
        <w:tc>
          <w:tcPr>
            <w:tcW w:w="1038" w:type="dxa"/>
            <w:shd w:val="clear" w:color="auto" w:fill="D9D9D9"/>
            <w:noWrap/>
            <w:vAlign w:val="center"/>
          </w:tcPr>
          <w:p w:rsidR="009602FE" w:rsidRDefault="00B51B77">
            <w:pPr>
              <w:jc w:val="right"/>
              <w:rPr>
                <w:rFonts w:cs="Lucida Sans Unicode"/>
                <w:b/>
                <w:bCs/>
                <w:spacing w:val="-8"/>
                <w:sz w:val="20"/>
                <w:szCs w:val="20"/>
              </w:rPr>
            </w:pPr>
            <w:r>
              <w:rPr>
                <w:b/>
                <w:spacing w:val="-8"/>
                <w:sz w:val="20"/>
              </w:rPr>
              <w:t>1,612</w:t>
            </w:r>
          </w:p>
        </w:tc>
        <w:tc>
          <w:tcPr>
            <w:tcW w:w="1037" w:type="dxa"/>
            <w:noWrap/>
            <w:vAlign w:val="center"/>
          </w:tcPr>
          <w:p w:rsidR="009602FE" w:rsidRDefault="00B51B77">
            <w:pPr>
              <w:jc w:val="right"/>
              <w:rPr>
                <w:rFonts w:cs="Lucida Sans Unicode"/>
                <w:b/>
                <w:bCs/>
                <w:spacing w:val="-8"/>
                <w:sz w:val="20"/>
                <w:szCs w:val="20"/>
              </w:rPr>
            </w:pPr>
            <w:r>
              <w:rPr>
                <w:b/>
                <w:spacing w:val="-8"/>
                <w:sz w:val="20"/>
              </w:rPr>
              <w:t>1,543</w:t>
            </w:r>
          </w:p>
        </w:tc>
        <w:tc>
          <w:tcPr>
            <w:tcW w:w="1037" w:type="dxa"/>
            <w:noWrap/>
            <w:vAlign w:val="center"/>
          </w:tcPr>
          <w:p w:rsidR="009602FE" w:rsidRDefault="00B51B77">
            <w:pPr>
              <w:jc w:val="right"/>
              <w:rPr>
                <w:rFonts w:cs="Lucida Sans Unicode"/>
                <w:b/>
                <w:bCs/>
                <w:spacing w:val="-8"/>
                <w:sz w:val="20"/>
                <w:szCs w:val="20"/>
              </w:rPr>
            </w:pPr>
            <w:r>
              <w:rPr>
                <w:b/>
                <w:spacing w:val="-8"/>
                <w:sz w:val="20"/>
              </w:rPr>
              <w:t>4</w:t>
            </w:r>
          </w:p>
        </w:tc>
      </w:tr>
      <w:tr w:rsidR="009602FE">
        <w:trPr>
          <w:trHeight w:val="510"/>
        </w:trPr>
        <w:tc>
          <w:tcPr>
            <w:tcW w:w="3843" w:type="dxa"/>
            <w:vAlign w:val="bottom"/>
          </w:tcPr>
          <w:p w:rsidR="009602FE" w:rsidRDefault="00B51B77">
            <w:pPr>
              <w:rPr>
                <w:rFonts w:cs="Lucida Sans Unicode"/>
                <w:spacing w:val="-8"/>
                <w:sz w:val="20"/>
                <w:szCs w:val="20"/>
                <w:lang w:val="en-US"/>
              </w:rPr>
            </w:pPr>
            <w:r>
              <w:rPr>
                <w:spacing w:val="-8"/>
                <w:sz w:val="20"/>
                <w:lang w:val="en-US"/>
              </w:rPr>
              <w:t>Income before income taxes, discontinued operations</w:t>
            </w:r>
          </w:p>
        </w:tc>
        <w:tc>
          <w:tcPr>
            <w:tcW w:w="1037" w:type="dxa"/>
            <w:shd w:val="clear" w:color="auto" w:fill="D9D9D9"/>
            <w:noWrap/>
            <w:vAlign w:val="center"/>
          </w:tcPr>
          <w:p w:rsidR="009602FE" w:rsidRDefault="00B51B77">
            <w:pPr>
              <w:jc w:val="right"/>
              <w:rPr>
                <w:rFonts w:cs="Lucida Sans Unicode"/>
                <w:spacing w:val="-8"/>
                <w:sz w:val="20"/>
                <w:szCs w:val="20"/>
              </w:rPr>
            </w:pPr>
            <w:r>
              <w:rPr>
                <w:spacing w:val="-8"/>
                <w:sz w:val="20"/>
              </w:rPr>
              <w:t>1</w:t>
            </w:r>
          </w:p>
        </w:tc>
        <w:tc>
          <w:tcPr>
            <w:tcW w:w="1037" w:type="dxa"/>
            <w:noWrap/>
            <w:vAlign w:val="center"/>
          </w:tcPr>
          <w:p w:rsidR="009602FE" w:rsidRDefault="00B51B77">
            <w:pPr>
              <w:jc w:val="right"/>
              <w:rPr>
                <w:rFonts w:cs="Lucida Sans Unicode"/>
                <w:spacing w:val="-8"/>
                <w:sz w:val="20"/>
                <w:szCs w:val="20"/>
              </w:rPr>
            </w:pPr>
            <w:r>
              <w:rPr>
                <w:spacing w:val="-8"/>
                <w:sz w:val="20"/>
              </w:rPr>
              <w:t>2</w:t>
            </w:r>
          </w:p>
        </w:tc>
        <w:tc>
          <w:tcPr>
            <w:tcW w:w="1037" w:type="dxa"/>
            <w:noWrap/>
            <w:vAlign w:val="center"/>
          </w:tcPr>
          <w:p w:rsidR="009602FE" w:rsidRDefault="009602FE">
            <w:pPr>
              <w:jc w:val="right"/>
              <w:rPr>
                <w:rFonts w:cs="Lucida Sans Unicode"/>
                <w:spacing w:val="-8"/>
                <w:sz w:val="20"/>
                <w:szCs w:val="20"/>
              </w:rPr>
            </w:pPr>
          </w:p>
        </w:tc>
        <w:tc>
          <w:tcPr>
            <w:tcW w:w="1038" w:type="dxa"/>
            <w:shd w:val="clear" w:color="auto" w:fill="D9D9D9"/>
            <w:noWrap/>
            <w:vAlign w:val="center"/>
          </w:tcPr>
          <w:p w:rsidR="009602FE" w:rsidRDefault="00B51B77">
            <w:pPr>
              <w:jc w:val="right"/>
              <w:rPr>
                <w:rFonts w:cs="Lucida Sans Unicode"/>
                <w:spacing w:val="-8"/>
                <w:sz w:val="20"/>
                <w:szCs w:val="20"/>
              </w:rPr>
            </w:pPr>
            <w:r>
              <w:rPr>
                <w:spacing w:val="-8"/>
                <w:sz w:val="20"/>
              </w:rPr>
              <w:t>17</w:t>
            </w:r>
          </w:p>
        </w:tc>
        <w:tc>
          <w:tcPr>
            <w:tcW w:w="1037" w:type="dxa"/>
            <w:noWrap/>
            <w:vAlign w:val="center"/>
          </w:tcPr>
          <w:p w:rsidR="009602FE" w:rsidRDefault="00B51B77">
            <w:pPr>
              <w:jc w:val="right"/>
              <w:rPr>
                <w:rFonts w:cs="Lucida Sans Unicode"/>
                <w:spacing w:val="-8"/>
                <w:sz w:val="20"/>
                <w:szCs w:val="20"/>
              </w:rPr>
            </w:pPr>
            <w:r>
              <w:rPr>
                <w:spacing w:val="-8"/>
                <w:sz w:val="20"/>
              </w:rPr>
              <w:t>-42</w:t>
            </w:r>
          </w:p>
        </w:tc>
        <w:tc>
          <w:tcPr>
            <w:tcW w:w="1037" w:type="dxa"/>
            <w:noWrap/>
            <w:vAlign w:val="center"/>
          </w:tcPr>
          <w:p w:rsidR="009602FE" w:rsidRDefault="009602FE">
            <w:pPr>
              <w:jc w:val="right"/>
              <w:rPr>
                <w:rFonts w:cs="Lucida Sans Unicode"/>
                <w:spacing w:val="-8"/>
                <w:sz w:val="20"/>
                <w:szCs w:val="20"/>
              </w:rPr>
            </w:pPr>
          </w:p>
        </w:tc>
      </w:tr>
      <w:tr w:rsidR="009602FE">
        <w:trPr>
          <w:trHeight w:val="300"/>
        </w:trPr>
        <w:tc>
          <w:tcPr>
            <w:tcW w:w="3843" w:type="dxa"/>
            <w:noWrap/>
            <w:vAlign w:val="bottom"/>
          </w:tcPr>
          <w:p w:rsidR="009602FE" w:rsidRDefault="00B51B77">
            <w:pPr>
              <w:rPr>
                <w:rFonts w:cs="Lucida Sans Unicode"/>
                <w:b/>
                <w:bCs/>
                <w:spacing w:val="-8"/>
                <w:sz w:val="20"/>
                <w:szCs w:val="20"/>
                <w:lang w:val="en-US"/>
              </w:rPr>
            </w:pPr>
            <w:r>
              <w:rPr>
                <w:b/>
                <w:spacing w:val="-8"/>
                <w:sz w:val="20"/>
                <w:lang w:val="en-US"/>
              </w:rPr>
              <w:t>= Income before income taxes (total)</w:t>
            </w:r>
          </w:p>
        </w:tc>
        <w:tc>
          <w:tcPr>
            <w:tcW w:w="1037" w:type="dxa"/>
            <w:shd w:val="clear" w:color="auto" w:fill="D9D9D9"/>
            <w:noWrap/>
            <w:vAlign w:val="bottom"/>
          </w:tcPr>
          <w:p w:rsidR="009602FE" w:rsidRDefault="00B51B77">
            <w:pPr>
              <w:jc w:val="right"/>
              <w:rPr>
                <w:rFonts w:cs="Lucida Sans Unicode"/>
                <w:b/>
                <w:bCs/>
                <w:spacing w:val="-8"/>
                <w:sz w:val="20"/>
                <w:szCs w:val="20"/>
              </w:rPr>
            </w:pPr>
            <w:r>
              <w:rPr>
                <w:b/>
                <w:spacing w:val="-8"/>
                <w:sz w:val="20"/>
              </w:rPr>
              <w:t>286</w:t>
            </w:r>
          </w:p>
        </w:tc>
        <w:tc>
          <w:tcPr>
            <w:tcW w:w="1037" w:type="dxa"/>
            <w:noWrap/>
            <w:vAlign w:val="bottom"/>
          </w:tcPr>
          <w:p w:rsidR="009602FE" w:rsidRDefault="00B51B77">
            <w:pPr>
              <w:jc w:val="right"/>
              <w:rPr>
                <w:rFonts w:cs="Lucida Sans Unicode"/>
                <w:b/>
                <w:bCs/>
                <w:spacing w:val="-8"/>
                <w:sz w:val="20"/>
                <w:szCs w:val="20"/>
              </w:rPr>
            </w:pPr>
            <w:r>
              <w:rPr>
                <w:b/>
                <w:spacing w:val="-8"/>
                <w:sz w:val="20"/>
              </w:rPr>
              <w:t>200</w:t>
            </w:r>
          </w:p>
        </w:tc>
        <w:tc>
          <w:tcPr>
            <w:tcW w:w="1037" w:type="dxa"/>
            <w:noWrap/>
            <w:vAlign w:val="bottom"/>
          </w:tcPr>
          <w:p w:rsidR="009602FE" w:rsidRDefault="00B51B77">
            <w:pPr>
              <w:jc w:val="right"/>
              <w:rPr>
                <w:rFonts w:cs="Lucida Sans Unicode"/>
                <w:b/>
                <w:bCs/>
                <w:spacing w:val="-8"/>
                <w:sz w:val="20"/>
                <w:szCs w:val="20"/>
              </w:rPr>
            </w:pPr>
            <w:r>
              <w:rPr>
                <w:b/>
                <w:spacing w:val="-8"/>
                <w:sz w:val="20"/>
              </w:rPr>
              <w:t>43</w:t>
            </w:r>
          </w:p>
        </w:tc>
        <w:tc>
          <w:tcPr>
            <w:tcW w:w="1038" w:type="dxa"/>
            <w:shd w:val="clear" w:color="auto" w:fill="D9D9D9"/>
            <w:noWrap/>
            <w:vAlign w:val="bottom"/>
          </w:tcPr>
          <w:p w:rsidR="009602FE" w:rsidRDefault="00B51B77">
            <w:pPr>
              <w:jc w:val="right"/>
              <w:rPr>
                <w:rFonts w:cs="Lucida Sans Unicode"/>
                <w:b/>
                <w:bCs/>
                <w:spacing w:val="-8"/>
                <w:sz w:val="20"/>
                <w:szCs w:val="20"/>
              </w:rPr>
            </w:pPr>
            <w:r>
              <w:rPr>
                <w:b/>
                <w:spacing w:val="-8"/>
                <w:sz w:val="20"/>
              </w:rPr>
              <w:t>1,629</w:t>
            </w:r>
          </w:p>
        </w:tc>
        <w:tc>
          <w:tcPr>
            <w:tcW w:w="1037" w:type="dxa"/>
            <w:noWrap/>
            <w:vAlign w:val="bottom"/>
          </w:tcPr>
          <w:p w:rsidR="009602FE" w:rsidRDefault="00B51B77">
            <w:pPr>
              <w:jc w:val="right"/>
              <w:rPr>
                <w:rFonts w:cs="Lucida Sans Unicode"/>
                <w:b/>
                <w:bCs/>
                <w:spacing w:val="-8"/>
                <w:sz w:val="20"/>
                <w:szCs w:val="20"/>
              </w:rPr>
            </w:pPr>
            <w:r>
              <w:rPr>
                <w:b/>
                <w:spacing w:val="-8"/>
                <w:sz w:val="20"/>
              </w:rPr>
              <w:t>1,501</w:t>
            </w:r>
          </w:p>
        </w:tc>
        <w:tc>
          <w:tcPr>
            <w:tcW w:w="1037" w:type="dxa"/>
            <w:noWrap/>
            <w:vAlign w:val="bottom"/>
          </w:tcPr>
          <w:p w:rsidR="009602FE" w:rsidRDefault="00B51B77">
            <w:pPr>
              <w:jc w:val="right"/>
              <w:rPr>
                <w:rFonts w:cs="Lucida Sans Unicode"/>
                <w:b/>
                <w:bCs/>
                <w:spacing w:val="-8"/>
                <w:sz w:val="20"/>
                <w:szCs w:val="20"/>
              </w:rPr>
            </w:pPr>
            <w:r>
              <w:rPr>
                <w:b/>
                <w:spacing w:val="-8"/>
                <w:sz w:val="20"/>
              </w:rPr>
              <w:t>9</w:t>
            </w:r>
          </w:p>
        </w:tc>
      </w:tr>
      <w:tr w:rsidR="009602FE">
        <w:trPr>
          <w:trHeight w:val="300"/>
        </w:trPr>
        <w:tc>
          <w:tcPr>
            <w:tcW w:w="3843" w:type="dxa"/>
            <w:noWrap/>
            <w:vAlign w:val="bottom"/>
          </w:tcPr>
          <w:p w:rsidR="009602FE" w:rsidRDefault="00B51B77">
            <w:pPr>
              <w:rPr>
                <w:rFonts w:cs="Lucida Sans Unicode"/>
                <w:spacing w:val="-8"/>
                <w:sz w:val="20"/>
                <w:szCs w:val="20"/>
              </w:rPr>
            </w:pPr>
            <w:r>
              <w:rPr>
                <w:spacing w:val="-8"/>
                <w:sz w:val="20"/>
              </w:rPr>
              <w:t xml:space="preserve">Income </w:t>
            </w:r>
            <w:proofErr w:type="spellStart"/>
            <w:r>
              <w:rPr>
                <w:spacing w:val="-8"/>
                <w:sz w:val="20"/>
              </w:rPr>
              <w:t>taxes</w:t>
            </w:r>
            <w:proofErr w:type="spellEnd"/>
            <w:r>
              <w:rPr>
                <w:spacing w:val="-8"/>
                <w:sz w:val="20"/>
              </w:rPr>
              <w:t xml:space="preserve"> </w:t>
            </w:r>
          </w:p>
        </w:tc>
        <w:tc>
          <w:tcPr>
            <w:tcW w:w="1037" w:type="dxa"/>
            <w:shd w:val="clear" w:color="auto" w:fill="D9D9D9"/>
            <w:noWrap/>
            <w:vAlign w:val="bottom"/>
          </w:tcPr>
          <w:p w:rsidR="009602FE" w:rsidRDefault="00B51B77">
            <w:pPr>
              <w:jc w:val="right"/>
              <w:rPr>
                <w:rFonts w:cs="Lucida Sans Unicode"/>
                <w:spacing w:val="-8"/>
                <w:sz w:val="20"/>
                <w:szCs w:val="20"/>
              </w:rPr>
            </w:pPr>
            <w:r>
              <w:rPr>
                <w:spacing w:val="-8"/>
                <w:sz w:val="20"/>
              </w:rPr>
              <w:t>4</w:t>
            </w:r>
          </w:p>
        </w:tc>
        <w:tc>
          <w:tcPr>
            <w:tcW w:w="1037" w:type="dxa"/>
            <w:noWrap/>
            <w:vAlign w:val="bottom"/>
          </w:tcPr>
          <w:p w:rsidR="009602FE" w:rsidRDefault="00B51B77">
            <w:pPr>
              <w:jc w:val="right"/>
              <w:rPr>
                <w:rFonts w:cs="Lucida Sans Unicode"/>
                <w:spacing w:val="-8"/>
                <w:sz w:val="20"/>
                <w:szCs w:val="20"/>
              </w:rPr>
            </w:pPr>
            <w:r>
              <w:rPr>
                <w:spacing w:val="-8"/>
                <w:sz w:val="20"/>
              </w:rPr>
              <w:t>-67</w:t>
            </w:r>
          </w:p>
        </w:tc>
        <w:tc>
          <w:tcPr>
            <w:tcW w:w="1037" w:type="dxa"/>
            <w:noWrap/>
            <w:vAlign w:val="bottom"/>
          </w:tcPr>
          <w:p w:rsidR="009602FE" w:rsidRDefault="009602FE">
            <w:pPr>
              <w:jc w:val="right"/>
              <w:rPr>
                <w:rFonts w:cs="Lucida Sans Unicode"/>
                <w:spacing w:val="-8"/>
                <w:sz w:val="20"/>
                <w:szCs w:val="20"/>
              </w:rPr>
            </w:pPr>
          </w:p>
        </w:tc>
        <w:tc>
          <w:tcPr>
            <w:tcW w:w="1038" w:type="dxa"/>
            <w:shd w:val="clear" w:color="auto" w:fill="D9D9D9"/>
            <w:noWrap/>
            <w:vAlign w:val="bottom"/>
          </w:tcPr>
          <w:p w:rsidR="009602FE" w:rsidRDefault="00B51B77">
            <w:pPr>
              <w:jc w:val="right"/>
              <w:rPr>
                <w:rFonts w:cs="Lucida Sans Unicode"/>
                <w:spacing w:val="-8"/>
                <w:sz w:val="20"/>
                <w:szCs w:val="20"/>
              </w:rPr>
            </w:pPr>
            <w:r>
              <w:rPr>
                <w:spacing w:val="-8"/>
                <w:sz w:val="20"/>
              </w:rPr>
              <w:t>-462</w:t>
            </w:r>
          </w:p>
        </w:tc>
        <w:tc>
          <w:tcPr>
            <w:tcW w:w="1037" w:type="dxa"/>
            <w:noWrap/>
            <w:vAlign w:val="bottom"/>
          </w:tcPr>
          <w:p w:rsidR="009602FE" w:rsidRDefault="00B51B77">
            <w:pPr>
              <w:jc w:val="right"/>
              <w:rPr>
                <w:rFonts w:cs="Lucida Sans Unicode"/>
                <w:spacing w:val="-8"/>
                <w:sz w:val="20"/>
                <w:szCs w:val="20"/>
              </w:rPr>
            </w:pPr>
            <w:r>
              <w:rPr>
                <w:spacing w:val="-8"/>
                <w:sz w:val="20"/>
              </w:rPr>
              <w:t>-487</w:t>
            </w:r>
          </w:p>
        </w:tc>
        <w:tc>
          <w:tcPr>
            <w:tcW w:w="1037" w:type="dxa"/>
            <w:noWrap/>
            <w:vAlign w:val="bottom"/>
          </w:tcPr>
          <w:p w:rsidR="009602FE" w:rsidRDefault="009602FE">
            <w:pPr>
              <w:jc w:val="right"/>
              <w:rPr>
                <w:rFonts w:cs="Lucida Sans Unicode"/>
                <w:spacing w:val="-8"/>
                <w:sz w:val="20"/>
                <w:szCs w:val="20"/>
              </w:rPr>
            </w:pPr>
          </w:p>
        </w:tc>
      </w:tr>
      <w:tr w:rsidR="009602FE">
        <w:trPr>
          <w:trHeight w:val="300"/>
        </w:trPr>
        <w:tc>
          <w:tcPr>
            <w:tcW w:w="3843" w:type="dxa"/>
            <w:noWrap/>
            <w:vAlign w:val="bottom"/>
          </w:tcPr>
          <w:p w:rsidR="009602FE" w:rsidRDefault="00B51B77">
            <w:pPr>
              <w:rPr>
                <w:rFonts w:cs="Lucida Sans Unicode"/>
                <w:b/>
                <w:bCs/>
                <w:spacing w:val="-8"/>
                <w:sz w:val="20"/>
                <w:szCs w:val="20"/>
              </w:rPr>
            </w:pPr>
            <w:r>
              <w:rPr>
                <w:b/>
                <w:spacing w:val="-8"/>
                <w:sz w:val="20"/>
              </w:rPr>
              <w:t xml:space="preserve">= Income after </w:t>
            </w:r>
            <w:proofErr w:type="spellStart"/>
            <w:r>
              <w:rPr>
                <w:b/>
                <w:spacing w:val="-8"/>
                <w:sz w:val="20"/>
              </w:rPr>
              <w:t>taxes</w:t>
            </w:r>
            <w:proofErr w:type="spellEnd"/>
          </w:p>
        </w:tc>
        <w:tc>
          <w:tcPr>
            <w:tcW w:w="1037" w:type="dxa"/>
            <w:shd w:val="clear" w:color="auto" w:fill="D9D9D9"/>
            <w:noWrap/>
            <w:vAlign w:val="bottom"/>
          </w:tcPr>
          <w:p w:rsidR="009602FE" w:rsidRDefault="00B51B77">
            <w:pPr>
              <w:jc w:val="right"/>
              <w:rPr>
                <w:rFonts w:cs="Lucida Sans Unicode"/>
                <w:b/>
                <w:bCs/>
                <w:spacing w:val="-8"/>
                <w:sz w:val="20"/>
                <w:szCs w:val="20"/>
              </w:rPr>
            </w:pPr>
            <w:r>
              <w:rPr>
                <w:b/>
                <w:spacing w:val="-8"/>
                <w:sz w:val="20"/>
              </w:rPr>
              <w:t>290</w:t>
            </w:r>
          </w:p>
        </w:tc>
        <w:tc>
          <w:tcPr>
            <w:tcW w:w="1037" w:type="dxa"/>
            <w:noWrap/>
            <w:vAlign w:val="bottom"/>
          </w:tcPr>
          <w:p w:rsidR="009602FE" w:rsidRDefault="00B51B77">
            <w:pPr>
              <w:jc w:val="right"/>
              <w:rPr>
                <w:rFonts w:cs="Lucida Sans Unicode"/>
                <w:b/>
                <w:bCs/>
                <w:spacing w:val="-8"/>
                <w:sz w:val="20"/>
                <w:szCs w:val="20"/>
              </w:rPr>
            </w:pPr>
            <w:r>
              <w:rPr>
                <w:b/>
                <w:spacing w:val="-8"/>
                <w:sz w:val="20"/>
              </w:rPr>
              <w:t>133</w:t>
            </w:r>
          </w:p>
        </w:tc>
        <w:tc>
          <w:tcPr>
            <w:tcW w:w="1037" w:type="dxa"/>
            <w:noWrap/>
            <w:vAlign w:val="bottom"/>
          </w:tcPr>
          <w:p w:rsidR="009602FE" w:rsidRDefault="00B51B77">
            <w:pPr>
              <w:jc w:val="right"/>
              <w:rPr>
                <w:rFonts w:cs="Lucida Sans Unicode"/>
                <w:b/>
                <w:bCs/>
                <w:spacing w:val="-8"/>
                <w:sz w:val="20"/>
                <w:szCs w:val="20"/>
              </w:rPr>
            </w:pPr>
            <w:r>
              <w:rPr>
                <w:b/>
                <w:spacing w:val="-8"/>
                <w:sz w:val="20"/>
              </w:rPr>
              <w:t>118</w:t>
            </w:r>
          </w:p>
        </w:tc>
        <w:tc>
          <w:tcPr>
            <w:tcW w:w="1038" w:type="dxa"/>
            <w:shd w:val="clear" w:color="auto" w:fill="D9D9D9"/>
            <w:noWrap/>
            <w:vAlign w:val="bottom"/>
          </w:tcPr>
          <w:p w:rsidR="009602FE" w:rsidRDefault="00B51B77">
            <w:pPr>
              <w:jc w:val="right"/>
              <w:rPr>
                <w:rFonts w:cs="Lucida Sans Unicode"/>
                <w:b/>
                <w:spacing w:val="-8"/>
                <w:sz w:val="20"/>
                <w:szCs w:val="20"/>
              </w:rPr>
            </w:pPr>
            <w:r>
              <w:rPr>
                <w:b/>
                <w:spacing w:val="-8"/>
                <w:sz w:val="20"/>
              </w:rPr>
              <w:t>1,167</w:t>
            </w:r>
          </w:p>
        </w:tc>
        <w:tc>
          <w:tcPr>
            <w:tcW w:w="1037" w:type="dxa"/>
            <w:noWrap/>
            <w:vAlign w:val="bottom"/>
          </w:tcPr>
          <w:p w:rsidR="009602FE" w:rsidRDefault="00B51B77">
            <w:pPr>
              <w:jc w:val="right"/>
              <w:rPr>
                <w:rFonts w:cs="Lucida Sans Unicode"/>
                <w:b/>
                <w:spacing w:val="-8"/>
                <w:sz w:val="20"/>
                <w:szCs w:val="20"/>
              </w:rPr>
            </w:pPr>
            <w:r>
              <w:rPr>
                <w:b/>
                <w:spacing w:val="-8"/>
                <w:sz w:val="20"/>
              </w:rPr>
              <w:t>1,014</w:t>
            </w:r>
          </w:p>
        </w:tc>
        <w:tc>
          <w:tcPr>
            <w:tcW w:w="1037" w:type="dxa"/>
            <w:noWrap/>
            <w:vAlign w:val="bottom"/>
          </w:tcPr>
          <w:p w:rsidR="009602FE" w:rsidRDefault="00B51B77">
            <w:pPr>
              <w:jc w:val="right"/>
              <w:rPr>
                <w:rFonts w:cs="Lucida Sans Unicode"/>
                <w:b/>
                <w:spacing w:val="-8"/>
                <w:sz w:val="20"/>
                <w:szCs w:val="20"/>
              </w:rPr>
            </w:pPr>
            <w:r>
              <w:rPr>
                <w:b/>
                <w:spacing w:val="-8"/>
                <w:sz w:val="20"/>
              </w:rPr>
              <w:t>15</w:t>
            </w:r>
          </w:p>
        </w:tc>
      </w:tr>
      <w:tr w:rsidR="009602FE">
        <w:trPr>
          <w:trHeight w:val="255"/>
        </w:trPr>
        <w:tc>
          <w:tcPr>
            <w:tcW w:w="3843" w:type="dxa"/>
            <w:noWrap/>
            <w:vAlign w:val="bottom"/>
          </w:tcPr>
          <w:p w:rsidR="009602FE" w:rsidRDefault="00B51B77">
            <w:pPr>
              <w:rPr>
                <w:rFonts w:cs="Lucida Sans Unicode"/>
                <w:spacing w:val="-8"/>
                <w:sz w:val="20"/>
                <w:szCs w:val="20"/>
                <w:lang w:val="en-US"/>
              </w:rPr>
            </w:pPr>
            <w:r>
              <w:rPr>
                <w:spacing w:val="-8"/>
                <w:sz w:val="20"/>
                <w:lang w:val="en-US"/>
              </w:rPr>
              <w:t>Attributable to non-controlling interests</w:t>
            </w:r>
          </w:p>
        </w:tc>
        <w:tc>
          <w:tcPr>
            <w:tcW w:w="1037" w:type="dxa"/>
            <w:shd w:val="clear" w:color="auto" w:fill="D9D9D9"/>
            <w:noWrap/>
            <w:vAlign w:val="bottom"/>
          </w:tcPr>
          <w:p w:rsidR="009602FE" w:rsidRDefault="00B51B77">
            <w:pPr>
              <w:jc w:val="right"/>
              <w:rPr>
                <w:rFonts w:cs="Lucida Sans Unicode"/>
                <w:spacing w:val="-8"/>
                <w:sz w:val="20"/>
                <w:szCs w:val="20"/>
              </w:rPr>
            </w:pPr>
            <w:r>
              <w:rPr>
                <w:spacing w:val="-8"/>
                <w:sz w:val="20"/>
              </w:rPr>
              <w:t>-14</w:t>
            </w:r>
          </w:p>
        </w:tc>
        <w:tc>
          <w:tcPr>
            <w:tcW w:w="1037" w:type="dxa"/>
            <w:noWrap/>
            <w:vAlign w:val="bottom"/>
          </w:tcPr>
          <w:p w:rsidR="009602FE" w:rsidRDefault="00B51B77">
            <w:pPr>
              <w:jc w:val="right"/>
              <w:rPr>
                <w:rFonts w:cs="Lucida Sans Unicode"/>
                <w:spacing w:val="-8"/>
                <w:sz w:val="20"/>
                <w:szCs w:val="20"/>
              </w:rPr>
            </w:pPr>
            <w:r>
              <w:rPr>
                <w:spacing w:val="-8"/>
                <w:sz w:val="20"/>
              </w:rPr>
              <w:t>15</w:t>
            </w:r>
          </w:p>
        </w:tc>
        <w:tc>
          <w:tcPr>
            <w:tcW w:w="1037" w:type="dxa"/>
            <w:noWrap/>
            <w:vAlign w:val="bottom"/>
          </w:tcPr>
          <w:p w:rsidR="009602FE" w:rsidRDefault="009602FE">
            <w:pPr>
              <w:jc w:val="right"/>
              <w:rPr>
                <w:rFonts w:cs="Lucida Sans Unicode"/>
                <w:spacing w:val="-8"/>
                <w:sz w:val="20"/>
                <w:szCs w:val="20"/>
              </w:rPr>
            </w:pPr>
          </w:p>
        </w:tc>
        <w:tc>
          <w:tcPr>
            <w:tcW w:w="1038" w:type="dxa"/>
            <w:shd w:val="clear" w:color="auto" w:fill="D9D9D9"/>
            <w:noWrap/>
            <w:vAlign w:val="bottom"/>
          </w:tcPr>
          <w:p w:rsidR="009602FE" w:rsidRDefault="00B51B77">
            <w:pPr>
              <w:jc w:val="right"/>
              <w:rPr>
                <w:rFonts w:cs="Lucida Sans Unicode"/>
                <w:bCs/>
                <w:spacing w:val="-8"/>
                <w:sz w:val="20"/>
                <w:szCs w:val="20"/>
              </w:rPr>
            </w:pPr>
            <w:r>
              <w:rPr>
                <w:spacing w:val="-8"/>
                <w:sz w:val="20"/>
              </w:rPr>
              <w:t>-3</w:t>
            </w:r>
          </w:p>
        </w:tc>
        <w:tc>
          <w:tcPr>
            <w:tcW w:w="1037" w:type="dxa"/>
            <w:noWrap/>
            <w:vAlign w:val="bottom"/>
          </w:tcPr>
          <w:p w:rsidR="009602FE" w:rsidRDefault="00B51B77">
            <w:pPr>
              <w:jc w:val="right"/>
              <w:rPr>
                <w:rFonts w:cs="Lucida Sans Unicode"/>
                <w:bCs/>
                <w:spacing w:val="-8"/>
                <w:sz w:val="20"/>
                <w:szCs w:val="20"/>
              </w:rPr>
            </w:pPr>
            <w:r>
              <w:rPr>
                <w:spacing w:val="-8"/>
                <w:sz w:val="20"/>
              </w:rPr>
              <w:t>-3</w:t>
            </w:r>
          </w:p>
        </w:tc>
        <w:tc>
          <w:tcPr>
            <w:tcW w:w="1037" w:type="dxa"/>
            <w:noWrap/>
            <w:vAlign w:val="bottom"/>
          </w:tcPr>
          <w:p w:rsidR="009602FE" w:rsidRDefault="009602FE">
            <w:pPr>
              <w:jc w:val="right"/>
              <w:rPr>
                <w:rFonts w:cs="Lucida Sans Unicode"/>
                <w:b/>
                <w:bCs/>
                <w:spacing w:val="-8"/>
                <w:sz w:val="20"/>
                <w:szCs w:val="20"/>
              </w:rPr>
            </w:pPr>
          </w:p>
        </w:tc>
      </w:tr>
      <w:tr w:rsidR="009602FE">
        <w:trPr>
          <w:trHeight w:val="255"/>
        </w:trPr>
        <w:tc>
          <w:tcPr>
            <w:tcW w:w="3843" w:type="dxa"/>
            <w:noWrap/>
            <w:vAlign w:val="bottom"/>
          </w:tcPr>
          <w:p w:rsidR="009602FE" w:rsidRDefault="00B51B77">
            <w:pPr>
              <w:rPr>
                <w:rFonts w:cs="Lucida Sans Unicode"/>
                <w:b/>
                <w:bCs/>
                <w:spacing w:val="-8"/>
                <w:sz w:val="20"/>
                <w:szCs w:val="20"/>
              </w:rPr>
            </w:pPr>
            <w:r>
              <w:rPr>
                <w:b/>
                <w:spacing w:val="-8"/>
                <w:sz w:val="20"/>
              </w:rPr>
              <w:t xml:space="preserve">= Net </w:t>
            </w:r>
            <w:proofErr w:type="spellStart"/>
            <w:r>
              <w:rPr>
                <w:b/>
                <w:spacing w:val="-8"/>
                <w:sz w:val="20"/>
              </w:rPr>
              <w:t>income</w:t>
            </w:r>
            <w:proofErr w:type="spellEnd"/>
          </w:p>
        </w:tc>
        <w:tc>
          <w:tcPr>
            <w:tcW w:w="1037" w:type="dxa"/>
            <w:shd w:val="clear" w:color="auto" w:fill="D9D9D9"/>
            <w:noWrap/>
            <w:vAlign w:val="bottom"/>
          </w:tcPr>
          <w:p w:rsidR="009602FE" w:rsidRDefault="00B51B77">
            <w:pPr>
              <w:jc w:val="right"/>
              <w:rPr>
                <w:rFonts w:cs="Lucida Sans Unicode"/>
                <w:b/>
                <w:bCs/>
                <w:spacing w:val="-8"/>
                <w:sz w:val="20"/>
                <w:szCs w:val="20"/>
              </w:rPr>
            </w:pPr>
            <w:r>
              <w:rPr>
                <w:b/>
                <w:spacing w:val="-8"/>
                <w:sz w:val="20"/>
              </w:rPr>
              <w:t>276</w:t>
            </w:r>
          </w:p>
        </w:tc>
        <w:tc>
          <w:tcPr>
            <w:tcW w:w="1037" w:type="dxa"/>
            <w:noWrap/>
            <w:vAlign w:val="bottom"/>
          </w:tcPr>
          <w:p w:rsidR="009602FE" w:rsidRDefault="00B51B77">
            <w:pPr>
              <w:jc w:val="right"/>
              <w:rPr>
                <w:rFonts w:cs="Lucida Sans Unicode"/>
                <w:b/>
                <w:bCs/>
                <w:spacing w:val="-8"/>
                <w:sz w:val="20"/>
                <w:szCs w:val="20"/>
              </w:rPr>
            </w:pPr>
            <w:r>
              <w:rPr>
                <w:b/>
                <w:spacing w:val="-8"/>
                <w:sz w:val="20"/>
              </w:rPr>
              <w:t>148</w:t>
            </w:r>
          </w:p>
        </w:tc>
        <w:tc>
          <w:tcPr>
            <w:tcW w:w="1037" w:type="dxa"/>
            <w:noWrap/>
            <w:vAlign w:val="bottom"/>
          </w:tcPr>
          <w:p w:rsidR="009602FE" w:rsidRDefault="00B51B77">
            <w:pPr>
              <w:jc w:val="right"/>
              <w:rPr>
                <w:rFonts w:cs="Lucida Sans Unicode"/>
                <w:b/>
                <w:bCs/>
                <w:spacing w:val="-8"/>
                <w:sz w:val="20"/>
                <w:szCs w:val="20"/>
              </w:rPr>
            </w:pPr>
            <w:r>
              <w:rPr>
                <w:b/>
                <w:spacing w:val="-8"/>
                <w:sz w:val="20"/>
              </w:rPr>
              <w:t>86</w:t>
            </w:r>
          </w:p>
        </w:tc>
        <w:tc>
          <w:tcPr>
            <w:tcW w:w="1038" w:type="dxa"/>
            <w:shd w:val="clear" w:color="auto" w:fill="D9D9D9"/>
            <w:noWrap/>
            <w:vAlign w:val="bottom"/>
          </w:tcPr>
          <w:p w:rsidR="009602FE" w:rsidRDefault="00B51B77">
            <w:pPr>
              <w:jc w:val="right"/>
              <w:rPr>
                <w:rFonts w:cs="Lucida Sans Unicode"/>
                <w:b/>
                <w:bCs/>
                <w:spacing w:val="-8"/>
                <w:sz w:val="20"/>
                <w:szCs w:val="20"/>
              </w:rPr>
            </w:pPr>
            <w:r>
              <w:rPr>
                <w:b/>
                <w:spacing w:val="-8"/>
                <w:sz w:val="20"/>
              </w:rPr>
              <w:t>1,164</w:t>
            </w:r>
          </w:p>
        </w:tc>
        <w:tc>
          <w:tcPr>
            <w:tcW w:w="1037" w:type="dxa"/>
            <w:noWrap/>
            <w:vAlign w:val="bottom"/>
          </w:tcPr>
          <w:p w:rsidR="009602FE" w:rsidRDefault="00B51B77">
            <w:pPr>
              <w:jc w:val="right"/>
              <w:rPr>
                <w:rFonts w:cs="Lucida Sans Unicode"/>
                <w:b/>
                <w:bCs/>
                <w:spacing w:val="-8"/>
                <w:sz w:val="20"/>
                <w:szCs w:val="20"/>
              </w:rPr>
            </w:pPr>
            <w:r>
              <w:rPr>
                <w:b/>
                <w:spacing w:val="-8"/>
                <w:sz w:val="20"/>
              </w:rPr>
              <w:t>1,011</w:t>
            </w:r>
          </w:p>
        </w:tc>
        <w:tc>
          <w:tcPr>
            <w:tcW w:w="1037" w:type="dxa"/>
            <w:noWrap/>
            <w:vAlign w:val="bottom"/>
          </w:tcPr>
          <w:p w:rsidR="009602FE" w:rsidRDefault="00B51B77">
            <w:pPr>
              <w:jc w:val="right"/>
              <w:rPr>
                <w:rFonts w:cs="Lucida Sans Unicode"/>
                <w:b/>
                <w:bCs/>
                <w:spacing w:val="-8"/>
                <w:sz w:val="20"/>
                <w:szCs w:val="20"/>
              </w:rPr>
            </w:pPr>
            <w:r>
              <w:rPr>
                <w:b/>
                <w:spacing w:val="-8"/>
                <w:sz w:val="20"/>
              </w:rPr>
              <w:t>15</w:t>
            </w:r>
          </w:p>
        </w:tc>
      </w:tr>
      <w:tr w:rsidR="009602FE">
        <w:trPr>
          <w:trHeight w:val="255"/>
        </w:trPr>
        <w:tc>
          <w:tcPr>
            <w:tcW w:w="3843" w:type="dxa"/>
            <w:noWrap/>
            <w:vAlign w:val="bottom"/>
          </w:tcPr>
          <w:p w:rsidR="009602FE" w:rsidRDefault="00B51B77">
            <w:pPr>
              <w:rPr>
                <w:rFonts w:cs="Lucida Sans Unicode"/>
                <w:b/>
                <w:bCs/>
                <w:spacing w:val="-8"/>
                <w:sz w:val="20"/>
                <w:szCs w:val="20"/>
              </w:rPr>
            </w:pPr>
            <w:proofErr w:type="spellStart"/>
            <w:r>
              <w:rPr>
                <w:b/>
                <w:spacing w:val="-8"/>
                <w:sz w:val="20"/>
              </w:rPr>
              <w:t>Adjusted</w:t>
            </w:r>
            <w:proofErr w:type="spellEnd"/>
            <w:r>
              <w:rPr>
                <w:b/>
                <w:spacing w:val="-8"/>
                <w:sz w:val="20"/>
              </w:rPr>
              <w:t xml:space="preserve"> </w:t>
            </w:r>
            <w:proofErr w:type="spellStart"/>
            <w:r>
              <w:rPr>
                <w:b/>
                <w:spacing w:val="-8"/>
                <w:sz w:val="20"/>
              </w:rPr>
              <w:t>net</w:t>
            </w:r>
            <w:proofErr w:type="spellEnd"/>
            <w:r>
              <w:rPr>
                <w:b/>
                <w:spacing w:val="-8"/>
                <w:sz w:val="20"/>
              </w:rPr>
              <w:t xml:space="preserve"> </w:t>
            </w:r>
            <w:proofErr w:type="spellStart"/>
            <w:r>
              <w:rPr>
                <w:b/>
                <w:spacing w:val="-8"/>
                <w:sz w:val="20"/>
              </w:rPr>
              <w:t>income</w:t>
            </w:r>
            <w:proofErr w:type="spellEnd"/>
          </w:p>
        </w:tc>
        <w:tc>
          <w:tcPr>
            <w:tcW w:w="1037" w:type="dxa"/>
            <w:shd w:val="clear" w:color="auto" w:fill="D9D9D9"/>
            <w:noWrap/>
            <w:vAlign w:val="bottom"/>
          </w:tcPr>
          <w:p w:rsidR="009602FE" w:rsidRDefault="00B51B77">
            <w:pPr>
              <w:jc w:val="right"/>
              <w:rPr>
                <w:rFonts w:cs="Lucida Sans Unicode"/>
                <w:b/>
                <w:bCs/>
                <w:spacing w:val="-8"/>
                <w:sz w:val="20"/>
                <w:szCs w:val="20"/>
              </w:rPr>
            </w:pPr>
            <w:r>
              <w:rPr>
                <w:b/>
                <w:spacing w:val="-8"/>
                <w:sz w:val="20"/>
              </w:rPr>
              <w:t>209</w:t>
            </w:r>
          </w:p>
        </w:tc>
        <w:tc>
          <w:tcPr>
            <w:tcW w:w="1037" w:type="dxa"/>
            <w:noWrap/>
            <w:vAlign w:val="bottom"/>
          </w:tcPr>
          <w:p w:rsidR="009602FE" w:rsidRDefault="00B51B77">
            <w:pPr>
              <w:jc w:val="right"/>
              <w:rPr>
                <w:rFonts w:cs="Lucida Sans Unicode"/>
                <w:b/>
                <w:bCs/>
                <w:spacing w:val="-8"/>
                <w:sz w:val="20"/>
                <w:szCs w:val="20"/>
              </w:rPr>
            </w:pPr>
            <w:r>
              <w:rPr>
                <w:b/>
                <w:spacing w:val="-8"/>
                <w:sz w:val="20"/>
              </w:rPr>
              <w:t>167</w:t>
            </w:r>
          </w:p>
        </w:tc>
        <w:tc>
          <w:tcPr>
            <w:tcW w:w="1037" w:type="dxa"/>
            <w:noWrap/>
            <w:vAlign w:val="bottom"/>
          </w:tcPr>
          <w:p w:rsidR="009602FE" w:rsidRDefault="00B51B77">
            <w:pPr>
              <w:jc w:val="right"/>
              <w:rPr>
                <w:rFonts w:cs="Lucida Sans Unicode"/>
                <w:b/>
                <w:bCs/>
                <w:spacing w:val="-8"/>
                <w:sz w:val="20"/>
                <w:szCs w:val="20"/>
              </w:rPr>
            </w:pPr>
            <w:r>
              <w:rPr>
                <w:b/>
                <w:spacing w:val="-8"/>
                <w:sz w:val="20"/>
              </w:rPr>
              <w:t>25</w:t>
            </w:r>
          </w:p>
        </w:tc>
        <w:tc>
          <w:tcPr>
            <w:tcW w:w="1038" w:type="dxa"/>
            <w:shd w:val="clear" w:color="auto" w:fill="D9D9D9"/>
            <w:noWrap/>
            <w:vAlign w:val="bottom"/>
          </w:tcPr>
          <w:p w:rsidR="009602FE" w:rsidRDefault="00B51B77">
            <w:pPr>
              <w:jc w:val="right"/>
              <w:rPr>
                <w:rFonts w:cs="Lucida Sans Unicode"/>
                <w:b/>
                <w:bCs/>
                <w:spacing w:val="-8"/>
                <w:sz w:val="20"/>
                <w:szCs w:val="20"/>
              </w:rPr>
            </w:pPr>
            <w:r>
              <w:rPr>
                <w:b/>
                <w:spacing w:val="-8"/>
                <w:sz w:val="20"/>
              </w:rPr>
              <w:t>1,155</w:t>
            </w:r>
          </w:p>
        </w:tc>
        <w:tc>
          <w:tcPr>
            <w:tcW w:w="1037" w:type="dxa"/>
            <w:noWrap/>
            <w:vAlign w:val="bottom"/>
          </w:tcPr>
          <w:p w:rsidR="009602FE" w:rsidRDefault="00B51B77">
            <w:pPr>
              <w:jc w:val="right"/>
              <w:rPr>
                <w:rFonts w:cs="Lucida Sans Unicode"/>
                <w:b/>
                <w:bCs/>
                <w:spacing w:val="-8"/>
                <w:sz w:val="20"/>
                <w:szCs w:val="20"/>
              </w:rPr>
            </w:pPr>
            <w:r>
              <w:rPr>
                <w:b/>
                <w:spacing w:val="-8"/>
                <w:sz w:val="20"/>
              </w:rPr>
              <w:t>1,256</w:t>
            </w:r>
          </w:p>
        </w:tc>
        <w:tc>
          <w:tcPr>
            <w:tcW w:w="1037" w:type="dxa"/>
            <w:noWrap/>
            <w:vAlign w:val="bottom"/>
          </w:tcPr>
          <w:p w:rsidR="009602FE" w:rsidRDefault="00B51B77">
            <w:pPr>
              <w:jc w:val="right"/>
              <w:rPr>
                <w:rFonts w:cs="Lucida Sans Unicode"/>
                <w:b/>
                <w:bCs/>
                <w:spacing w:val="-8"/>
                <w:sz w:val="20"/>
                <w:szCs w:val="20"/>
              </w:rPr>
            </w:pPr>
            <w:r>
              <w:rPr>
                <w:b/>
                <w:spacing w:val="-8"/>
                <w:sz w:val="20"/>
              </w:rPr>
              <w:t>-8</w:t>
            </w:r>
          </w:p>
        </w:tc>
      </w:tr>
    </w:tbl>
    <w:p w:rsidR="009602FE" w:rsidRDefault="00B51B77">
      <w:pPr>
        <w:rPr>
          <w:rFonts w:cs="Lucida Sans Unicode"/>
          <w:sz w:val="16"/>
          <w:szCs w:val="16"/>
          <w:lang w:val="en-US"/>
        </w:rPr>
      </w:pPr>
      <w:r>
        <w:rPr>
          <w:vertAlign w:val="superscript"/>
          <w:lang w:val="en-US"/>
        </w:rPr>
        <w:t>1)</w:t>
      </w:r>
      <w:r>
        <w:rPr>
          <w:lang w:val="en-US"/>
        </w:rPr>
        <w:t xml:space="preserve"> Including the carbon black business which was divested in July 2011.</w:t>
      </w:r>
    </w:p>
    <w:p w:rsidR="009602FE" w:rsidRDefault="009602FE">
      <w:pPr>
        <w:spacing w:line="240" w:lineRule="auto"/>
        <w:rPr>
          <w:rFonts w:cs="Lucida Sans Unicode"/>
          <w:szCs w:val="18"/>
          <w:lang w:val="en-US"/>
        </w:rPr>
      </w:pPr>
    </w:p>
    <w:p w:rsidR="009602FE" w:rsidRDefault="00B51B77">
      <w:pPr>
        <w:spacing w:line="160" w:lineRule="exact"/>
        <w:rPr>
          <w:rFonts w:cs="Lucida Sans Unicode"/>
          <w:sz w:val="16"/>
          <w:szCs w:val="16"/>
        </w:rPr>
      </w:pPr>
      <w:r>
        <w:rPr>
          <w:b/>
          <w:sz w:val="20"/>
        </w:rPr>
        <w:t xml:space="preserve">Development </w:t>
      </w:r>
      <w:proofErr w:type="spellStart"/>
      <w:r>
        <w:rPr>
          <w:b/>
          <w:sz w:val="20"/>
        </w:rPr>
        <w:t>of</w:t>
      </w:r>
      <w:proofErr w:type="spellEnd"/>
      <w:r>
        <w:rPr>
          <w:b/>
          <w:sz w:val="20"/>
        </w:rPr>
        <w:t xml:space="preserve"> </w:t>
      </w:r>
      <w:proofErr w:type="spellStart"/>
      <w:r>
        <w:rPr>
          <w:b/>
          <w:sz w:val="20"/>
        </w:rPr>
        <w:t>the</w:t>
      </w:r>
      <w:proofErr w:type="spellEnd"/>
      <w:r>
        <w:rPr>
          <w:b/>
          <w:sz w:val="20"/>
        </w:rPr>
        <w:t xml:space="preserve"> </w:t>
      </w:r>
      <w:proofErr w:type="spellStart"/>
      <w:r>
        <w:rPr>
          <w:b/>
          <w:sz w:val="20"/>
        </w:rPr>
        <w:t>segments</w:t>
      </w:r>
      <w:proofErr w:type="spellEnd"/>
      <w:r>
        <w:rPr>
          <w:rFonts w:cs="Lucida Sans Unicode"/>
          <w:b/>
          <w:bCs/>
          <w:sz w:val="20"/>
          <w:szCs w:val="20"/>
        </w:rPr>
        <w:br/>
      </w:r>
    </w:p>
    <w:tbl>
      <w:tblPr>
        <w:tblW w:w="10028" w:type="dxa"/>
        <w:tblInd w:w="70" w:type="dxa"/>
        <w:tblCellMar>
          <w:left w:w="70" w:type="dxa"/>
          <w:right w:w="70" w:type="dxa"/>
        </w:tblCellMar>
        <w:tblLook w:val="0000" w:firstRow="0" w:lastRow="0" w:firstColumn="0" w:lastColumn="0" w:noHBand="0" w:noVBand="0"/>
      </w:tblPr>
      <w:tblGrid>
        <w:gridCol w:w="2977"/>
        <w:gridCol w:w="1270"/>
        <w:gridCol w:w="1270"/>
        <w:gridCol w:w="1125"/>
        <w:gridCol w:w="1148"/>
        <w:gridCol w:w="1116"/>
        <w:gridCol w:w="45"/>
        <w:gridCol w:w="1077"/>
      </w:tblGrid>
      <w:tr w:rsidR="009602FE">
        <w:trPr>
          <w:trHeight w:val="271"/>
        </w:trPr>
        <w:tc>
          <w:tcPr>
            <w:tcW w:w="2977" w:type="dxa"/>
            <w:tcBorders>
              <w:top w:val="single" w:sz="4" w:space="0" w:color="auto"/>
              <w:left w:val="single" w:sz="4" w:space="0" w:color="auto"/>
              <w:bottom w:val="nil"/>
              <w:right w:val="single" w:sz="4" w:space="0" w:color="auto"/>
            </w:tcBorders>
            <w:noWrap/>
            <w:vAlign w:val="center"/>
          </w:tcPr>
          <w:p w:rsidR="009602FE" w:rsidRDefault="00B51B77">
            <w:pPr>
              <w:jc w:val="right"/>
              <w:rPr>
                <w:rFonts w:cs="Lucida Sans Unicode"/>
                <w:b/>
                <w:bCs/>
                <w:spacing w:val="-8"/>
                <w:sz w:val="20"/>
                <w:szCs w:val="20"/>
              </w:rPr>
            </w:pPr>
            <w:r>
              <w:rPr>
                <w:b/>
                <w:spacing w:val="-8"/>
                <w:sz w:val="20"/>
              </w:rPr>
              <w:t> </w:t>
            </w:r>
          </w:p>
        </w:tc>
        <w:tc>
          <w:tcPr>
            <w:tcW w:w="3665" w:type="dxa"/>
            <w:gridSpan w:val="3"/>
            <w:tcBorders>
              <w:top w:val="single" w:sz="4" w:space="0" w:color="auto"/>
              <w:left w:val="nil"/>
              <w:bottom w:val="single" w:sz="4" w:space="0" w:color="auto"/>
              <w:right w:val="single" w:sz="4" w:space="0" w:color="000000"/>
            </w:tcBorders>
            <w:noWrap/>
            <w:vAlign w:val="bottom"/>
          </w:tcPr>
          <w:p w:rsidR="009602FE" w:rsidRDefault="00B51B77">
            <w:pPr>
              <w:jc w:val="center"/>
              <w:rPr>
                <w:rFonts w:cs="Lucida Sans Unicode"/>
                <w:b/>
                <w:bCs/>
                <w:spacing w:val="-8"/>
                <w:sz w:val="20"/>
                <w:szCs w:val="20"/>
              </w:rPr>
            </w:pPr>
            <w:proofErr w:type="spellStart"/>
            <w:r>
              <w:rPr>
                <w:b/>
                <w:spacing w:val="-8"/>
                <w:sz w:val="20"/>
              </w:rPr>
              <w:t>Sales</w:t>
            </w:r>
            <w:proofErr w:type="spellEnd"/>
          </w:p>
        </w:tc>
        <w:tc>
          <w:tcPr>
            <w:tcW w:w="3386" w:type="dxa"/>
            <w:gridSpan w:val="4"/>
            <w:tcBorders>
              <w:top w:val="single" w:sz="4" w:space="0" w:color="auto"/>
              <w:left w:val="nil"/>
              <w:bottom w:val="single" w:sz="4" w:space="0" w:color="auto"/>
              <w:right w:val="single" w:sz="4" w:space="0" w:color="auto"/>
            </w:tcBorders>
            <w:noWrap/>
            <w:vAlign w:val="bottom"/>
          </w:tcPr>
          <w:p w:rsidR="009602FE" w:rsidRDefault="00B51B77">
            <w:pPr>
              <w:jc w:val="center"/>
              <w:rPr>
                <w:rFonts w:cs="Lucida Sans Unicode"/>
                <w:b/>
                <w:bCs/>
                <w:spacing w:val="-8"/>
                <w:sz w:val="20"/>
                <w:szCs w:val="20"/>
              </w:rPr>
            </w:pPr>
            <w:proofErr w:type="spellStart"/>
            <w:r>
              <w:rPr>
                <w:b/>
                <w:spacing w:val="-8"/>
                <w:sz w:val="20"/>
              </w:rPr>
              <w:t>Adjusted</w:t>
            </w:r>
            <w:proofErr w:type="spellEnd"/>
            <w:r>
              <w:rPr>
                <w:b/>
                <w:spacing w:val="-8"/>
                <w:sz w:val="20"/>
              </w:rPr>
              <w:t xml:space="preserve"> EBITDA</w:t>
            </w:r>
          </w:p>
        </w:tc>
      </w:tr>
      <w:tr w:rsidR="009602FE">
        <w:trPr>
          <w:trHeight w:val="255"/>
        </w:trPr>
        <w:tc>
          <w:tcPr>
            <w:tcW w:w="2977" w:type="dxa"/>
            <w:tcBorders>
              <w:top w:val="nil"/>
              <w:left w:val="single" w:sz="4" w:space="0" w:color="auto"/>
              <w:bottom w:val="nil"/>
              <w:right w:val="single" w:sz="4" w:space="0" w:color="auto"/>
            </w:tcBorders>
            <w:noWrap/>
            <w:vAlign w:val="center"/>
          </w:tcPr>
          <w:p w:rsidR="009602FE" w:rsidRDefault="009602FE">
            <w:pPr>
              <w:rPr>
                <w:rFonts w:cs="Lucida Sans Unicode"/>
                <w:b/>
                <w:bCs/>
                <w:spacing w:val="-8"/>
                <w:sz w:val="20"/>
                <w:szCs w:val="20"/>
              </w:rPr>
            </w:pPr>
          </w:p>
        </w:tc>
        <w:tc>
          <w:tcPr>
            <w:tcW w:w="1270" w:type="dxa"/>
            <w:tcBorders>
              <w:top w:val="single" w:sz="4" w:space="0" w:color="auto"/>
              <w:left w:val="nil"/>
              <w:right w:val="single" w:sz="4" w:space="0" w:color="auto"/>
            </w:tcBorders>
            <w:shd w:val="clear" w:color="auto" w:fill="D9D9D9"/>
            <w:noWrap/>
            <w:vAlign w:val="bottom"/>
          </w:tcPr>
          <w:p w:rsidR="009602FE" w:rsidRDefault="00B51B77">
            <w:pPr>
              <w:jc w:val="center"/>
              <w:rPr>
                <w:rFonts w:cs="Lucida Sans Unicode"/>
                <w:b/>
                <w:bCs/>
                <w:spacing w:val="-8"/>
                <w:sz w:val="20"/>
                <w:szCs w:val="20"/>
              </w:rPr>
            </w:pPr>
            <w:r>
              <w:rPr>
                <w:b/>
                <w:spacing w:val="-8"/>
                <w:sz w:val="20"/>
              </w:rPr>
              <w:t>Q4 2012</w:t>
            </w:r>
          </w:p>
        </w:tc>
        <w:tc>
          <w:tcPr>
            <w:tcW w:w="1270" w:type="dxa"/>
            <w:tcBorders>
              <w:top w:val="single" w:sz="4" w:space="0" w:color="auto"/>
              <w:left w:val="single" w:sz="4" w:space="0" w:color="auto"/>
              <w:bottom w:val="nil"/>
              <w:right w:val="single" w:sz="4" w:space="0" w:color="auto"/>
            </w:tcBorders>
            <w:noWrap/>
            <w:vAlign w:val="bottom"/>
          </w:tcPr>
          <w:p w:rsidR="009602FE" w:rsidRDefault="00B51B77">
            <w:pPr>
              <w:jc w:val="center"/>
              <w:rPr>
                <w:rFonts w:cs="Lucida Sans Unicode"/>
                <w:b/>
                <w:bCs/>
                <w:spacing w:val="-8"/>
                <w:sz w:val="20"/>
                <w:szCs w:val="20"/>
              </w:rPr>
            </w:pPr>
            <w:r>
              <w:rPr>
                <w:b/>
                <w:spacing w:val="-8"/>
                <w:sz w:val="20"/>
              </w:rPr>
              <w:t>Q4 2011</w:t>
            </w:r>
          </w:p>
        </w:tc>
        <w:tc>
          <w:tcPr>
            <w:tcW w:w="1125" w:type="dxa"/>
            <w:tcBorders>
              <w:top w:val="single" w:sz="4" w:space="0" w:color="auto"/>
              <w:left w:val="single" w:sz="4" w:space="0" w:color="auto"/>
              <w:bottom w:val="nil"/>
              <w:right w:val="single" w:sz="4" w:space="0" w:color="auto"/>
            </w:tcBorders>
            <w:noWrap/>
            <w:vAlign w:val="bottom"/>
          </w:tcPr>
          <w:p w:rsidR="009602FE" w:rsidRDefault="00B51B77">
            <w:pPr>
              <w:jc w:val="center"/>
              <w:rPr>
                <w:rFonts w:cs="Lucida Sans Unicode"/>
                <w:b/>
                <w:bCs/>
                <w:spacing w:val="-8"/>
                <w:sz w:val="20"/>
                <w:szCs w:val="20"/>
              </w:rPr>
            </w:pPr>
            <w:r>
              <w:rPr>
                <w:b/>
                <w:spacing w:val="-8"/>
                <w:sz w:val="20"/>
              </w:rPr>
              <w:t>Change</w:t>
            </w:r>
          </w:p>
        </w:tc>
        <w:tc>
          <w:tcPr>
            <w:tcW w:w="1148" w:type="dxa"/>
            <w:tcBorders>
              <w:top w:val="single" w:sz="4" w:space="0" w:color="auto"/>
              <w:left w:val="nil"/>
              <w:right w:val="single" w:sz="4" w:space="0" w:color="auto"/>
            </w:tcBorders>
            <w:shd w:val="clear" w:color="auto" w:fill="D9D9D9"/>
            <w:noWrap/>
            <w:vAlign w:val="bottom"/>
          </w:tcPr>
          <w:p w:rsidR="009602FE" w:rsidRDefault="00B51B77">
            <w:pPr>
              <w:jc w:val="center"/>
              <w:rPr>
                <w:rFonts w:cs="Lucida Sans Unicode"/>
                <w:b/>
                <w:bCs/>
                <w:spacing w:val="-8"/>
                <w:sz w:val="20"/>
                <w:szCs w:val="20"/>
              </w:rPr>
            </w:pPr>
            <w:r>
              <w:rPr>
                <w:b/>
                <w:spacing w:val="-8"/>
                <w:sz w:val="20"/>
              </w:rPr>
              <w:t>Q4 2012</w:t>
            </w:r>
          </w:p>
        </w:tc>
        <w:tc>
          <w:tcPr>
            <w:tcW w:w="1161" w:type="dxa"/>
            <w:gridSpan w:val="2"/>
            <w:tcBorders>
              <w:top w:val="single" w:sz="4" w:space="0" w:color="auto"/>
              <w:left w:val="single" w:sz="4" w:space="0" w:color="auto"/>
              <w:bottom w:val="nil"/>
              <w:right w:val="single" w:sz="4" w:space="0" w:color="auto"/>
            </w:tcBorders>
            <w:noWrap/>
            <w:vAlign w:val="bottom"/>
          </w:tcPr>
          <w:p w:rsidR="009602FE" w:rsidRDefault="00B51B77">
            <w:pPr>
              <w:jc w:val="center"/>
              <w:rPr>
                <w:rFonts w:cs="Lucida Sans Unicode"/>
                <w:b/>
                <w:bCs/>
                <w:spacing w:val="-8"/>
                <w:sz w:val="20"/>
                <w:szCs w:val="20"/>
              </w:rPr>
            </w:pPr>
            <w:r>
              <w:rPr>
                <w:b/>
                <w:spacing w:val="-8"/>
                <w:sz w:val="20"/>
              </w:rPr>
              <w:t>Q4 2011</w:t>
            </w:r>
          </w:p>
        </w:tc>
        <w:tc>
          <w:tcPr>
            <w:tcW w:w="1077" w:type="dxa"/>
            <w:tcBorders>
              <w:top w:val="single" w:sz="4" w:space="0" w:color="auto"/>
              <w:left w:val="single" w:sz="4" w:space="0" w:color="auto"/>
              <w:bottom w:val="nil"/>
              <w:right w:val="single" w:sz="4" w:space="0" w:color="auto"/>
            </w:tcBorders>
            <w:noWrap/>
            <w:vAlign w:val="bottom"/>
          </w:tcPr>
          <w:p w:rsidR="009602FE" w:rsidRDefault="00B51B77">
            <w:pPr>
              <w:jc w:val="center"/>
              <w:rPr>
                <w:rFonts w:cs="Lucida Sans Unicode"/>
                <w:b/>
                <w:bCs/>
                <w:spacing w:val="-8"/>
                <w:sz w:val="20"/>
                <w:szCs w:val="20"/>
              </w:rPr>
            </w:pPr>
            <w:r>
              <w:rPr>
                <w:b/>
                <w:spacing w:val="-8"/>
                <w:sz w:val="20"/>
              </w:rPr>
              <w:t>Change</w:t>
            </w:r>
          </w:p>
        </w:tc>
      </w:tr>
      <w:tr w:rsidR="009602FE">
        <w:trPr>
          <w:trHeight w:val="255"/>
        </w:trPr>
        <w:tc>
          <w:tcPr>
            <w:tcW w:w="2977" w:type="dxa"/>
            <w:tcBorders>
              <w:top w:val="nil"/>
              <w:left w:val="single" w:sz="4" w:space="0" w:color="auto"/>
              <w:bottom w:val="single" w:sz="4" w:space="0" w:color="auto"/>
              <w:right w:val="single" w:sz="4" w:space="0" w:color="auto"/>
            </w:tcBorders>
            <w:noWrap/>
            <w:vAlign w:val="center"/>
          </w:tcPr>
          <w:p w:rsidR="009602FE" w:rsidRDefault="00B51B77">
            <w:pPr>
              <w:rPr>
                <w:rFonts w:cs="Lucida Sans Unicode"/>
                <w:b/>
                <w:bCs/>
                <w:spacing w:val="-8"/>
                <w:sz w:val="20"/>
                <w:szCs w:val="20"/>
              </w:rPr>
            </w:pPr>
            <w:r>
              <w:rPr>
                <w:b/>
                <w:spacing w:val="-8"/>
                <w:sz w:val="20"/>
              </w:rPr>
              <w:t> </w:t>
            </w:r>
          </w:p>
        </w:tc>
        <w:tc>
          <w:tcPr>
            <w:tcW w:w="1270" w:type="dxa"/>
            <w:tcBorders>
              <w:left w:val="nil"/>
              <w:bottom w:val="single" w:sz="4" w:space="0" w:color="auto"/>
              <w:right w:val="single" w:sz="4" w:space="0" w:color="auto"/>
            </w:tcBorders>
            <w:shd w:val="clear" w:color="auto" w:fill="D9D9D9"/>
            <w:vAlign w:val="center"/>
          </w:tcPr>
          <w:p w:rsidR="009602FE" w:rsidRDefault="00B51B77">
            <w:pPr>
              <w:jc w:val="center"/>
              <w:rPr>
                <w:rFonts w:cs="Lucida Sans Unicode"/>
                <w:b/>
                <w:bCs/>
                <w:spacing w:val="-8"/>
                <w:sz w:val="20"/>
                <w:szCs w:val="20"/>
              </w:rPr>
            </w:pPr>
            <w:r>
              <w:rPr>
                <w:b/>
                <w:spacing w:val="-8"/>
                <w:sz w:val="20"/>
              </w:rPr>
              <w:t>€ </w:t>
            </w:r>
            <w:proofErr w:type="spellStart"/>
            <w:r>
              <w:rPr>
                <w:b/>
                <w:spacing w:val="-8"/>
                <w:sz w:val="20"/>
              </w:rPr>
              <w:t>million</w:t>
            </w:r>
            <w:proofErr w:type="spellEnd"/>
          </w:p>
        </w:tc>
        <w:tc>
          <w:tcPr>
            <w:tcW w:w="1270" w:type="dxa"/>
            <w:tcBorders>
              <w:left w:val="single" w:sz="4" w:space="0" w:color="auto"/>
              <w:bottom w:val="single" w:sz="4" w:space="0" w:color="auto"/>
              <w:right w:val="single" w:sz="4" w:space="0" w:color="auto"/>
            </w:tcBorders>
            <w:vAlign w:val="center"/>
          </w:tcPr>
          <w:p w:rsidR="009602FE" w:rsidRDefault="00B51B77">
            <w:pPr>
              <w:jc w:val="center"/>
              <w:rPr>
                <w:rFonts w:cs="Lucida Sans Unicode"/>
                <w:b/>
                <w:bCs/>
                <w:spacing w:val="-8"/>
                <w:sz w:val="20"/>
                <w:szCs w:val="20"/>
              </w:rPr>
            </w:pPr>
            <w:r>
              <w:rPr>
                <w:b/>
                <w:spacing w:val="-8"/>
                <w:sz w:val="20"/>
              </w:rPr>
              <w:t>€ </w:t>
            </w:r>
            <w:proofErr w:type="spellStart"/>
            <w:r>
              <w:rPr>
                <w:b/>
                <w:spacing w:val="-8"/>
                <w:sz w:val="20"/>
              </w:rPr>
              <w:t>million</w:t>
            </w:r>
            <w:proofErr w:type="spellEnd"/>
          </w:p>
        </w:tc>
        <w:tc>
          <w:tcPr>
            <w:tcW w:w="1125" w:type="dxa"/>
            <w:tcBorders>
              <w:left w:val="single" w:sz="4" w:space="0" w:color="auto"/>
              <w:bottom w:val="single" w:sz="4" w:space="0" w:color="auto"/>
              <w:right w:val="single" w:sz="4" w:space="0" w:color="auto"/>
            </w:tcBorders>
            <w:vAlign w:val="center"/>
          </w:tcPr>
          <w:p w:rsidR="009602FE" w:rsidRDefault="00B51B77">
            <w:pPr>
              <w:jc w:val="center"/>
              <w:rPr>
                <w:rFonts w:cs="Lucida Sans Unicode"/>
                <w:b/>
                <w:bCs/>
                <w:spacing w:val="-8"/>
                <w:sz w:val="20"/>
                <w:szCs w:val="20"/>
              </w:rPr>
            </w:pPr>
            <w:r>
              <w:rPr>
                <w:b/>
                <w:spacing w:val="-8"/>
                <w:sz w:val="20"/>
              </w:rPr>
              <w:t>in %</w:t>
            </w:r>
          </w:p>
        </w:tc>
        <w:tc>
          <w:tcPr>
            <w:tcW w:w="1148" w:type="dxa"/>
            <w:tcBorders>
              <w:left w:val="nil"/>
              <w:bottom w:val="single" w:sz="4" w:space="0" w:color="auto"/>
              <w:right w:val="single" w:sz="4" w:space="0" w:color="auto"/>
            </w:tcBorders>
            <w:shd w:val="clear" w:color="auto" w:fill="D9D9D9"/>
            <w:vAlign w:val="center"/>
          </w:tcPr>
          <w:p w:rsidR="009602FE" w:rsidRDefault="00B51B77">
            <w:pPr>
              <w:jc w:val="center"/>
              <w:rPr>
                <w:rFonts w:cs="Lucida Sans Unicode"/>
                <w:b/>
                <w:bCs/>
                <w:spacing w:val="-8"/>
                <w:sz w:val="20"/>
                <w:szCs w:val="20"/>
              </w:rPr>
            </w:pPr>
            <w:r>
              <w:rPr>
                <w:b/>
                <w:spacing w:val="-8"/>
                <w:sz w:val="20"/>
              </w:rPr>
              <w:t>€ </w:t>
            </w:r>
            <w:proofErr w:type="spellStart"/>
            <w:r>
              <w:rPr>
                <w:b/>
                <w:spacing w:val="-8"/>
                <w:sz w:val="20"/>
              </w:rPr>
              <w:t>million</w:t>
            </w:r>
            <w:proofErr w:type="spellEnd"/>
          </w:p>
        </w:tc>
        <w:tc>
          <w:tcPr>
            <w:tcW w:w="1161" w:type="dxa"/>
            <w:gridSpan w:val="2"/>
            <w:tcBorders>
              <w:top w:val="nil"/>
              <w:left w:val="single" w:sz="4" w:space="0" w:color="auto"/>
              <w:bottom w:val="single" w:sz="4" w:space="0" w:color="auto"/>
              <w:right w:val="single" w:sz="4" w:space="0" w:color="auto"/>
            </w:tcBorders>
            <w:vAlign w:val="center"/>
          </w:tcPr>
          <w:p w:rsidR="009602FE" w:rsidRDefault="00B51B77">
            <w:pPr>
              <w:jc w:val="center"/>
              <w:rPr>
                <w:rFonts w:cs="Lucida Sans Unicode"/>
                <w:b/>
                <w:bCs/>
                <w:spacing w:val="-8"/>
                <w:sz w:val="20"/>
                <w:szCs w:val="20"/>
              </w:rPr>
            </w:pPr>
            <w:r>
              <w:rPr>
                <w:b/>
                <w:spacing w:val="-8"/>
                <w:sz w:val="20"/>
              </w:rPr>
              <w:t>€ </w:t>
            </w:r>
            <w:proofErr w:type="spellStart"/>
            <w:r>
              <w:rPr>
                <w:b/>
                <w:spacing w:val="-8"/>
                <w:sz w:val="20"/>
              </w:rPr>
              <w:t>million</w:t>
            </w:r>
            <w:proofErr w:type="spellEnd"/>
          </w:p>
        </w:tc>
        <w:tc>
          <w:tcPr>
            <w:tcW w:w="1077" w:type="dxa"/>
            <w:tcBorders>
              <w:top w:val="nil"/>
              <w:left w:val="single" w:sz="4" w:space="0" w:color="auto"/>
              <w:bottom w:val="single" w:sz="4" w:space="0" w:color="auto"/>
              <w:right w:val="single" w:sz="4" w:space="0" w:color="auto"/>
            </w:tcBorders>
            <w:vAlign w:val="center"/>
          </w:tcPr>
          <w:p w:rsidR="009602FE" w:rsidRDefault="00B51B77">
            <w:pPr>
              <w:jc w:val="center"/>
              <w:rPr>
                <w:rFonts w:cs="Lucida Sans Unicode"/>
                <w:b/>
                <w:bCs/>
                <w:spacing w:val="-8"/>
                <w:sz w:val="20"/>
                <w:szCs w:val="20"/>
              </w:rPr>
            </w:pPr>
            <w:r>
              <w:rPr>
                <w:b/>
                <w:spacing w:val="-8"/>
                <w:sz w:val="20"/>
              </w:rPr>
              <w:t>in %</w:t>
            </w:r>
          </w:p>
        </w:tc>
      </w:tr>
      <w:tr w:rsidR="009602FE">
        <w:trPr>
          <w:trHeight w:val="300"/>
        </w:trPr>
        <w:tc>
          <w:tcPr>
            <w:tcW w:w="2977" w:type="dxa"/>
            <w:tcBorders>
              <w:top w:val="single" w:sz="4" w:space="0" w:color="auto"/>
              <w:left w:val="single" w:sz="4" w:space="0" w:color="auto"/>
              <w:bottom w:val="single" w:sz="4" w:space="0" w:color="auto"/>
              <w:right w:val="single" w:sz="4" w:space="0" w:color="auto"/>
            </w:tcBorders>
            <w:noWrap/>
            <w:vAlign w:val="center"/>
          </w:tcPr>
          <w:p w:rsidR="009602FE" w:rsidRDefault="00B51B77">
            <w:pPr>
              <w:rPr>
                <w:rFonts w:cs="Lucida Sans Unicode"/>
                <w:spacing w:val="-8"/>
                <w:sz w:val="20"/>
                <w:szCs w:val="20"/>
              </w:rPr>
            </w:pPr>
            <w:r>
              <w:rPr>
                <w:spacing w:val="-8"/>
                <w:sz w:val="20"/>
              </w:rPr>
              <w:t xml:space="preserve">Consumer, </w:t>
            </w:r>
            <w:proofErr w:type="spellStart"/>
            <w:r>
              <w:rPr>
                <w:spacing w:val="-8"/>
                <w:sz w:val="20"/>
              </w:rPr>
              <w:t>Health</w:t>
            </w:r>
            <w:proofErr w:type="spellEnd"/>
            <w:r>
              <w:rPr>
                <w:spacing w:val="-8"/>
                <w:sz w:val="20"/>
              </w:rPr>
              <w:t xml:space="preserve"> &amp; Nutrition</w:t>
            </w:r>
          </w:p>
        </w:tc>
        <w:tc>
          <w:tcPr>
            <w:tcW w:w="1270" w:type="dxa"/>
            <w:tcBorders>
              <w:top w:val="single" w:sz="4" w:space="0" w:color="auto"/>
              <w:left w:val="nil"/>
              <w:bottom w:val="single" w:sz="4" w:space="0" w:color="auto"/>
              <w:right w:val="single" w:sz="4" w:space="0" w:color="auto"/>
            </w:tcBorders>
            <w:shd w:val="clear" w:color="auto" w:fill="D9D9D9"/>
            <w:noWrap/>
            <w:vAlign w:val="center"/>
          </w:tcPr>
          <w:p w:rsidR="009602FE" w:rsidRDefault="00B51B77">
            <w:pPr>
              <w:jc w:val="right"/>
              <w:rPr>
                <w:rFonts w:cs="Lucida Sans Unicode"/>
                <w:spacing w:val="-8"/>
                <w:sz w:val="20"/>
                <w:szCs w:val="20"/>
              </w:rPr>
            </w:pPr>
            <w:r>
              <w:rPr>
                <w:spacing w:val="-8"/>
                <w:sz w:val="20"/>
              </w:rPr>
              <w:t>1,039</w:t>
            </w:r>
          </w:p>
        </w:tc>
        <w:tc>
          <w:tcPr>
            <w:tcW w:w="1270" w:type="dxa"/>
            <w:tcBorders>
              <w:top w:val="single" w:sz="4" w:space="0" w:color="auto"/>
              <w:left w:val="single" w:sz="4" w:space="0" w:color="auto"/>
              <w:bottom w:val="single" w:sz="4" w:space="0" w:color="auto"/>
              <w:right w:val="single" w:sz="4" w:space="0" w:color="auto"/>
            </w:tcBorders>
            <w:noWrap/>
            <w:vAlign w:val="center"/>
          </w:tcPr>
          <w:p w:rsidR="009602FE" w:rsidRDefault="00B51B77">
            <w:pPr>
              <w:jc w:val="right"/>
              <w:rPr>
                <w:rFonts w:cs="Lucida Sans Unicode"/>
                <w:spacing w:val="-8"/>
                <w:sz w:val="20"/>
                <w:szCs w:val="20"/>
              </w:rPr>
            </w:pPr>
            <w:r>
              <w:rPr>
                <w:spacing w:val="-8"/>
                <w:sz w:val="20"/>
              </w:rPr>
              <w:t>1,060</w:t>
            </w:r>
          </w:p>
        </w:tc>
        <w:tc>
          <w:tcPr>
            <w:tcW w:w="1125" w:type="dxa"/>
            <w:tcBorders>
              <w:top w:val="nil"/>
              <w:left w:val="single" w:sz="4" w:space="0" w:color="auto"/>
              <w:bottom w:val="single" w:sz="4" w:space="0" w:color="auto"/>
              <w:right w:val="single" w:sz="4" w:space="0" w:color="auto"/>
            </w:tcBorders>
            <w:noWrap/>
            <w:vAlign w:val="bottom"/>
          </w:tcPr>
          <w:p w:rsidR="009602FE" w:rsidRDefault="00B51B77">
            <w:pPr>
              <w:jc w:val="right"/>
              <w:rPr>
                <w:rFonts w:cs="Lucida Sans Unicode"/>
                <w:spacing w:val="-8"/>
                <w:sz w:val="20"/>
                <w:szCs w:val="20"/>
              </w:rPr>
            </w:pPr>
            <w:r>
              <w:rPr>
                <w:spacing w:val="-8"/>
                <w:sz w:val="20"/>
              </w:rPr>
              <w:t>-2</w:t>
            </w:r>
          </w:p>
        </w:tc>
        <w:tc>
          <w:tcPr>
            <w:tcW w:w="1148" w:type="dxa"/>
            <w:tcBorders>
              <w:top w:val="single" w:sz="4" w:space="0" w:color="auto"/>
              <w:left w:val="nil"/>
              <w:bottom w:val="single" w:sz="4" w:space="0" w:color="auto"/>
              <w:right w:val="single" w:sz="4" w:space="0" w:color="auto"/>
            </w:tcBorders>
            <w:shd w:val="clear" w:color="auto" w:fill="D9D9D9"/>
            <w:noWrap/>
            <w:vAlign w:val="center"/>
          </w:tcPr>
          <w:p w:rsidR="009602FE" w:rsidRDefault="00B51B77">
            <w:pPr>
              <w:jc w:val="right"/>
              <w:rPr>
                <w:rFonts w:cs="Lucida Sans Unicode"/>
                <w:spacing w:val="-8"/>
                <w:sz w:val="20"/>
                <w:szCs w:val="20"/>
              </w:rPr>
            </w:pPr>
            <w:r>
              <w:rPr>
                <w:spacing w:val="-8"/>
                <w:sz w:val="20"/>
              </w:rPr>
              <w:t>228</w:t>
            </w:r>
          </w:p>
        </w:tc>
        <w:tc>
          <w:tcPr>
            <w:tcW w:w="1161" w:type="dxa"/>
            <w:gridSpan w:val="2"/>
            <w:tcBorders>
              <w:top w:val="single" w:sz="4" w:space="0" w:color="auto"/>
              <w:left w:val="single" w:sz="4" w:space="0" w:color="auto"/>
              <w:bottom w:val="single" w:sz="4" w:space="0" w:color="auto"/>
              <w:right w:val="single" w:sz="4" w:space="0" w:color="auto"/>
            </w:tcBorders>
            <w:noWrap/>
            <w:vAlign w:val="center"/>
          </w:tcPr>
          <w:p w:rsidR="009602FE" w:rsidRDefault="00B51B77">
            <w:pPr>
              <w:jc w:val="right"/>
              <w:rPr>
                <w:rFonts w:cs="Lucida Sans Unicode"/>
                <w:spacing w:val="-8"/>
                <w:sz w:val="20"/>
                <w:szCs w:val="20"/>
              </w:rPr>
            </w:pPr>
            <w:r>
              <w:rPr>
                <w:spacing w:val="-8"/>
                <w:sz w:val="20"/>
              </w:rPr>
              <w:t>241</w:t>
            </w:r>
          </w:p>
        </w:tc>
        <w:tc>
          <w:tcPr>
            <w:tcW w:w="1077" w:type="dxa"/>
            <w:tcBorders>
              <w:top w:val="nil"/>
              <w:left w:val="single" w:sz="4" w:space="0" w:color="auto"/>
              <w:bottom w:val="single" w:sz="4" w:space="0" w:color="auto"/>
              <w:right w:val="single" w:sz="4" w:space="0" w:color="auto"/>
            </w:tcBorders>
            <w:noWrap/>
            <w:vAlign w:val="bottom"/>
          </w:tcPr>
          <w:p w:rsidR="009602FE" w:rsidRDefault="00B51B77">
            <w:pPr>
              <w:jc w:val="right"/>
              <w:rPr>
                <w:rFonts w:cs="Lucida Sans Unicode"/>
                <w:spacing w:val="-8"/>
                <w:sz w:val="20"/>
                <w:szCs w:val="20"/>
              </w:rPr>
            </w:pPr>
            <w:r>
              <w:rPr>
                <w:spacing w:val="-8"/>
                <w:sz w:val="20"/>
              </w:rPr>
              <w:t>-5</w:t>
            </w:r>
          </w:p>
        </w:tc>
      </w:tr>
      <w:tr w:rsidR="009602FE">
        <w:trPr>
          <w:trHeight w:val="300"/>
        </w:trPr>
        <w:tc>
          <w:tcPr>
            <w:tcW w:w="2977" w:type="dxa"/>
            <w:tcBorders>
              <w:top w:val="nil"/>
              <w:left w:val="single" w:sz="4" w:space="0" w:color="auto"/>
              <w:bottom w:val="single" w:sz="4" w:space="0" w:color="auto"/>
              <w:right w:val="single" w:sz="4" w:space="0" w:color="auto"/>
            </w:tcBorders>
            <w:noWrap/>
            <w:vAlign w:val="center"/>
          </w:tcPr>
          <w:p w:rsidR="009602FE" w:rsidRDefault="00B51B77">
            <w:pPr>
              <w:rPr>
                <w:rFonts w:cs="Lucida Sans Unicode"/>
                <w:spacing w:val="-8"/>
                <w:sz w:val="20"/>
                <w:szCs w:val="20"/>
              </w:rPr>
            </w:pPr>
            <w:proofErr w:type="spellStart"/>
            <w:r>
              <w:rPr>
                <w:spacing w:val="-8"/>
                <w:sz w:val="20"/>
              </w:rPr>
              <w:t>Resource</w:t>
            </w:r>
            <w:proofErr w:type="spellEnd"/>
            <w:r>
              <w:rPr>
                <w:spacing w:val="-8"/>
                <w:sz w:val="20"/>
              </w:rPr>
              <w:t xml:space="preserve"> Efficiency </w:t>
            </w:r>
          </w:p>
        </w:tc>
        <w:tc>
          <w:tcPr>
            <w:tcW w:w="1270" w:type="dxa"/>
            <w:tcBorders>
              <w:top w:val="single" w:sz="4" w:space="0" w:color="auto"/>
              <w:left w:val="nil"/>
              <w:bottom w:val="single" w:sz="4" w:space="0" w:color="auto"/>
              <w:right w:val="single" w:sz="4" w:space="0" w:color="auto"/>
            </w:tcBorders>
            <w:shd w:val="clear" w:color="auto" w:fill="D9D9D9"/>
            <w:noWrap/>
            <w:vAlign w:val="center"/>
          </w:tcPr>
          <w:p w:rsidR="009602FE" w:rsidRDefault="00B51B77">
            <w:pPr>
              <w:jc w:val="right"/>
              <w:rPr>
                <w:rFonts w:cs="Lucida Sans Unicode"/>
                <w:spacing w:val="-8"/>
                <w:sz w:val="20"/>
                <w:szCs w:val="20"/>
              </w:rPr>
            </w:pPr>
            <w:r>
              <w:rPr>
                <w:spacing w:val="-8"/>
                <w:sz w:val="20"/>
              </w:rPr>
              <w:t>691</w:t>
            </w:r>
          </w:p>
        </w:tc>
        <w:tc>
          <w:tcPr>
            <w:tcW w:w="1270" w:type="dxa"/>
            <w:tcBorders>
              <w:top w:val="nil"/>
              <w:left w:val="single" w:sz="4" w:space="0" w:color="auto"/>
              <w:bottom w:val="single" w:sz="4" w:space="0" w:color="auto"/>
              <w:right w:val="single" w:sz="4" w:space="0" w:color="auto"/>
            </w:tcBorders>
            <w:noWrap/>
            <w:vAlign w:val="center"/>
          </w:tcPr>
          <w:p w:rsidR="009602FE" w:rsidRDefault="00B51B77">
            <w:pPr>
              <w:jc w:val="right"/>
              <w:rPr>
                <w:rFonts w:cs="Lucida Sans Unicode"/>
                <w:spacing w:val="-8"/>
                <w:sz w:val="20"/>
                <w:szCs w:val="20"/>
              </w:rPr>
            </w:pPr>
            <w:r>
              <w:rPr>
                <w:spacing w:val="-8"/>
                <w:sz w:val="20"/>
              </w:rPr>
              <w:t>741</w:t>
            </w:r>
          </w:p>
        </w:tc>
        <w:tc>
          <w:tcPr>
            <w:tcW w:w="1125" w:type="dxa"/>
            <w:tcBorders>
              <w:top w:val="nil"/>
              <w:left w:val="single" w:sz="4" w:space="0" w:color="auto"/>
              <w:bottom w:val="single" w:sz="4" w:space="0" w:color="auto"/>
              <w:right w:val="single" w:sz="4" w:space="0" w:color="auto"/>
            </w:tcBorders>
            <w:noWrap/>
            <w:vAlign w:val="bottom"/>
          </w:tcPr>
          <w:p w:rsidR="009602FE" w:rsidRDefault="00B51B77">
            <w:pPr>
              <w:jc w:val="right"/>
              <w:rPr>
                <w:rFonts w:cs="Lucida Sans Unicode"/>
                <w:spacing w:val="-8"/>
                <w:sz w:val="20"/>
                <w:szCs w:val="20"/>
              </w:rPr>
            </w:pPr>
            <w:r>
              <w:rPr>
                <w:spacing w:val="-8"/>
                <w:sz w:val="20"/>
              </w:rPr>
              <w:t>-7</w:t>
            </w:r>
          </w:p>
        </w:tc>
        <w:tc>
          <w:tcPr>
            <w:tcW w:w="1148" w:type="dxa"/>
            <w:tcBorders>
              <w:top w:val="single" w:sz="4" w:space="0" w:color="auto"/>
              <w:left w:val="nil"/>
              <w:bottom w:val="single" w:sz="4" w:space="0" w:color="auto"/>
              <w:right w:val="single" w:sz="4" w:space="0" w:color="auto"/>
            </w:tcBorders>
            <w:shd w:val="clear" w:color="auto" w:fill="D9D9D9"/>
            <w:noWrap/>
            <w:vAlign w:val="center"/>
          </w:tcPr>
          <w:p w:rsidR="009602FE" w:rsidRDefault="00B51B77">
            <w:pPr>
              <w:jc w:val="right"/>
              <w:rPr>
                <w:rFonts w:cs="Lucida Sans Unicode"/>
                <w:spacing w:val="-8"/>
                <w:sz w:val="20"/>
                <w:szCs w:val="20"/>
              </w:rPr>
            </w:pPr>
            <w:r>
              <w:rPr>
                <w:spacing w:val="-8"/>
                <w:sz w:val="20"/>
              </w:rPr>
              <w:t>115</w:t>
            </w:r>
          </w:p>
        </w:tc>
        <w:tc>
          <w:tcPr>
            <w:tcW w:w="1161" w:type="dxa"/>
            <w:gridSpan w:val="2"/>
            <w:tcBorders>
              <w:top w:val="nil"/>
              <w:left w:val="single" w:sz="4" w:space="0" w:color="auto"/>
              <w:bottom w:val="single" w:sz="4" w:space="0" w:color="auto"/>
              <w:right w:val="single" w:sz="4" w:space="0" w:color="auto"/>
            </w:tcBorders>
            <w:noWrap/>
            <w:vAlign w:val="center"/>
          </w:tcPr>
          <w:p w:rsidR="009602FE" w:rsidRDefault="00B51B77">
            <w:pPr>
              <w:jc w:val="right"/>
              <w:rPr>
                <w:rFonts w:cs="Lucida Sans Unicode"/>
                <w:spacing w:val="-8"/>
                <w:sz w:val="20"/>
                <w:szCs w:val="20"/>
              </w:rPr>
            </w:pPr>
            <w:r>
              <w:rPr>
                <w:spacing w:val="-8"/>
                <w:sz w:val="20"/>
              </w:rPr>
              <w:t>116</w:t>
            </w:r>
          </w:p>
        </w:tc>
        <w:tc>
          <w:tcPr>
            <w:tcW w:w="1077" w:type="dxa"/>
            <w:tcBorders>
              <w:top w:val="nil"/>
              <w:left w:val="single" w:sz="4" w:space="0" w:color="auto"/>
              <w:bottom w:val="single" w:sz="4" w:space="0" w:color="auto"/>
              <w:right w:val="single" w:sz="4" w:space="0" w:color="auto"/>
            </w:tcBorders>
            <w:noWrap/>
            <w:vAlign w:val="bottom"/>
          </w:tcPr>
          <w:p w:rsidR="009602FE" w:rsidRDefault="00B51B77">
            <w:pPr>
              <w:jc w:val="right"/>
              <w:rPr>
                <w:rFonts w:cs="Lucida Sans Unicode"/>
                <w:spacing w:val="-8"/>
                <w:sz w:val="20"/>
                <w:szCs w:val="20"/>
              </w:rPr>
            </w:pPr>
            <w:r>
              <w:rPr>
                <w:spacing w:val="-8"/>
                <w:sz w:val="20"/>
              </w:rPr>
              <w:t>-1</w:t>
            </w:r>
          </w:p>
        </w:tc>
      </w:tr>
      <w:tr w:rsidR="009602FE">
        <w:trPr>
          <w:trHeight w:val="300"/>
        </w:trPr>
        <w:tc>
          <w:tcPr>
            <w:tcW w:w="2977" w:type="dxa"/>
            <w:tcBorders>
              <w:top w:val="nil"/>
              <w:left w:val="single" w:sz="4" w:space="0" w:color="auto"/>
              <w:bottom w:val="single" w:sz="4" w:space="0" w:color="auto"/>
              <w:right w:val="single" w:sz="4" w:space="0" w:color="auto"/>
            </w:tcBorders>
            <w:noWrap/>
            <w:vAlign w:val="center"/>
          </w:tcPr>
          <w:p w:rsidR="009602FE" w:rsidRDefault="00B51B77">
            <w:pPr>
              <w:rPr>
                <w:rFonts w:cs="Lucida Sans Unicode"/>
                <w:spacing w:val="-8"/>
                <w:sz w:val="20"/>
                <w:szCs w:val="20"/>
              </w:rPr>
            </w:pPr>
            <w:r>
              <w:rPr>
                <w:spacing w:val="-8"/>
                <w:sz w:val="20"/>
              </w:rPr>
              <w:t>Specialty Materials</w:t>
            </w:r>
          </w:p>
        </w:tc>
        <w:tc>
          <w:tcPr>
            <w:tcW w:w="1270" w:type="dxa"/>
            <w:tcBorders>
              <w:top w:val="single" w:sz="4" w:space="0" w:color="auto"/>
              <w:left w:val="nil"/>
              <w:bottom w:val="single" w:sz="4" w:space="0" w:color="auto"/>
              <w:right w:val="single" w:sz="4" w:space="0" w:color="auto"/>
            </w:tcBorders>
            <w:shd w:val="clear" w:color="auto" w:fill="D9D9D9"/>
            <w:noWrap/>
            <w:vAlign w:val="center"/>
          </w:tcPr>
          <w:p w:rsidR="009602FE" w:rsidRDefault="00B51B77">
            <w:pPr>
              <w:jc w:val="right"/>
              <w:rPr>
                <w:rFonts w:cs="Lucida Sans Unicode"/>
                <w:spacing w:val="-8"/>
                <w:sz w:val="20"/>
                <w:szCs w:val="20"/>
              </w:rPr>
            </w:pPr>
            <w:r>
              <w:rPr>
                <w:spacing w:val="-8"/>
                <w:sz w:val="20"/>
              </w:rPr>
              <w:t>1,123</w:t>
            </w:r>
          </w:p>
        </w:tc>
        <w:tc>
          <w:tcPr>
            <w:tcW w:w="1270" w:type="dxa"/>
            <w:tcBorders>
              <w:top w:val="nil"/>
              <w:left w:val="single" w:sz="4" w:space="0" w:color="auto"/>
              <w:bottom w:val="single" w:sz="4" w:space="0" w:color="auto"/>
              <w:right w:val="single" w:sz="4" w:space="0" w:color="auto"/>
            </w:tcBorders>
            <w:noWrap/>
            <w:vAlign w:val="center"/>
          </w:tcPr>
          <w:p w:rsidR="009602FE" w:rsidRDefault="00B51B77">
            <w:pPr>
              <w:jc w:val="right"/>
              <w:rPr>
                <w:rFonts w:cs="Lucida Sans Unicode"/>
                <w:spacing w:val="-8"/>
                <w:sz w:val="20"/>
                <w:szCs w:val="20"/>
              </w:rPr>
            </w:pPr>
            <w:r>
              <w:rPr>
                <w:spacing w:val="-8"/>
                <w:sz w:val="20"/>
              </w:rPr>
              <w:t>1,125</w:t>
            </w:r>
          </w:p>
        </w:tc>
        <w:tc>
          <w:tcPr>
            <w:tcW w:w="1125" w:type="dxa"/>
            <w:tcBorders>
              <w:top w:val="nil"/>
              <w:left w:val="single" w:sz="4" w:space="0" w:color="auto"/>
              <w:bottom w:val="single" w:sz="4" w:space="0" w:color="auto"/>
              <w:right w:val="single" w:sz="4" w:space="0" w:color="auto"/>
            </w:tcBorders>
            <w:noWrap/>
            <w:vAlign w:val="bottom"/>
          </w:tcPr>
          <w:p w:rsidR="009602FE" w:rsidRDefault="00B51B77">
            <w:pPr>
              <w:jc w:val="right"/>
              <w:rPr>
                <w:rFonts w:cs="Lucida Sans Unicode"/>
                <w:spacing w:val="-8"/>
                <w:sz w:val="20"/>
                <w:szCs w:val="20"/>
              </w:rPr>
            </w:pPr>
            <w:r>
              <w:rPr>
                <w:spacing w:val="-8"/>
                <w:sz w:val="20"/>
              </w:rPr>
              <w:t>0</w:t>
            </w:r>
          </w:p>
        </w:tc>
        <w:tc>
          <w:tcPr>
            <w:tcW w:w="1148" w:type="dxa"/>
            <w:tcBorders>
              <w:top w:val="single" w:sz="4" w:space="0" w:color="auto"/>
              <w:left w:val="nil"/>
              <w:bottom w:val="single" w:sz="4" w:space="0" w:color="auto"/>
              <w:right w:val="single" w:sz="4" w:space="0" w:color="auto"/>
            </w:tcBorders>
            <w:shd w:val="clear" w:color="auto" w:fill="D9D9D9"/>
            <w:noWrap/>
            <w:vAlign w:val="center"/>
          </w:tcPr>
          <w:p w:rsidR="009602FE" w:rsidRDefault="00B51B77">
            <w:pPr>
              <w:jc w:val="right"/>
              <w:rPr>
                <w:rFonts w:cs="Lucida Sans Unicode"/>
                <w:spacing w:val="-8"/>
                <w:sz w:val="20"/>
                <w:szCs w:val="20"/>
              </w:rPr>
            </w:pPr>
            <w:r>
              <w:rPr>
                <w:spacing w:val="-8"/>
                <w:sz w:val="20"/>
              </w:rPr>
              <w:t>172</w:t>
            </w:r>
          </w:p>
        </w:tc>
        <w:tc>
          <w:tcPr>
            <w:tcW w:w="1161" w:type="dxa"/>
            <w:gridSpan w:val="2"/>
            <w:tcBorders>
              <w:top w:val="nil"/>
              <w:left w:val="single" w:sz="4" w:space="0" w:color="auto"/>
              <w:bottom w:val="single" w:sz="4" w:space="0" w:color="auto"/>
              <w:right w:val="single" w:sz="4" w:space="0" w:color="auto"/>
            </w:tcBorders>
            <w:noWrap/>
            <w:vAlign w:val="center"/>
          </w:tcPr>
          <w:p w:rsidR="009602FE" w:rsidRDefault="00B51B77">
            <w:pPr>
              <w:jc w:val="right"/>
              <w:rPr>
                <w:rFonts w:cs="Lucida Sans Unicode"/>
                <w:spacing w:val="-8"/>
                <w:sz w:val="20"/>
                <w:szCs w:val="20"/>
              </w:rPr>
            </w:pPr>
            <w:r>
              <w:rPr>
                <w:spacing w:val="-8"/>
                <w:sz w:val="20"/>
              </w:rPr>
              <w:t>168</w:t>
            </w:r>
          </w:p>
        </w:tc>
        <w:tc>
          <w:tcPr>
            <w:tcW w:w="1077" w:type="dxa"/>
            <w:tcBorders>
              <w:top w:val="nil"/>
              <w:left w:val="single" w:sz="4" w:space="0" w:color="auto"/>
              <w:bottom w:val="single" w:sz="4" w:space="0" w:color="auto"/>
              <w:right w:val="single" w:sz="4" w:space="0" w:color="auto"/>
            </w:tcBorders>
            <w:noWrap/>
            <w:vAlign w:val="bottom"/>
          </w:tcPr>
          <w:p w:rsidR="009602FE" w:rsidRDefault="00B51B77">
            <w:pPr>
              <w:jc w:val="right"/>
              <w:rPr>
                <w:rFonts w:cs="Lucida Sans Unicode"/>
                <w:spacing w:val="-8"/>
                <w:sz w:val="20"/>
                <w:szCs w:val="20"/>
              </w:rPr>
            </w:pPr>
            <w:r>
              <w:rPr>
                <w:spacing w:val="-8"/>
                <w:sz w:val="20"/>
              </w:rPr>
              <w:t>2</w:t>
            </w:r>
          </w:p>
        </w:tc>
      </w:tr>
      <w:tr w:rsidR="009602FE">
        <w:trPr>
          <w:trHeight w:val="300"/>
        </w:trPr>
        <w:tc>
          <w:tcPr>
            <w:tcW w:w="2977" w:type="dxa"/>
            <w:tcBorders>
              <w:top w:val="nil"/>
              <w:left w:val="single" w:sz="4" w:space="0" w:color="auto"/>
              <w:bottom w:val="single" w:sz="4" w:space="0" w:color="auto"/>
              <w:right w:val="single" w:sz="4" w:space="0" w:color="auto"/>
            </w:tcBorders>
            <w:noWrap/>
            <w:vAlign w:val="center"/>
          </w:tcPr>
          <w:p w:rsidR="009602FE" w:rsidRDefault="00B51B77">
            <w:pPr>
              <w:rPr>
                <w:rFonts w:cs="Lucida Sans Unicode"/>
                <w:spacing w:val="-8"/>
                <w:sz w:val="20"/>
                <w:szCs w:val="20"/>
              </w:rPr>
            </w:pPr>
            <w:r>
              <w:rPr>
                <w:spacing w:val="-8"/>
                <w:sz w:val="20"/>
              </w:rPr>
              <w:t>Services</w:t>
            </w:r>
          </w:p>
        </w:tc>
        <w:tc>
          <w:tcPr>
            <w:tcW w:w="1270" w:type="dxa"/>
            <w:tcBorders>
              <w:top w:val="single" w:sz="4" w:space="0" w:color="auto"/>
              <w:left w:val="nil"/>
              <w:bottom w:val="single" w:sz="4" w:space="0" w:color="auto"/>
              <w:right w:val="single" w:sz="4" w:space="0" w:color="auto"/>
            </w:tcBorders>
            <w:shd w:val="clear" w:color="auto" w:fill="D9D9D9"/>
            <w:noWrap/>
            <w:vAlign w:val="center"/>
          </w:tcPr>
          <w:p w:rsidR="009602FE" w:rsidRDefault="00B51B77">
            <w:pPr>
              <w:jc w:val="right"/>
              <w:rPr>
                <w:rFonts w:cs="Lucida Sans Unicode"/>
                <w:spacing w:val="-8"/>
                <w:sz w:val="20"/>
                <w:szCs w:val="20"/>
              </w:rPr>
            </w:pPr>
            <w:r>
              <w:rPr>
                <w:spacing w:val="-8"/>
                <w:sz w:val="20"/>
              </w:rPr>
              <w:t>270</w:t>
            </w:r>
          </w:p>
        </w:tc>
        <w:tc>
          <w:tcPr>
            <w:tcW w:w="1270" w:type="dxa"/>
            <w:tcBorders>
              <w:top w:val="nil"/>
              <w:left w:val="single" w:sz="4" w:space="0" w:color="auto"/>
              <w:bottom w:val="single" w:sz="4" w:space="0" w:color="auto"/>
              <w:right w:val="single" w:sz="4" w:space="0" w:color="auto"/>
            </w:tcBorders>
            <w:noWrap/>
            <w:vAlign w:val="center"/>
          </w:tcPr>
          <w:p w:rsidR="009602FE" w:rsidRDefault="00B51B77">
            <w:pPr>
              <w:jc w:val="right"/>
              <w:rPr>
                <w:rFonts w:cs="Lucida Sans Unicode"/>
                <w:spacing w:val="-8"/>
                <w:sz w:val="20"/>
                <w:szCs w:val="20"/>
              </w:rPr>
            </w:pPr>
            <w:r>
              <w:rPr>
                <w:spacing w:val="-8"/>
                <w:sz w:val="20"/>
              </w:rPr>
              <w:t>241</w:t>
            </w:r>
          </w:p>
        </w:tc>
        <w:tc>
          <w:tcPr>
            <w:tcW w:w="1125" w:type="dxa"/>
            <w:tcBorders>
              <w:top w:val="nil"/>
              <w:left w:val="single" w:sz="4" w:space="0" w:color="auto"/>
              <w:bottom w:val="single" w:sz="4" w:space="0" w:color="auto"/>
              <w:right w:val="single" w:sz="4" w:space="0" w:color="auto"/>
            </w:tcBorders>
            <w:noWrap/>
            <w:vAlign w:val="bottom"/>
          </w:tcPr>
          <w:p w:rsidR="009602FE" w:rsidRDefault="00B51B77">
            <w:pPr>
              <w:jc w:val="right"/>
              <w:rPr>
                <w:rFonts w:cs="Lucida Sans Unicode"/>
                <w:spacing w:val="-8"/>
                <w:sz w:val="20"/>
                <w:szCs w:val="20"/>
              </w:rPr>
            </w:pPr>
            <w:r>
              <w:rPr>
                <w:spacing w:val="-8"/>
                <w:sz w:val="20"/>
              </w:rPr>
              <w:t>12</w:t>
            </w:r>
          </w:p>
        </w:tc>
        <w:tc>
          <w:tcPr>
            <w:tcW w:w="1148" w:type="dxa"/>
            <w:tcBorders>
              <w:top w:val="single" w:sz="4" w:space="0" w:color="auto"/>
              <w:left w:val="nil"/>
              <w:bottom w:val="single" w:sz="4" w:space="0" w:color="auto"/>
              <w:right w:val="single" w:sz="4" w:space="0" w:color="auto"/>
            </w:tcBorders>
            <w:shd w:val="clear" w:color="auto" w:fill="D9D9D9"/>
            <w:noWrap/>
            <w:vAlign w:val="center"/>
          </w:tcPr>
          <w:p w:rsidR="009602FE" w:rsidRDefault="00B51B77">
            <w:pPr>
              <w:jc w:val="right"/>
              <w:rPr>
                <w:rFonts w:cs="Lucida Sans Unicode"/>
                <w:spacing w:val="-8"/>
                <w:sz w:val="20"/>
                <w:szCs w:val="20"/>
              </w:rPr>
            </w:pPr>
            <w:r>
              <w:rPr>
                <w:spacing w:val="-8"/>
                <w:sz w:val="20"/>
              </w:rPr>
              <w:t>19</w:t>
            </w:r>
          </w:p>
        </w:tc>
        <w:tc>
          <w:tcPr>
            <w:tcW w:w="1161" w:type="dxa"/>
            <w:gridSpan w:val="2"/>
            <w:tcBorders>
              <w:top w:val="nil"/>
              <w:left w:val="single" w:sz="4" w:space="0" w:color="auto"/>
              <w:bottom w:val="single" w:sz="4" w:space="0" w:color="auto"/>
              <w:right w:val="single" w:sz="4" w:space="0" w:color="auto"/>
            </w:tcBorders>
            <w:noWrap/>
            <w:vAlign w:val="center"/>
          </w:tcPr>
          <w:p w:rsidR="009602FE" w:rsidRDefault="00B51B77">
            <w:pPr>
              <w:jc w:val="right"/>
              <w:rPr>
                <w:rFonts w:cs="Lucida Sans Unicode"/>
                <w:spacing w:val="-8"/>
                <w:sz w:val="20"/>
                <w:szCs w:val="20"/>
              </w:rPr>
            </w:pPr>
            <w:r>
              <w:rPr>
                <w:spacing w:val="-8"/>
                <w:sz w:val="20"/>
              </w:rPr>
              <w:t>15</w:t>
            </w:r>
          </w:p>
        </w:tc>
        <w:tc>
          <w:tcPr>
            <w:tcW w:w="1077" w:type="dxa"/>
            <w:tcBorders>
              <w:top w:val="nil"/>
              <w:left w:val="single" w:sz="4" w:space="0" w:color="auto"/>
              <w:bottom w:val="single" w:sz="4" w:space="0" w:color="auto"/>
              <w:right w:val="single" w:sz="4" w:space="0" w:color="auto"/>
            </w:tcBorders>
            <w:noWrap/>
            <w:vAlign w:val="bottom"/>
          </w:tcPr>
          <w:p w:rsidR="009602FE" w:rsidRDefault="00B51B77">
            <w:pPr>
              <w:jc w:val="right"/>
              <w:rPr>
                <w:rFonts w:cs="Lucida Sans Unicode"/>
                <w:spacing w:val="-8"/>
                <w:sz w:val="20"/>
                <w:szCs w:val="20"/>
              </w:rPr>
            </w:pPr>
            <w:r>
              <w:rPr>
                <w:spacing w:val="-8"/>
                <w:sz w:val="20"/>
              </w:rPr>
              <w:t>27</w:t>
            </w:r>
          </w:p>
        </w:tc>
      </w:tr>
      <w:tr w:rsidR="009602FE">
        <w:trPr>
          <w:trHeight w:val="300"/>
        </w:trPr>
        <w:tc>
          <w:tcPr>
            <w:tcW w:w="2977" w:type="dxa"/>
            <w:tcBorders>
              <w:top w:val="nil"/>
              <w:left w:val="single" w:sz="4" w:space="0" w:color="auto"/>
              <w:bottom w:val="single" w:sz="4" w:space="0" w:color="auto"/>
              <w:right w:val="single" w:sz="4" w:space="0" w:color="auto"/>
            </w:tcBorders>
            <w:noWrap/>
            <w:vAlign w:val="center"/>
          </w:tcPr>
          <w:p w:rsidR="009602FE" w:rsidRDefault="00B51B77">
            <w:pPr>
              <w:rPr>
                <w:rFonts w:cs="Lucida Sans Unicode"/>
                <w:spacing w:val="-8"/>
                <w:sz w:val="20"/>
                <w:szCs w:val="20"/>
              </w:rPr>
            </w:pPr>
            <w:r>
              <w:rPr>
                <w:spacing w:val="-8"/>
                <w:sz w:val="20"/>
              </w:rPr>
              <w:t>Real Estate</w:t>
            </w:r>
          </w:p>
        </w:tc>
        <w:tc>
          <w:tcPr>
            <w:tcW w:w="1270" w:type="dxa"/>
            <w:tcBorders>
              <w:top w:val="single" w:sz="4" w:space="0" w:color="auto"/>
              <w:left w:val="nil"/>
              <w:bottom w:val="single" w:sz="4" w:space="0" w:color="auto"/>
              <w:right w:val="single" w:sz="4" w:space="0" w:color="auto"/>
            </w:tcBorders>
            <w:shd w:val="clear" w:color="auto" w:fill="D9D9D9"/>
            <w:noWrap/>
            <w:vAlign w:val="center"/>
          </w:tcPr>
          <w:p w:rsidR="009602FE" w:rsidRDefault="00B51B77">
            <w:pPr>
              <w:jc w:val="right"/>
              <w:rPr>
                <w:rFonts w:cs="Lucida Sans Unicode"/>
                <w:spacing w:val="-8"/>
                <w:sz w:val="20"/>
                <w:szCs w:val="20"/>
              </w:rPr>
            </w:pPr>
            <w:r>
              <w:rPr>
                <w:spacing w:val="-8"/>
                <w:sz w:val="20"/>
              </w:rPr>
              <w:t>85</w:t>
            </w:r>
          </w:p>
        </w:tc>
        <w:tc>
          <w:tcPr>
            <w:tcW w:w="1270" w:type="dxa"/>
            <w:tcBorders>
              <w:top w:val="nil"/>
              <w:left w:val="single" w:sz="4" w:space="0" w:color="auto"/>
              <w:bottom w:val="single" w:sz="4" w:space="0" w:color="auto"/>
              <w:right w:val="single" w:sz="4" w:space="0" w:color="auto"/>
            </w:tcBorders>
            <w:noWrap/>
            <w:vAlign w:val="center"/>
          </w:tcPr>
          <w:p w:rsidR="009602FE" w:rsidRDefault="00B51B77">
            <w:pPr>
              <w:jc w:val="right"/>
              <w:rPr>
                <w:rFonts w:cs="Lucida Sans Unicode"/>
                <w:spacing w:val="-8"/>
                <w:sz w:val="20"/>
                <w:szCs w:val="20"/>
              </w:rPr>
            </w:pPr>
            <w:r>
              <w:rPr>
                <w:spacing w:val="-8"/>
                <w:sz w:val="20"/>
              </w:rPr>
              <w:t>103</w:t>
            </w:r>
          </w:p>
        </w:tc>
        <w:tc>
          <w:tcPr>
            <w:tcW w:w="1125" w:type="dxa"/>
            <w:tcBorders>
              <w:top w:val="nil"/>
              <w:left w:val="single" w:sz="4" w:space="0" w:color="auto"/>
              <w:bottom w:val="single" w:sz="4" w:space="0" w:color="auto"/>
              <w:right w:val="single" w:sz="4" w:space="0" w:color="auto"/>
            </w:tcBorders>
            <w:noWrap/>
            <w:vAlign w:val="bottom"/>
          </w:tcPr>
          <w:p w:rsidR="009602FE" w:rsidRDefault="00B51B77">
            <w:pPr>
              <w:jc w:val="right"/>
              <w:rPr>
                <w:rFonts w:cs="Lucida Sans Unicode"/>
                <w:spacing w:val="-8"/>
                <w:sz w:val="20"/>
                <w:szCs w:val="20"/>
              </w:rPr>
            </w:pPr>
            <w:r>
              <w:rPr>
                <w:spacing w:val="-8"/>
                <w:sz w:val="20"/>
              </w:rPr>
              <w:t>-17</w:t>
            </w:r>
          </w:p>
        </w:tc>
        <w:tc>
          <w:tcPr>
            <w:tcW w:w="1148" w:type="dxa"/>
            <w:tcBorders>
              <w:top w:val="single" w:sz="4" w:space="0" w:color="auto"/>
              <w:left w:val="nil"/>
              <w:bottom w:val="single" w:sz="4" w:space="0" w:color="auto"/>
              <w:right w:val="single" w:sz="4" w:space="0" w:color="auto"/>
            </w:tcBorders>
            <w:shd w:val="clear" w:color="auto" w:fill="D9D9D9"/>
            <w:noWrap/>
            <w:vAlign w:val="center"/>
          </w:tcPr>
          <w:p w:rsidR="009602FE" w:rsidRDefault="00B51B77">
            <w:pPr>
              <w:jc w:val="right"/>
              <w:rPr>
                <w:rFonts w:cs="Lucida Sans Unicode"/>
                <w:spacing w:val="-8"/>
                <w:sz w:val="20"/>
                <w:szCs w:val="20"/>
              </w:rPr>
            </w:pPr>
            <w:r>
              <w:rPr>
                <w:spacing w:val="-8"/>
                <w:sz w:val="20"/>
              </w:rPr>
              <w:t>65</w:t>
            </w:r>
          </w:p>
        </w:tc>
        <w:tc>
          <w:tcPr>
            <w:tcW w:w="1161" w:type="dxa"/>
            <w:gridSpan w:val="2"/>
            <w:tcBorders>
              <w:top w:val="nil"/>
              <w:left w:val="single" w:sz="4" w:space="0" w:color="auto"/>
              <w:bottom w:val="single" w:sz="4" w:space="0" w:color="auto"/>
              <w:right w:val="single" w:sz="4" w:space="0" w:color="auto"/>
            </w:tcBorders>
            <w:noWrap/>
            <w:vAlign w:val="center"/>
          </w:tcPr>
          <w:p w:rsidR="009602FE" w:rsidRDefault="00B51B77">
            <w:pPr>
              <w:jc w:val="right"/>
              <w:rPr>
                <w:rFonts w:cs="Lucida Sans Unicode"/>
                <w:spacing w:val="-8"/>
                <w:sz w:val="20"/>
                <w:szCs w:val="20"/>
              </w:rPr>
            </w:pPr>
            <w:r>
              <w:rPr>
                <w:spacing w:val="-8"/>
                <w:sz w:val="20"/>
              </w:rPr>
              <w:t>54</w:t>
            </w:r>
          </w:p>
        </w:tc>
        <w:tc>
          <w:tcPr>
            <w:tcW w:w="1077" w:type="dxa"/>
            <w:tcBorders>
              <w:top w:val="nil"/>
              <w:left w:val="single" w:sz="4" w:space="0" w:color="auto"/>
              <w:bottom w:val="single" w:sz="4" w:space="0" w:color="auto"/>
              <w:right w:val="single" w:sz="4" w:space="0" w:color="auto"/>
            </w:tcBorders>
            <w:noWrap/>
            <w:vAlign w:val="bottom"/>
          </w:tcPr>
          <w:p w:rsidR="009602FE" w:rsidRDefault="00B51B77">
            <w:pPr>
              <w:jc w:val="right"/>
              <w:rPr>
                <w:rFonts w:cs="Lucida Sans Unicode"/>
                <w:spacing w:val="-8"/>
                <w:sz w:val="20"/>
                <w:szCs w:val="20"/>
              </w:rPr>
            </w:pPr>
            <w:r>
              <w:rPr>
                <w:spacing w:val="-8"/>
                <w:sz w:val="20"/>
              </w:rPr>
              <w:t>20</w:t>
            </w:r>
          </w:p>
        </w:tc>
      </w:tr>
      <w:tr w:rsidR="009602FE">
        <w:trPr>
          <w:trHeight w:val="300"/>
        </w:trPr>
        <w:tc>
          <w:tcPr>
            <w:tcW w:w="2977" w:type="dxa"/>
            <w:tcBorders>
              <w:top w:val="nil"/>
              <w:left w:val="single" w:sz="4" w:space="0" w:color="auto"/>
              <w:bottom w:val="single" w:sz="4" w:space="0" w:color="auto"/>
              <w:right w:val="single" w:sz="4" w:space="0" w:color="auto"/>
            </w:tcBorders>
            <w:noWrap/>
            <w:vAlign w:val="center"/>
          </w:tcPr>
          <w:p w:rsidR="009602FE" w:rsidRDefault="00B51B77">
            <w:pPr>
              <w:rPr>
                <w:rFonts w:cs="Lucida Sans Unicode"/>
                <w:spacing w:val="-8"/>
                <w:sz w:val="20"/>
                <w:szCs w:val="20"/>
              </w:rPr>
            </w:pPr>
            <w:r>
              <w:rPr>
                <w:spacing w:val="-8"/>
                <w:sz w:val="20"/>
              </w:rPr>
              <w:t xml:space="preserve">Other </w:t>
            </w:r>
            <w:proofErr w:type="spellStart"/>
            <w:r>
              <w:rPr>
                <w:spacing w:val="-8"/>
                <w:sz w:val="20"/>
              </w:rPr>
              <w:t>operations</w:t>
            </w:r>
            <w:proofErr w:type="spellEnd"/>
          </w:p>
        </w:tc>
        <w:tc>
          <w:tcPr>
            <w:tcW w:w="1270" w:type="dxa"/>
            <w:tcBorders>
              <w:top w:val="single" w:sz="4" w:space="0" w:color="auto"/>
              <w:left w:val="nil"/>
              <w:bottom w:val="single" w:sz="4" w:space="0" w:color="auto"/>
              <w:right w:val="single" w:sz="4" w:space="0" w:color="auto"/>
            </w:tcBorders>
            <w:shd w:val="clear" w:color="auto" w:fill="D9D9D9"/>
            <w:noWrap/>
            <w:vAlign w:val="center"/>
          </w:tcPr>
          <w:p w:rsidR="009602FE" w:rsidRDefault="00B51B77">
            <w:pPr>
              <w:jc w:val="right"/>
              <w:rPr>
                <w:rFonts w:cs="Lucida Sans Unicode"/>
                <w:spacing w:val="-8"/>
                <w:sz w:val="20"/>
                <w:szCs w:val="20"/>
              </w:rPr>
            </w:pPr>
            <w:r>
              <w:rPr>
                <w:spacing w:val="-8"/>
                <w:sz w:val="20"/>
              </w:rPr>
              <w:t>65</w:t>
            </w:r>
          </w:p>
        </w:tc>
        <w:tc>
          <w:tcPr>
            <w:tcW w:w="1270" w:type="dxa"/>
            <w:tcBorders>
              <w:top w:val="nil"/>
              <w:left w:val="single" w:sz="4" w:space="0" w:color="auto"/>
              <w:bottom w:val="single" w:sz="4" w:space="0" w:color="auto"/>
              <w:right w:val="single" w:sz="4" w:space="0" w:color="auto"/>
            </w:tcBorders>
            <w:noWrap/>
            <w:vAlign w:val="center"/>
          </w:tcPr>
          <w:p w:rsidR="009602FE" w:rsidRDefault="00B51B77">
            <w:pPr>
              <w:jc w:val="right"/>
              <w:rPr>
                <w:rFonts w:cs="Lucida Sans Unicode"/>
                <w:spacing w:val="-8"/>
                <w:sz w:val="20"/>
                <w:szCs w:val="20"/>
              </w:rPr>
            </w:pPr>
            <w:r>
              <w:rPr>
                <w:spacing w:val="-8"/>
                <w:sz w:val="20"/>
              </w:rPr>
              <w:t>60</w:t>
            </w:r>
          </w:p>
        </w:tc>
        <w:tc>
          <w:tcPr>
            <w:tcW w:w="1125" w:type="dxa"/>
            <w:tcBorders>
              <w:top w:val="nil"/>
              <w:left w:val="single" w:sz="4" w:space="0" w:color="auto"/>
              <w:bottom w:val="single" w:sz="4" w:space="0" w:color="auto"/>
              <w:right w:val="single" w:sz="4" w:space="0" w:color="auto"/>
            </w:tcBorders>
            <w:noWrap/>
            <w:vAlign w:val="bottom"/>
          </w:tcPr>
          <w:p w:rsidR="009602FE" w:rsidRDefault="00B51B77">
            <w:pPr>
              <w:jc w:val="right"/>
              <w:rPr>
                <w:rFonts w:cs="Lucida Sans Unicode"/>
                <w:spacing w:val="-8"/>
                <w:sz w:val="20"/>
                <w:szCs w:val="20"/>
              </w:rPr>
            </w:pPr>
            <w:r>
              <w:rPr>
                <w:spacing w:val="-8"/>
                <w:sz w:val="20"/>
              </w:rPr>
              <w:t>8</w:t>
            </w:r>
          </w:p>
        </w:tc>
        <w:tc>
          <w:tcPr>
            <w:tcW w:w="1148" w:type="dxa"/>
            <w:tcBorders>
              <w:top w:val="single" w:sz="4" w:space="0" w:color="auto"/>
              <w:left w:val="nil"/>
              <w:bottom w:val="single" w:sz="4" w:space="0" w:color="auto"/>
              <w:right w:val="single" w:sz="4" w:space="0" w:color="auto"/>
            </w:tcBorders>
            <w:shd w:val="clear" w:color="auto" w:fill="D9D9D9"/>
            <w:noWrap/>
            <w:vAlign w:val="center"/>
          </w:tcPr>
          <w:p w:rsidR="009602FE" w:rsidRDefault="00B51B77">
            <w:pPr>
              <w:jc w:val="right"/>
              <w:rPr>
                <w:rFonts w:cs="Lucida Sans Unicode"/>
                <w:spacing w:val="-8"/>
                <w:sz w:val="20"/>
                <w:szCs w:val="20"/>
              </w:rPr>
            </w:pPr>
            <w:r>
              <w:rPr>
                <w:spacing w:val="-8"/>
                <w:sz w:val="20"/>
              </w:rPr>
              <w:t>-107</w:t>
            </w:r>
          </w:p>
        </w:tc>
        <w:tc>
          <w:tcPr>
            <w:tcW w:w="1161" w:type="dxa"/>
            <w:gridSpan w:val="2"/>
            <w:tcBorders>
              <w:top w:val="nil"/>
              <w:left w:val="single" w:sz="4" w:space="0" w:color="auto"/>
              <w:bottom w:val="single" w:sz="4" w:space="0" w:color="auto"/>
              <w:right w:val="single" w:sz="4" w:space="0" w:color="auto"/>
            </w:tcBorders>
            <w:noWrap/>
            <w:vAlign w:val="center"/>
          </w:tcPr>
          <w:p w:rsidR="009602FE" w:rsidRDefault="00B51B77">
            <w:pPr>
              <w:jc w:val="right"/>
              <w:rPr>
                <w:rFonts w:cs="Lucida Sans Unicode"/>
                <w:spacing w:val="-8"/>
                <w:sz w:val="20"/>
                <w:szCs w:val="20"/>
              </w:rPr>
            </w:pPr>
            <w:r>
              <w:rPr>
                <w:spacing w:val="-8"/>
                <w:sz w:val="20"/>
              </w:rPr>
              <w:t>-72</w:t>
            </w:r>
          </w:p>
        </w:tc>
        <w:tc>
          <w:tcPr>
            <w:tcW w:w="1077" w:type="dxa"/>
            <w:tcBorders>
              <w:top w:val="nil"/>
              <w:left w:val="single" w:sz="4" w:space="0" w:color="auto"/>
              <w:bottom w:val="single" w:sz="4" w:space="0" w:color="auto"/>
              <w:right w:val="single" w:sz="4" w:space="0" w:color="auto"/>
            </w:tcBorders>
            <w:noWrap/>
            <w:vAlign w:val="bottom"/>
          </w:tcPr>
          <w:p w:rsidR="009602FE" w:rsidRDefault="009602FE">
            <w:pPr>
              <w:jc w:val="right"/>
              <w:rPr>
                <w:rFonts w:cs="Lucida Sans Unicode"/>
                <w:spacing w:val="-8"/>
                <w:sz w:val="20"/>
                <w:szCs w:val="20"/>
              </w:rPr>
            </w:pPr>
          </w:p>
        </w:tc>
      </w:tr>
      <w:tr w:rsidR="009602FE">
        <w:trPr>
          <w:trHeight w:val="300"/>
        </w:trPr>
        <w:tc>
          <w:tcPr>
            <w:tcW w:w="2977" w:type="dxa"/>
            <w:tcBorders>
              <w:top w:val="single" w:sz="4" w:space="0" w:color="auto"/>
              <w:left w:val="single" w:sz="4" w:space="0" w:color="auto"/>
              <w:bottom w:val="single" w:sz="4" w:space="0" w:color="auto"/>
              <w:right w:val="single" w:sz="4" w:space="0" w:color="auto"/>
            </w:tcBorders>
            <w:noWrap/>
            <w:vAlign w:val="center"/>
          </w:tcPr>
          <w:p w:rsidR="009602FE" w:rsidRDefault="00B51B77">
            <w:pPr>
              <w:rPr>
                <w:rFonts w:cs="Lucida Sans Unicode"/>
                <w:b/>
                <w:bCs/>
                <w:spacing w:val="-8"/>
                <w:sz w:val="20"/>
                <w:szCs w:val="20"/>
              </w:rPr>
            </w:pPr>
            <w:r>
              <w:rPr>
                <w:b/>
                <w:spacing w:val="-8"/>
                <w:sz w:val="20"/>
              </w:rPr>
              <w:t xml:space="preserve">Group </w:t>
            </w:r>
          </w:p>
        </w:tc>
        <w:tc>
          <w:tcPr>
            <w:tcW w:w="1270" w:type="dxa"/>
            <w:tcBorders>
              <w:top w:val="single" w:sz="4" w:space="0" w:color="auto"/>
              <w:left w:val="nil"/>
              <w:bottom w:val="single" w:sz="4" w:space="0" w:color="auto"/>
              <w:right w:val="single" w:sz="4" w:space="0" w:color="auto"/>
            </w:tcBorders>
            <w:shd w:val="clear" w:color="auto" w:fill="D9D9D9"/>
            <w:noWrap/>
            <w:vAlign w:val="center"/>
          </w:tcPr>
          <w:p w:rsidR="009602FE" w:rsidRDefault="00B51B77">
            <w:pPr>
              <w:jc w:val="right"/>
              <w:rPr>
                <w:rFonts w:cs="Lucida Sans Unicode"/>
                <w:b/>
                <w:bCs/>
                <w:spacing w:val="-8"/>
                <w:sz w:val="20"/>
                <w:szCs w:val="20"/>
              </w:rPr>
            </w:pPr>
            <w:r>
              <w:rPr>
                <w:b/>
                <w:spacing w:val="-8"/>
                <w:sz w:val="20"/>
              </w:rPr>
              <w:t>3,273</w:t>
            </w:r>
          </w:p>
        </w:tc>
        <w:tc>
          <w:tcPr>
            <w:tcW w:w="1270" w:type="dxa"/>
            <w:tcBorders>
              <w:top w:val="single" w:sz="4" w:space="0" w:color="auto"/>
              <w:left w:val="single" w:sz="4" w:space="0" w:color="auto"/>
              <w:bottom w:val="single" w:sz="4" w:space="0" w:color="auto"/>
              <w:right w:val="single" w:sz="4" w:space="0" w:color="auto"/>
            </w:tcBorders>
            <w:noWrap/>
            <w:vAlign w:val="center"/>
          </w:tcPr>
          <w:p w:rsidR="009602FE" w:rsidRDefault="00B51B77">
            <w:pPr>
              <w:jc w:val="right"/>
              <w:rPr>
                <w:rFonts w:cs="Lucida Sans Unicode"/>
                <w:b/>
                <w:bCs/>
                <w:spacing w:val="-8"/>
                <w:sz w:val="20"/>
                <w:szCs w:val="20"/>
              </w:rPr>
            </w:pPr>
            <w:r>
              <w:rPr>
                <w:b/>
                <w:spacing w:val="-8"/>
                <w:sz w:val="20"/>
              </w:rPr>
              <w:t>3,330</w:t>
            </w:r>
          </w:p>
        </w:tc>
        <w:tc>
          <w:tcPr>
            <w:tcW w:w="1125" w:type="dxa"/>
            <w:tcBorders>
              <w:top w:val="single" w:sz="4" w:space="0" w:color="auto"/>
              <w:left w:val="single" w:sz="4" w:space="0" w:color="auto"/>
              <w:bottom w:val="single" w:sz="4" w:space="0" w:color="auto"/>
              <w:right w:val="single" w:sz="4" w:space="0" w:color="auto"/>
            </w:tcBorders>
            <w:noWrap/>
            <w:vAlign w:val="bottom"/>
          </w:tcPr>
          <w:p w:rsidR="009602FE" w:rsidRDefault="00B51B77">
            <w:pPr>
              <w:jc w:val="right"/>
              <w:rPr>
                <w:rFonts w:cs="Lucida Sans Unicode"/>
                <w:b/>
                <w:bCs/>
                <w:spacing w:val="-8"/>
                <w:sz w:val="20"/>
                <w:szCs w:val="20"/>
              </w:rPr>
            </w:pPr>
            <w:r>
              <w:rPr>
                <w:b/>
                <w:spacing w:val="-8"/>
                <w:sz w:val="20"/>
              </w:rPr>
              <w:t>-2</w:t>
            </w:r>
          </w:p>
        </w:tc>
        <w:tc>
          <w:tcPr>
            <w:tcW w:w="1148" w:type="dxa"/>
            <w:tcBorders>
              <w:top w:val="single" w:sz="4" w:space="0" w:color="auto"/>
              <w:left w:val="nil"/>
              <w:bottom w:val="single" w:sz="4" w:space="0" w:color="auto"/>
              <w:right w:val="single" w:sz="4" w:space="0" w:color="auto"/>
            </w:tcBorders>
            <w:shd w:val="clear" w:color="auto" w:fill="D9D9D9"/>
            <w:noWrap/>
            <w:vAlign w:val="center"/>
          </w:tcPr>
          <w:p w:rsidR="009602FE" w:rsidRDefault="00B51B77">
            <w:pPr>
              <w:jc w:val="right"/>
              <w:rPr>
                <w:rFonts w:cs="Lucida Sans Unicode"/>
                <w:b/>
                <w:bCs/>
                <w:spacing w:val="-8"/>
                <w:sz w:val="20"/>
                <w:szCs w:val="20"/>
              </w:rPr>
            </w:pPr>
            <w:r>
              <w:rPr>
                <w:b/>
                <w:spacing w:val="-8"/>
                <w:sz w:val="20"/>
              </w:rPr>
              <w:t>492</w:t>
            </w:r>
          </w:p>
        </w:tc>
        <w:tc>
          <w:tcPr>
            <w:tcW w:w="1161" w:type="dxa"/>
            <w:gridSpan w:val="2"/>
            <w:tcBorders>
              <w:top w:val="single" w:sz="4" w:space="0" w:color="auto"/>
              <w:left w:val="single" w:sz="4" w:space="0" w:color="auto"/>
              <w:bottom w:val="single" w:sz="4" w:space="0" w:color="auto"/>
              <w:right w:val="single" w:sz="4" w:space="0" w:color="auto"/>
            </w:tcBorders>
            <w:noWrap/>
            <w:vAlign w:val="center"/>
          </w:tcPr>
          <w:p w:rsidR="009602FE" w:rsidRDefault="00B51B77">
            <w:pPr>
              <w:jc w:val="right"/>
              <w:rPr>
                <w:rFonts w:cs="Lucida Sans Unicode"/>
                <w:b/>
                <w:bCs/>
                <w:spacing w:val="-8"/>
                <w:sz w:val="20"/>
                <w:szCs w:val="20"/>
              </w:rPr>
            </w:pPr>
            <w:r>
              <w:rPr>
                <w:b/>
                <w:spacing w:val="-8"/>
                <w:sz w:val="20"/>
              </w:rPr>
              <w:t>522</w:t>
            </w:r>
          </w:p>
        </w:tc>
        <w:tc>
          <w:tcPr>
            <w:tcW w:w="1077" w:type="dxa"/>
            <w:tcBorders>
              <w:top w:val="single" w:sz="4" w:space="0" w:color="auto"/>
              <w:left w:val="single" w:sz="4" w:space="0" w:color="auto"/>
              <w:bottom w:val="single" w:sz="4" w:space="0" w:color="auto"/>
              <w:right w:val="single" w:sz="4" w:space="0" w:color="auto"/>
            </w:tcBorders>
            <w:noWrap/>
            <w:vAlign w:val="bottom"/>
          </w:tcPr>
          <w:p w:rsidR="009602FE" w:rsidRDefault="00B51B77">
            <w:pPr>
              <w:jc w:val="right"/>
              <w:rPr>
                <w:rFonts w:cs="Lucida Sans Unicode"/>
                <w:b/>
                <w:bCs/>
                <w:spacing w:val="-8"/>
                <w:sz w:val="20"/>
                <w:szCs w:val="20"/>
              </w:rPr>
            </w:pPr>
            <w:r>
              <w:rPr>
                <w:b/>
                <w:spacing w:val="-8"/>
                <w:sz w:val="20"/>
              </w:rPr>
              <w:t>-6</w:t>
            </w:r>
          </w:p>
        </w:tc>
      </w:tr>
      <w:tr w:rsidR="009602FE">
        <w:trPr>
          <w:trHeight w:val="255"/>
        </w:trPr>
        <w:tc>
          <w:tcPr>
            <w:tcW w:w="2977" w:type="dxa"/>
            <w:tcBorders>
              <w:top w:val="single" w:sz="4" w:space="0" w:color="auto"/>
              <w:left w:val="single" w:sz="4" w:space="0" w:color="auto"/>
              <w:bottom w:val="nil"/>
              <w:right w:val="single" w:sz="4" w:space="0" w:color="auto"/>
            </w:tcBorders>
            <w:noWrap/>
            <w:vAlign w:val="center"/>
          </w:tcPr>
          <w:p w:rsidR="009602FE" w:rsidRDefault="00B51B77">
            <w:pPr>
              <w:jc w:val="right"/>
              <w:rPr>
                <w:rFonts w:cs="Lucida Sans Unicode"/>
                <w:b/>
                <w:bCs/>
                <w:spacing w:val="-8"/>
                <w:sz w:val="20"/>
                <w:szCs w:val="20"/>
              </w:rPr>
            </w:pPr>
            <w:r>
              <w:rPr>
                <w:b/>
                <w:spacing w:val="-8"/>
                <w:sz w:val="20"/>
              </w:rPr>
              <w:t> </w:t>
            </w:r>
          </w:p>
        </w:tc>
        <w:tc>
          <w:tcPr>
            <w:tcW w:w="3665" w:type="dxa"/>
            <w:gridSpan w:val="3"/>
            <w:tcBorders>
              <w:top w:val="single" w:sz="4" w:space="0" w:color="auto"/>
              <w:left w:val="nil"/>
              <w:bottom w:val="single" w:sz="4" w:space="0" w:color="auto"/>
              <w:right w:val="single" w:sz="4" w:space="0" w:color="auto"/>
            </w:tcBorders>
            <w:noWrap/>
            <w:vAlign w:val="bottom"/>
          </w:tcPr>
          <w:p w:rsidR="009602FE" w:rsidRDefault="00B51B77">
            <w:pPr>
              <w:jc w:val="center"/>
              <w:rPr>
                <w:rFonts w:cs="Lucida Sans Unicode"/>
                <w:b/>
                <w:bCs/>
                <w:spacing w:val="-8"/>
                <w:sz w:val="20"/>
                <w:szCs w:val="20"/>
              </w:rPr>
            </w:pPr>
            <w:proofErr w:type="spellStart"/>
            <w:r>
              <w:rPr>
                <w:b/>
                <w:spacing w:val="-8"/>
                <w:sz w:val="20"/>
              </w:rPr>
              <w:t>Sales</w:t>
            </w:r>
            <w:proofErr w:type="spellEnd"/>
          </w:p>
        </w:tc>
        <w:tc>
          <w:tcPr>
            <w:tcW w:w="3386" w:type="dxa"/>
            <w:gridSpan w:val="4"/>
            <w:tcBorders>
              <w:top w:val="single" w:sz="4" w:space="0" w:color="auto"/>
              <w:left w:val="single" w:sz="4" w:space="0" w:color="auto"/>
              <w:bottom w:val="single" w:sz="4" w:space="0" w:color="auto"/>
              <w:right w:val="single" w:sz="4" w:space="0" w:color="auto"/>
            </w:tcBorders>
            <w:noWrap/>
            <w:vAlign w:val="bottom"/>
          </w:tcPr>
          <w:p w:rsidR="009602FE" w:rsidRDefault="00B51B77">
            <w:pPr>
              <w:jc w:val="center"/>
              <w:rPr>
                <w:rFonts w:cs="Lucida Sans Unicode"/>
                <w:b/>
                <w:bCs/>
                <w:spacing w:val="-8"/>
                <w:sz w:val="20"/>
                <w:szCs w:val="20"/>
              </w:rPr>
            </w:pPr>
            <w:proofErr w:type="spellStart"/>
            <w:r>
              <w:rPr>
                <w:b/>
                <w:spacing w:val="-8"/>
                <w:sz w:val="20"/>
              </w:rPr>
              <w:t>Adjusted</w:t>
            </w:r>
            <w:proofErr w:type="spellEnd"/>
            <w:r>
              <w:rPr>
                <w:b/>
                <w:spacing w:val="-8"/>
                <w:sz w:val="20"/>
              </w:rPr>
              <w:t xml:space="preserve"> EBITDA</w:t>
            </w:r>
          </w:p>
        </w:tc>
      </w:tr>
      <w:tr w:rsidR="009602FE">
        <w:trPr>
          <w:trHeight w:val="255"/>
        </w:trPr>
        <w:tc>
          <w:tcPr>
            <w:tcW w:w="2977" w:type="dxa"/>
            <w:tcBorders>
              <w:top w:val="nil"/>
              <w:left w:val="single" w:sz="4" w:space="0" w:color="auto"/>
              <w:bottom w:val="nil"/>
              <w:right w:val="single" w:sz="4" w:space="0" w:color="auto"/>
            </w:tcBorders>
            <w:noWrap/>
            <w:vAlign w:val="center"/>
          </w:tcPr>
          <w:p w:rsidR="009602FE" w:rsidRDefault="009602FE">
            <w:pPr>
              <w:rPr>
                <w:rFonts w:cs="Lucida Sans Unicode"/>
                <w:b/>
                <w:bCs/>
                <w:spacing w:val="-8"/>
                <w:sz w:val="20"/>
                <w:szCs w:val="20"/>
              </w:rPr>
            </w:pPr>
          </w:p>
        </w:tc>
        <w:tc>
          <w:tcPr>
            <w:tcW w:w="1270" w:type="dxa"/>
            <w:tcBorders>
              <w:top w:val="single" w:sz="4" w:space="0" w:color="auto"/>
              <w:left w:val="nil"/>
              <w:right w:val="single" w:sz="4" w:space="0" w:color="auto"/>
            </w:tcBorders>
            <w:shd w:val="clear" w:color="auto" w:fill="D9D9D9"/>
            <w:noWrap/>
            <w:vAlign w:val="bottom"/>
          </w:tcPr>
          <w:p w:rsidR="009602FE" w:rsidRDefault="00B51B77">
            <w:pPr>
              <w:jc w:val="center"/>
              <w:rPr>
                <w:rFonts w:cs="Lucida Sans Unicode"/>
                <w:b/>
                <w:bCs/>
                <w:spacing w:val="-8"/>
                <w:sz w:val="20"/>
                <w:szCs w:val="20"/>
              </w:rPr>
            </w:pPr>
            <w:r>
              <w:rPr>
                <w:b/>
                <w:spacing w:val="-8"/>
                <w:sz w:val="20"/>
              </w:rPr>
              <w:t>2012</w:t>
            </w:r>
          </w:p>
        </w:tc>
        <w:tc>
          <w:tcPr>
            <w:tcW w:w="1270" w:type="dxa"/>
            <w:tcBorders>
              <w:top w:val="single" w:sz="4" w:space="0" w:color="auto"/>
              <w:left w:val="single" w:sz="4" w:space="0" w:color="auto"/>
              <w:bottom w:val="nil"/>
              <w:right w:val="single" w:sz="4" w:space="0" w:color="auto"/>
            </w:tcBorders>
            <w:noWrap/>
            <w:vAlign w:val="bottom"/>
          </w:tcPr>
          <w:p w:rsidR="009602FE" w:rsidRDefault="00B51B77">
            <w:pPr>
              <w:jc w:val="center"/>
              <w:rPr>
                <w:rFonts w:cs="Lucida Sans Unicode"/>
                <w:b/>
                <w:bCs/>
                <w:spacing w:val="-8"/>
                <w:sz w:val="20"/>
                <w:szCs w:val="20"/>
              </w:rPr>
            </w:pPr>
            <w:r>
              <w:rPr>
                <w:b/>
                <w:spacing w:val="-8"/>
                <w:sz w:val="20"/>
              </w:rPr>
              <w:t>2011</w:t>
            </w:r>
            <w:r>
              <w:rPr>
                <w:b/>
                <w:spacing w:val="-8"/>
                <w:sz w:val="20"/>
                <w:vertAlign w:val="superscript"/>
              </w:rPr>
              <w:t>1)</w:t>
            </w:r>
          </w:p>
        </w:tc>
        <w:tc>
          <w:tcPr>
            <w:tcW w:w="1125" w:type="dxa"/>
            <w:tcBorders>
              <w:top w:val="single" w:sz="4" w:space="0" w:color="auto"/>
              <w:left w:val="single" w:sz="4" w:space="0" w:color="auto"/>
              <w:bottom w:val="nil"/>
              <w:right w:val="single" w:sz="4" w:space="0" w:color="auto"/>
            </w:tcBorders>
            <w:noWrap/>
            <w:vAlign w:val="bottom"/>
          </w:tcPr>
          <w:p w:rsidR="009602FE" w:rsidRDefault="00B51B77">
            <w:pPr>
              <w:jc w:val="center"/>
              <w:rPr>
                <w:rFonts w:cs="Lucida Sans Unicode"/>
                <w:b/>
                <w:bCs/>
                <w:spacing w:val="-8"/>
                <w:sz w:val="20"/>
                <w:szCs w:val="20"/>
              </w:rPr>
            </w:pPr>
            <w:r>
              <w:rPr>
                <w:b/>
                <w:spacing w:val="-8"/>
                <w:sz w:val="20"/>
              </w:rPr>
              <w:t>Change</w:t>
            </w:r>
          </w:p>
        </w:tc>
        <w:tc>
          <w:tcPr>
            <w:tcW w:w="1148" w:type="dxa"/>
            <w:tcBorders>
              <w:top w:val="single" w:sz="4" w:space="0" w:color="auto"/>
              <w:left w:val="nil"/>
              <w:right w:val="single" w:sz="4" w:space="0" w:color="auto"/>
            </w:tcBorders>
            <w:shd w:val="clear" w:color="auto" w:fill="D9D9D9"/>
            <w:noWrap/>
            <w:vAlign w:val="bottom"/>
          </w:tcPr>
          <w:p w:rsidR="009602FE" w:rsidRDefault="00B51B77">
            <w:pPr>
              <w:jc w:val="center"/>
              <w:rPr>
                <w:rFonts w:cs="Lucida Sans Unicode"/>
                <w:b/>
                <w:bCs/>
                <w:spacing w:val="-8"/>
                <w:sz w:val="20"/>
                <w:szCs w:val="20"/>
              </w:rPr>
            </w:pPr>
            <w:r>
              <w:rPr>
                <w:b/>
                <w:spacing w:val="-8"/>
                <w:sz w:val="20"/>
              </w:rPr>
              <w:t>2012</w:t>
            </w:r>
          </w:p>
        </w:tc>
        <w:tc>
          <w:tcPr>
            <w:tcW w:w="1116" w:type="dxa"/>
            <w:tcBorders>
              <w:top w:val="single" w:sz="4" w:space="0" w:color="auto"/>
              <w:left w:val="single" w:sz="4" w:space="0" w:color="auto"/>
              <w:bottom w:val="nil"/>
              <w:right w:val="single" w:sz="4" w:space="0" w:color="auto"/>
            </w:tcBorders>
            <w:noWrap/>
            <w:vAlign w:val="bottom"/>
          </w:tcPr>
          <w:p w:rsidR="009602FE" w:rsidRDefault="00B51B77">
            <w:pPr>
              <w:jc w:val="center"/>
              <w:rPr>
                <w:rFonts w:cs="Lucida Sans Unicode"/>
                <w:b/>
                <w:bCs/>
                <w:spacing w:val="-8"/>
                <w:sz w:val="20"/>
                <w:szCs w:val="20"/>
              </w:rPr>
            </w:pPr>
            <w:r>
              <w:rPr>
                <w:b/>
                <w:spacing w:val="-8"/>
                <w:sz w:val="20"/>
              </w:rPr>
              <w:t>2011</w:t>
            </w:r>
            <w:r>
              <w:rPr>
                <w:b/>
                <w:spacing w:val="-8"/>
                <w:sz w:val="20"/>
                <w:vertAlign w:val="superscript"/>
              </w:rPr>
              <w:t>1)</w:t>
            </w:r>
          </w:p>
        </w:tc>
        <w:tc>
          <w:tcPr>
            <w:tcW w:w="1122" w:type="dxa"/>
            <w:gridSpan w:val="2"/>
            <w:tcBorders>
              <w:top w:val="single" w:sz="4" w:space="0" w:color="auto"/>
              <w:left w:val="single" w:sz="4" w:space="0" w:color="auto"/>
              <w:bottom w:val="nil"/>
              <w:right w:val="single" w:sz="4" w:space="0" w:color="auto"/>
            </w:tcBorders>
            <w:noWrap/>
            <w:vAlign w:val="bottom"/>
          </w:tcPr>
          <w:p w:rsidR="009602FE" w:rsidRDefault="00B51B77">
            <w:pPr>
              <w:jc w:val="center"/>
              <w:rPr>
                <w:rFonts w:cs="Lucida Sans Unicode"/>
                <w:b/>
                <w:bCs/>
                <w:spacing w:val="-8"/>
                <w:sz w:val="20"/>
                <w:szCs w:val="20"/>
              </w:rPr>
            </w:pPr>
            <w:r>
              <w:rPr>
                <w:b/>
                <w:spacing w:val="-8"/>
                <w:sz w:val="20"/>
              </w:rPr>
              <w:t>Change</w:t>
            </w:r>
          </w:p>
        </w:tc>
      </w:tr>
      <w:tr w:rsidR="009602FE">
        <w:trPr>
          <w:trHeight w:val="255"/>
        </w:trPr>
        <w:tc>
          <w:tcPr>
            <w:tcW w:w="2977" w:type="dxa"/>
            <w:tcBorders>
              <w:top w:val="nil"/>
              <w:left w:val="single" w:sz="4" w:space="0" w:color="auto"/>
              <w:bottom w:val="single" w:sz="4" w:space="0" w:color="auto"/>
              <w:right w:val="single" w:sz="4" w:space="0" w:color="auto"/>
            </w:tcBorders>
            <w:noWrap/>
            <w:vAlign w:val="center"/>
          </w:tcPr>
          <w:p w:rsidR="009602FE" w:rsidRDefault="00B51B77">
            <w:pPr>
              <w:rPr>
                <w:rFonts w:cs="Lucida Sans Unicode"/>
                <w:b/>
                <w:bCs/>
                <w:spacing w:val="-8"/>
                <w:sz w:val="20"/>
                <w:szCs w:val="20"/>
              </w:rPr>
            </w:pPr>
            <w:r>
              <w:rPr>
                <w:b/>
                <w:spacing w:val="-8"/>
                <w:sz w:val="20"/>
              </w:rPr>
              <w:t> </w:t>
            </w:r>
          </w:p>
        </w:tc>
        <w:tc>
          <w:tcPr>
            <w:tcW w:w="1270" w:type="dxa"/>
            <w:tcBorders>
              <w:left w:val="nil"/>
              <w:bottom w:val="single" w:sz="4" w:space="0" w:color="auto"/>
              <w:right w:val="single" w:sz="4" w:space="0" w:color="auto"/>
            </w:tcBorders>
            <w:shd w:val="clear" w:color="auto" w:fill="D9D9D9"/>
            <w:vAlign w:val="center"/>
          </w:tcPr>
          <w:p w:rsidR="009602FE" w:rsidRDefault="00B51B77">
            <w:pPr>
              <w:jc w:val="center"/>
              <w:rPr>
                <w:rFonts w:cs="Lucida Sans Unicode"/>
                <w:b/>
                <w:bCs/>
                <w:spacing w:val="-8"/>
                <w:sz w:val="20"/>
                <w:szCs w:val="20"/>
              </w:rPr>
            </w:pPr>
            <w:r>
              <w:rPr>
                <w:b/>
                <w:spacing w:val="-8"/>
                <w:sz w:val="20"/>
              </w:rPr>
              <w:t>€ </w:t>
            </w:r>
            <w:proofErr w:type="spellStart"/>
            <w:r>
              <w:rPr>
                <w:b/>
                <w:spacing w:val="-8"/>
                <w:sz w:val="20"/>
              </w:rPr>
              <w:t>million</w:t>
            </w:r>
            <w:proofErr w:type="spellEnd"/>
          </w:p>
        </w:tc>
        <w:tc>
          <w:tcPr>
            <w:tcW w:w="1270" w:type="dxa"/>
            <w:tcBorders>
              <w:left w:val="single" w:sz="4" w:space="0" w:color="auto"/>
              <w:bottom w:val="single" w:sz="4" w:space="0" w:color="auto"/>
              <w:right w:val="single" w:sz="4" w:space="0" w:color="auto"/>
            </w:tcBorders>
            <w:vAlign w:val="center"/>
          </w:tcPr>
          <w:p w:rsidR="009602FE" w:rsidRDefault="00B51B77">
            <w:pPr>
              <w:jc w:val="center"/>
              <w:rPr>
                <w:rFonts w:cs="Lucida Sans Unicode"/>
                <w:b/>
                <w:bCs/>
                <w:spacing w:val="-8"/>
                <w:sz w:val="20"/>
                <w:szCs w:val="20"/>
              </w:rPr>
            </w:pPr>
            <w:r>
              <w:rPr>
                <w:b/>
                <w:spacing w:val="-8"/>
                <w:sz w:val="20"/>
              </w:rPr>
              <w:t>€ </w:t>
            </w:r>
            <w:proofErr w:type="spellStart"/>
            <w:r>
              <w:rPr>
                <w:b/>
                <w:spacing w:val="-8"/>
                <w:sz w:val="20"/>
              </w:rPr>
              <w:t>million</w:t>
            </w:r>
            <w:proofErr w:type="spellEnd"/>
          </w:p>
        </w:tc>
        <w:tc>
          <w:tcPr>
            <w:tcW w:w="1125" w:type="dxa"/>
            <w:tcBorders>
              <w:left w:val="single" w:sz="4" w:space="0" w:color="auto"/>
              <w:bottom w:val="single" w:sz="4" w:space="0" w:color="auto"/>
              <w:right w:val="single" w:sz="4" w:space="0" w:color="auto"/>
            </w:tcBorders>
            <w:vAlign w:val="center"/>
          </w:tcPr>
          <w:p w:rsidR="009602FE" w:rsidRDefault="00B51B77">
            <w:pPr>
              <w:jc w:val="center"/>
              <w:rPr>
                <w:rFonts w:cs="Lucida Sans Unicode"/>
                <w:b/>
                <w:bCs/>
                <w:spacing w:val="-8"/>
                <w:sz w:val="20"/>
                <w:szCs w:val="20"/>
              </w:rPr>
            </w:pPr>
            <w:r>
              <w:rPr>
                <w:b/>
                <w:spacing w:val="-8"/>
                <w:sz w:val="20"/>
              </w:rPr>
              <w:t>in %</w:t>
            </w:r>
          </w:p>
        </w:tc>
        <w:tc>
          <w:tcPr>
            <w:tcW w:w="1148" w:type="dxa"/>
            <w:tcBorders>
              <w:left w:val="nil"/>
              <w:bottom w:val="single" w:sz="4" w:space="0" w:color="auto"/>
              <w:right w:val="single" w:sz="4" w:space="0" w:color="auto"/>
            </w:tcBorders>
            <w:shd w:val="clear" w:color="auto" w:fill="D9D9D9"/>
            <w:vAlign w:val="center"/>
          </w:tcPr>
          <w:p w:rsidR="009602FE" w:rsidRDefault="00B51B77">
            <w:pPr>
              <w:jc w:val="center"/>
              <w:rPr>
                <w:rFonts w:cs="Lucida Sans Unicode"/>
                <w:b/>
                <w:bCs/>
                <w:spacing w:val="-8"/>
                <w:sz w:val="20"/>
                <w:szCs w:val="20"/>
              </w:rPr>
            </w:pPr>
            <w:r>
              <w:rPr>
                <w:b/>
                <w:spacing w:val="-8"/>
                <w:sz w:val="20"/>
              </w:rPr>
              <w:t>€ </w:t>
            </w:r>
            <w:proofErr w:type="spellStart"/>
            <w:r>
              <w:rPr>
                <w:b/>
                <w:spacing w:val="-8"/>
                <w:sz w:val="20"/>
              </w:rPr>
              <w:t>million</w:t>
            </w:r>
            <w:proofErr w:type="spellEnd"/>
          </w:p>
        </w:tc>
        <w:tc>
          <w:tcPr>
            <w:tcW w:w="1116" w:type="dxa"/>
            <w:tcBorders>
              <w:top w:val="nil"/>
              <w:left w:val="single" w:sz="4" w:space="0" w:color="auto"/>
              <w:bottom w:val="single" w:sz="4" w:space="0" w:color="auto"/>
              <w:right w:val="single" w:sz="4" w:space="0" w:color="auto"/>
            </w:tcBorders>
            <w:vAlign w:val="center"/>
          </w:tcPr>
          <w:p w:rsidR="009602FE" w:rsidRDefault="00B51B77">
            <w:pPr>
              <w:jc w:val="center"/>
              <w:rPr>
                <w:rFonts w:cs="Lucida Sans Unicode"/>
                <w:b/>
                <w:bCs/>
                <w:spacing w:val="-8"/>
                <w:sz w:val="20"/>
                <w:szCs w:val="20"/>
              </w:rPr>
            </w:pPr>
            <w:r>
              <w:rPr>
                <w:b/>
                <w:spacing w:val="-8"/>
                <w:sz w:val="20"/>
              </w:rPr>
              <w:t>€ </w:t>
            </w:r>
            <w:proofErr w:type="spellStart"/>
            <w:r>
              <w:rPr>
                <w:b/>
                <w:spacing w:val="-8"/>
                <w:sz w:val="20"/>
              </w:rPr>
              <w:t>million</w:t>
            </w:r>
            <w:proofErr w:type="spellEnd"/>
          </w:p>
        </w:tc>
        <w:tc>
          <w:tcPr>
            <w:tcW w:w="1122" w:type="dxa"/>
            <w:gridSpan w:val="2"/>
            <w:tcBorders>
              <w:top w:val="nil"/>
              <w:left w:val="single" w:sz="4" w:space="0" w:color="auto"/>
              <w:bottom w:val="single" w:sz="4" w:space="0" w:color="auto"/>
              <w:right w:val="single" w:sz="4" w:space="0" w:color="auto"/>
            </w:tcBorders>
            <w:vAlign w:val="center"/>
          </w:tcPr>
          <w:p w:rsidR="009602FE" w:rsidRDefault="00B51B77">
            <w:pPr>
              <w:jc w:val="center"/>
              <w:rPr>
                <w:rFonts w:cs="Lucida Sans Unicode"/>
                <w:b/>
                <w:bCs/>
                <w:spacing w:val="-8"/>
                <w:sz w:val="20"/>
                <w:szCs w:val="20"/>
              </w:rPr>
            </w:pPr>
            <w:r>
              <w:rPr>
                <w:b/>
                <w:spacing w:val="-8"/>
                <w:sz w:val="20"/>
              </w:rPr>
              <w:t>in %</w:t>
            </w:r>
          </w:p>
        </w:tc>
      </w:tr>
      <w:tr w:rsidR="009602FE">
        <w:trPr>
          <w:trHeight w:val="255"/>
        </w:trPr>
        <w:tc>
          <w:tcPr>
            <w:tcW w:w="2977" w:type="dxa"/>
            <w:tcBorders>
              <w:top w:val="single" w:sz="4" w:space="0" w:color="auto"/>
              <w:left w:val="single" w:sz="4" w:space="0" w:color="auto"/>
              <w:bottom w:val="single" w:sz="4" w:space="0" w:color="auto"/>
              <w:right w:val="single" w:sz="4" w:space="0" w:color="auto"/>
            </w:tcBorders>
            <w:noWrap/>
            <w:vAlign w:val="center"/>
          </w:tcPr>
          <w:p w:rsidR="009602FE" w:rsidRDefault="00B51B77">
            <w:pPr>
              <w:rPr>
                <w:rFonts w:cs="Lucida Sans Unicode"/>
                <w:spacing w:val="-8"/>
                <w:sz w:val="20"/>
                <w:szCs w:val="20"/>
              </w:rPr>
            </w:pPr>
            <w:r>
              <w:rPr>
                <w:spacing w:val="-8"/>
                <w:sz w:val="20"/>
              </w:rPr>
              <w:t xml:space="preserve">Consumer, </w:t>
            </w:r>
            <w:proofErr w:type="spellStart"/>
            <w:r>
              <w:rPr>
                <w:spacing w:val="-8"/>
                <w:sz w:val="20"/>
              </w:rPr>
              <w:t>Health</w:t>
            </w:r>
            <w:proofErr w:type="spellEnd"/>
            <w:r>
              <w:rPr>
                <w:spacing w:val="-8"/>
                <w:sz w:val="20"/>
              </w:rPr>
              <w:t xml:space="preserve"> &amp; Nutrition</w:t>
            </w:r>
          </w:p>
        </w:tc>
        <w:tc>
          <w:tcPr>
            <w:tcW w:w="1270" w:type="dxa"/>
            <w:tcBorders>
              <w:top w:val="single" w:sz="4" w:space="0" w:color="auto"/>
              <w:left w:val="nil"/>
              <w:bottom w:val="single" w:sz="4" w:space="0" w:color="auto"/>
              <w:right w:val="single" w:sz="4" w:space="0" w:color="auto"/>
            </w:tcBorders>
            <w:shd w:val="clear" w:color="auto" w:fill="D9D9D9"/>
            <w:noWrap/>
            <w:vAlign w:val="center"/>
          </w:tcPr>
          <w:p w:rsidR="009602FE" w:rsidRDefault="00B51B77">
            <w:pPr>
              <w:jc w:val="right"/>
              <w:rPr>
                <w:rFonts w:cs="Lucida Sans Unicode"/>
                <w:spacing w:val="-8"/>
                <w:sz w:val="20"/>
                <w:szCs w:val="20"/>
              </w:rPr>
            </w:pPr>
            <w:r>
              <w:rPr>
                <w:spacing w:val="-8"/>
                <w:sz w:val="20"/>
              </w:rPr>
              <w:t>4,204</w:t>
            </w:r>
          </w:p>
        </w:tc>
        <w:tc>
          <w:tcPr>
            <w:tcW w:w="1270" w:type="dxa"/>
            <w:tcBorders>
              <w:top w:val="single" w:sz="4" w:space="0" w:color="auto"/>
              <w:left w:val="single" w:sz="4" w:space="0" w:color="auto"/>
              <w:bottom w:val="single" w:sz="4" w:space="0" w:color="auto"/>
              <w:right w:val="single" w:sz="4" w:space="0" w:color="auto"/>
            </w:tcBorders>
            <w:noWrap/>
            <w:vAlign w:val="center"/>
          </w:tcPr>
          <w:p w:rsidR="009602FE" w:rsidRDefault="00B51B77">
            <w:pPr>
              <w:jc w:val="right"/>
              <w:rPr>
                <w:rFonts w:cs="Lucida Sans Unicode"/>
                <w:spacing w:val="-8"/>
                <w:sz w:val="20"/>
                <w:szCs w:val="20"/>
              </w:rPr>
            </w:pPr>
            <w:r>
              <w:rPr>
                <w:spacing w:val="-8"/>
                <w:sz w:val="20"/>
              </w:rPr>
              <w:t>4,081</w:t>
            </w:r>
          </w:p>
        </w:tc>
        <w:tc>
          <w:tcPr>
            <w:tcW w:w="1125" w:type="dxa"/>
            <w:tcBorders>
              <w:top w:val="nil"/>
              <w:left w:val="single" w:sz="4" w:space="0" w:color="auto"/>
              <w:bottom w:val="single" w:sz="4" w:space="0" w:color="auto"/>
              <w:right w:val="single" w:sz="4" w:space="0" w:color="auto"/>
            </w:tcBorders>
            <w:noWrap/>
            <w:vAlign w:val="bottom"/>
          </w:tcPr>
          <w:p w:rsidR="009602FE" w:rsidRDefault="00B51B77">
            <w:pPr>
              <w:jc w:val="right"/>
              <w:rPr>
                <w:rFonts w:cs="Lucida Sans Unicode"/>
                <w:spacing w:val="-8"/>
                <w:sz w:val="20"/>
                <w:szCs w:val="20"/>
              </w:rPr>
            </w:pPr>
            <w:r>
              <w:rPr>
                <w:spacing w:val="-8"/>
                <w:sz w:val="20"/>
              </w:rPr>
              <w:t>3</w:t>
            </w:r>
          </w:p>
        </w:tc>
        <w:tc>
          <w:tcPr>
            <w:tcW w:w="1148" w:type="dxa"/>
            <w:tcBorders>
              <w:top w:val="single" w:sz="4" w:space="0" w:color="auto"/>
              <w:left w:val="nil"/>
              <w:bottom w:val="single" w:sz="4" w:space="0" w:color="auto"/>
              <w:right w:val="single" w:sz="4" w:space="0" w:color="auto"/>
            </w:tcBorders>
            <w:shd w:val="clear" w:color="auto" w:fill="D9D9D9"/>
            <w:noWrap/>
            <w:vAlign w:val="center"/>
          </w:tcPr>
          <w:p w:rsidR="009602FE" w:rsidRDefault="00B51B77">
            <w:pPr>
              <w:jc w:val="right"/>
              <w:rPr>
                <w:rFonts w:cs="Lucida Sans Unicode"/>
                <w:spacing w:val="-8"/>
                <w:sz w:val="20"/>
                <w:szCs w:val="20"/>
              </w:rPr>
            </w:pPr>
            <w:r>
              <w:rPr>
                <w:spacing w:val="-8"/>
                <w:sz w:val="20"/>
              </w:rPr>
              <w:t>1,050</w:t>
            </w:r>
          </w:p>
        </w:tc>
        <w:tc>
          <w:tcPr>
            <w:tcW w:w="1116" w:type="dxa"/>
            <w:tcBorders>
              <w:top w:val="single" w:sz="4" w:space="0" w:color="auto"/>
              <w:left w:val="single" w:sz="4" w:space="0" w:color="auto"/>
              <w:bottom w:val="single" w:sz="4" w:space="0" w:color="auto"/>
              <w:right w:val="single" w:sz="4" w:space="0" w:color="auto"/>
            </w:tcBorders>
            <w:noWrap/>
            <w:vAlign w:val="center"/>
          </w:tcPr>
          <w:p w:rsidR="009602FE" w:rsidRDefault="00B51B77">
            <w:pPr>
              <w:jc w:val="right"/>
              <w:rPr>
                <w:rFonts w:cs="Lucida Sans Unicode"/>
                <w:spacing w:val="-8"/>
                <w:sz w:val="20"/>
                <w:szCs w:val="20"/>
              </w:rPr>
            </w:pPr>
            <w:r>
              <w:rPr>
                <w:spacing w:val="-8"/>
                <w:sz w:val="20"/>
              </w:rPr>
              <w:t>1,049</w:t>
            </w:r>
          </w:p>
        </w:tc>
        <w:tc>
          <w:tcPr>
            <w:tcW w:w="1122" w:type="dxa"/>
            <w:gridSpan w:val="2"/>
            <w:tcBorders>
              <w:top w:val="nil"/>
              <w:left w:val="single" w:sz="4" w:space="0" w:color="auto"/>
              <w:bottom w:val="single" w:sz="4" w:space="0" w:color="auto"/>
              <w:right w:val="single" w:sz="4" w:space="0" w:color="auto"/>
            </w:tcBorders>
            <w:noWrap/>
            <w:vAlign w:val="bottom"/>
          </w:tcPr>
          <w:p w:rsidR="009602FE" w:rsidRDefault="00B51B77">
            <w:pPr>
              <w:jc w:val="right"/>
              <w:rPr>
                <w:rFonts w:cs="Lucida Sans Unicode"/>
                <w:spacing w:val="-8"/>
                <w:sz w:val="20"/>
                <w:szCs w:val="20"/>
              </w:rPr>
            </w:pPr>
            <w:r>
              <w:rPr>
                <w:spacing w:val="-8"/>
                <w:sz w:val="20"/>
              </w:rPr>
              <w:t>0</w:t>
            </w:r>
          </w:p>
        </w:tc>
      </w:tr>
      <w:tr w:rsidR="009602FE">
        <w:trPr>
          <w:trHeight w:val="255"/>
        </w:trPr>
        <w:tc>
          <w:tcPr>
            <w:tcW w:w="2977" w:type="dxa"/>
            <w:tcBorders>
              <w:top w:val="single" w:sz="4" w:space="0" w:color="auto"/>
              <w:left w:val="single" w:sz="4" w:space="0" w:color="auto"/>
              <w:bottom w:val="single" w:sz="4" w:space="0" w:color="auto"/>
              <w:right w:val="single" w:sz="4" w:space="0" w:color="auto"/>
            </w:tcBorders>
            <w:noWrap/>
            <w:vAlign w:val="center"/>
          </w:tcPr>
          <w:p w:rsidR="009602FE" w:rsidRDefault="00B51B77">
            <w:pPr>
              <w:rPr>
                <w:rFonts w:cs="Lucida Sans Unicode"/>
                <w:spacing w:val="-8"/>
                <w:sz w:val="20"/>
                <w:szCs w:val="20"/>
              </w:rPr>
            </w:pPr>
            <w:proofErr w:type="spellStart"/>
            <w:r>
              <w:rPr>
                <w:spacing w:val="-8"/>
                <w:sz w:val="20"/>
              </w:rPr>
              <w:t>Resource</w:t>
            </w:r>
            <w:proofErr w:type="spellEnd"/>
            <w:r>
              <w:rPr>
                <w:spacing w:val="-8"/>
                <w:sz w:val="20"/>
              </w:rPr>
              <w:t xml:space="preserve"> Efficiency </w:t>
            </w:r>
          </w:p>
        </w:tc>
        <w:tc>
          <w:tcPr>
            <w:tcW w:w="1270" w:type="dxa"/>
            <w:tcBorders>
              <w:top w:val="single" w:sz="4" w:space="0" w:color="auto"/>
              <w:left w:val="nil"/>
              <w:bottom w:val="single" w:sz="4" w:space="0" w:color="auto"/>
              <w:right w:val="single" w:sz="4" w:space="0" w:color="auto"/>
            </w:tcBorders>
            <w:shd w:val="clear" w:color="auto" w:fill="D9D9D9"/>
            <w:noWrap/>
            <w:vAlign w:val="center"/>
          </w:tcPr>
          <w:p w:rsidR="009602FE" w:rsidRDefault="00B51B77">
            <w:pPr>
              <w:jc w:val="right"/>
              <w:rPr>
                <w:rFonts w:cs="Lucida Sans Unicode"/>
                <w:spacing w:val="-8"/>
                <w:sz w:val="20"/>
                <w:szCs w:val="20"/>
              </w:rPr>
            </w:pPr>
            <w:r>
              <w:rPr>
                <w:spacing w:val="-8"/>
                <w:sz w:val="20"/>
              </w:rPr>
              <w:t>3,131</w:t>
            </w:r>
          </w:p>
        </w:tc>
        <w:tc>
          <w:tcPr>
            <w:tcW w:w="1270" w:type="dxa"/>
            <w:tcBorders>
              <w:top w:val="single" w:sz="4" w:space="0" w:color="auto"/>
              <w:left w:val="single" w:sz="4" w:space="0" w:color="auto"/>
              <w:bottom w:val="single" w:sz="4" w:space="0" w:color="auto"/>
              <w:right w:val="single" w:sz="4" w:space="0" w:color="auto"/>
            </w:tcBorders>
            <w:noWrap/>
            <w:vAlign w:val="center"/>
          </w:tcPr>
          <w:p w:rsidR="009602FE" w:rsidRDefault="00B51B77">
            <w:pPr>
              <w:jc w:val="right"/>
              <w:rPr>
                <w:rFonts w:cs="Lucida Sans Unicode"/>
                <w:spacing w:val="-8"/>
                <w:sz w:val="20"/>
                <w:szCs w:val="20"/>
              </w:rPr>
            </w:pPr>
            <w:r>
              <w:rPr>
                <w:spacing w:val="-8"/>
                <w:sz w:val="20"/>
              </w:rPr>
              <w:t>4,045</w:t>
            </w:r>
          </w:p>
        </w:tc>
        <w:tc>
          <w:tcPr>
            <w:tcW w:w="1125" w:type="dxa"/>
            <w:tcBorders>
              <w:top w:val="nil"/>
              <w:left w:val="single" w:sz="4" w:space="0" w:color="auto"/>
              <w:bottom w:val="single" w:sz="4" w:space="0" w:color="auto"/>
              <w:right w:val="single" w:sz="4" w:space="0" w:color="auto"/>
            </w:tcBorders>
            <w:noWrap/>
            <w:vAlign w:val="bottom"/>
          </w:tcPr>
          <w:p w:rsidR="009602FE" w:rsidRDefault="00B51B77">
            <w:pPr>
              <w:jc w:val="right"/>
              <w:rPr>
                <w:rFonts w:cs="Lucida Sans Unicode"/>
                <w:spacing w:val="-8"/>
                <w:sz w:val="20"/>
                <w:szCs w:val="20"/>
              </w:rPr>
            </w:pPr>
            <w:r>
              <w:rPr>
                <w:spacing w:val="-8"/>
                <w:sz w:val="20"/>
              </w:rPr>
              <w:t>-23</w:t>
            </w:r>
          </w:p>
        </w:tc>
        <w:tc>
          <w:tcPr>
            <w:tcW w:w="1148" w:type="dxa"/>
            <w:tcBorders>
              <w:top w:val="single" w:sz="4" w:space="0" w:color="auto"/>
              <w:left w:val="nil"/>
              <w:bottom w:val="single" w:sz="4" w:space="0" w:color="auto"/>
              <w:right w:val="single" w:sz="4" w:space="0" w:color="auto"/>
            </w:tcBorders>
            <w:shd w:val="clear" w:color="auto" w:fill="D9D9D9"/>
            <w:noWrap/>
            <w:vAlign w:val="center"/>
          </w:tcPr>
          <w:p w:rsidR="009602FE" w:rsidRDefault="00B51B77">
            <w:pPr>
              <w:jc w:val="right"/>
              <w:rPr>
                <w:rFonts w:cs="Lucida Sans Unicode"/>
                <w:spacing w:val="-8"/>
                <w:sz w:val="20"/>
                <w:szCs w:val="20"/>
              </w:rPr>
            </w:pPr>
            <w:r>
              <w:rPr>
                <w:spacing w:val="-8"/>
                <w:sz w:val="20"/>
              </w:rPr>
              <w:t>655</w:t>
            </w:r>
          </w:p>
        </w:tc>
        <w:tc>
          <w:tcPr>
            <w:tcW w:w="1116" w:type="dxa"/>
            <w:tcBorders>
              <w:top w:val="single" w:sz="4" w:space="0" w:color="auto"/>
              <w:left w:val="single" w:sz="4" w:space="0" w:color="auto"/>
              <w:bottom w:val="single" w:sz="4" w:space="0" w:color="auto"/>
              <w:right w:val="single" w:sz="4" w:space="0" w:color="auto"/>
            </w:tcBorders>
            <w:noWrap/>
            <w:vAlign w:val="center"/>
          </w:tcPr>
          <w:p w:rsidR="009602FE" w:rsidRDefault="00B51B77">
            <w:pPr>
              <w:jc w:val="right"/>
              <w:rPr>
                <w:rFonts w:cs="Lucida Sans Unicode"/>
                <w:spacing w:val="-8"/>
                <w:sz w:val="20"/>
                <w:szCs w:val="20"/>
              </w:rPr>
            </w:pPr>
            <w:r>
              <w:rPr>
                <w:spacing w:val="-8"/>
                <w:sz w:val="20"/>
              </w:rPr>
              <w:t>765</w:t>
            </w:r>
          </w:p>
        </w:tc>
        <w:tc>
          <w:tcPr>
            <w:tcW w:w="1122" w:type="dxa"/>
            <w:gridSpan w:val="2"/>
            <w:tcBorders>
              <w:top w:val="nil"/>
              <w:left w:val="single" w:sz="4" w:space="0" w:color="auto"/>
              <w:bottom w:val="single" w:sz="4" w:space="0" w:color="auto"/>
              <w:right w:val="single" w:sz="4" w:space="0" w:color="auto"/>
            </w:tcBorders>
            <w:noWrap/>
            <w:vAlign w:val="bottom"/>
          </w:tcPr>
          <w:p w:rsidR="009602FE" w:rsidRDefault="00B51B77">
            <w:pPr>
              <w:jc w:val="right"/>
              <w:rPr>
                <w:rFonts w:cs="Lucida Sans Unicode"/>
                <w:spacing w:val="-8"/>
                <w:sz w:val="20"/>
                <w:szCs w:val="20"/>
              </w:rPr>
            </w:pPr>
            <w:r>
              <w:rPr>
                <w:spacing w:val="-8"/>
                <w:sz w:val="20"/>
              </w:rPr>
              <w:t>-14</w:t>
            </w:r>
          </w:p>
        </w:tc>
      </w:tr>
      <w:tr w:rsidR="009602FE">
        <w:trPr>
          <w:trHeight w:val="255"/>
        </w:trPr>
        <w:tc>
          <w:tcPr>
            <w:tcW w:w="2977" w:type="dxa"/>
            <w:tcBorders>
              <w:top w:val="single" w:sz="4" w:space="0" w:color="auto"/>
              <w:left w:val="single" w:sz="4" w:space="0" w:color="auto"/>
              <w:bottom w:val="single" w:sz="4" w:space="0" w:color="auto"/>
              <w:right w:val="single" w:sz="4" w:space="0" w:color="auto"/>
            </w:tcBorders>
            <w:noWrap/>
            <w:vAlign w:val="center"/>
          </w:tcPr>
          <w:p w:rsidR="009602FE" w:rsidRDefault="00B51B77">
            <w:pPr>
              <w:rPr>
                <w:rFonts w:cs="Lucida Sans Unicode"/>
                <w:spacing w:val="-8"/>
                <w:sz w:val="20"/>
                <w:szCs w:val="20"/>
              </w:rPr>
            </w:pPr>
            <w:r>
              <w:rPr>
                <w:spacing w:val="-8"/>
                <w:sz w:val="20"/>
              </w:rPr>
              <w:t>Specialty Materials</w:t>
            </w:r>
          </w:p>
        </w:tc>
        <w:tc>
          <w:tcPr>
            <w:tcW w:w="1270" w:type="dxa"/>
            <w:tcBorders>
              <w:top w:val="single" w:sz="4" w:space="0" w:color="auto"/>
              <w:left w:val="nil"/>
              <w:bottom w:val="single" w:sz="4" w:space="0" w:color="auto"/>
              <w:right w:val="single" w:sz="4" w:space="0" w:color="auto"/>
            </w:tcBorders>
            <w:shd w:val="clear" w:color="auto" w:fill="D9D9D9"/>
            <w:noWrap/>
            <w:vAlign w:val="center"/>
          </w:tcPr>
          <w:p w:rsidR="009602FE" w:rsidRDefault="00B51B77">
            <w:pPr>
              <w:jc w:val="right"/>
              <w:rPr>
                <w:rFonts w:cs="Lucida Sans Unicode"/>
                <w:spacing w:val="-8"/>
                <w:sz w:val="20"/>
                <w:szCs w:val="20"/>
              </w:rPr>
            </w:pPr>
            <w:r>
              <w:rPr>
                <w:spacing w:val="-8"/>
                <w:sz w:val="20"/>
              </w:rPr>
              <w:t>4,843</w:t>
            </w:r>
          </w:p>
        </w:tc>
        <w:tc>
          <w:tcPr>
            <w:tcW w:w="1270" w:type="dxa"/>
            <w:tcBorders>
              <w:top w:val="single" w:sz="4" w:space="0" w:color="auto"/>
              <w:left w:val="single" w:sz="4" w:space="0" w:color="auto"/>
              <w:bottom w:val="single" w:sz="4" w:space="0" w:color="auto"/>
              <w:right w:val="single" w:sz="4" w:space="0" w:color="auto"/>
            </w:tcBorders>
            <w:noWrap/>
            <w:vAlign w:val="center"/>
          </w:tcPr>
          <w:p w:rsidR="009602FE" w:rsidRDefault="00B51B77">
            <w:pPr>
              <w:jc w:val="right"/>
              <w:rPr>
                <w:rFonts w:cs="Lucida Sans Unicode"/>
                <w:spacing w:val="-8"/>
                <w:sz w:val="20"/>
                <w:szCs w:val="20"/>
              </w:rPr>
            </w:pPr>
            <w:r>
              <w:rPr>
                <w:spacing w:val="-8"/>
                <w:sz w:val="20"/>
              </w:rPr>
              <w:t>4,880</w:t>
            </w:r>
          </w:p>
        </w:tc>
        <w:tc>
          <w:tcPr>
            <w:tcW w:w="1125" w:type="dxa"/>
            <w:tcBorders>
              <w:top w:val="nil"/>
              <w:left w:val="single" w:sz="4" w:space="0" w:color="auto"/>
              <w:bottom w:val="single" w:sz="4" w:space="0" w:color="auto"/>
              <w:right w:val="single" w:sz="4" w:space="0" w:color="auto"/>
            </w:tcBorders>
            <w:noWrap/>
            <w:vAlign w:val="bottom"/>
          </w:tcPr>
          <w:p w:rsidR="009602FE" w:rsidRDefault="00B51B77">
            <w:pPr>
              <w:jc w:val="right"/>
              <w:rPr>
                <w:rFonts w:cs="Lucida Sans Unicode"/>
                <w:spacing w:val="-8"/>
                <w:sz w:val="20"/>
                <w:szCs w:val="20"/>
              </w:rPr>
            </w:pPr>
            <w:r>
              <w:rPr>
                <w:spacing w:val="-8"/>
                <w:sz w:val="20"/>
              </w:rPr>
              <w:t>-1</w:t>
            </w:r>
          </w:p>
        </w:tc>
        <w:tc>
          <w:tcPr>
            <w:tcW w:w="1148" w:type="dxa"/>
            <w:tcBorders>
              <w:top w:val="single" w:sz="4" w:space="0" w:color="auto"/>
              <w:left w:val="nil"/>
              <w:bottom w:val="single" w:sz="4" w:space="0" w:color="auto"/>
              <w:right w:val="single" w:sz="4" w:space="0" w:color="auto"/>
            </w:tcBorders>
            <w:shd w:val="clear" w:color="auto" w:fill="D9D9D9"/>
            <w:noWrap/>
            <w:vAlign w:val="center"/>
          </w:tcPr>
          <w:p w:rsidR="009602FE" w:rsidRDefault="00B51B77">
            <w:pPr>
              <w:jc w:val="right"/>
              <w:rPr>
                <w:rFonts w:cs="Lucida Sans Unicode"/>
                <w:spacing w:val="-8"/>
                <w:sz w:val="20"/>
                <w:szCs w:val="20"/>
              </w:rPr>
            </w:pPr>
            <w:r>
              <w:rPr>
                <w:spacing w:val="-8"/>
                <w:sz w:val="20"/>
              </w:rPr>
              <w:t>843</w:t>
            </w:r>
          </w:p>
        </w:tc>
        <w:tc>
          <w:tcPr>
            <w:tcW w:w="1116" w:type="dxa"/>
            <w:tcBorders>
              <w:top w:val="single" w:sz="4" w:space="0" w:color="auto"/>
              <w:left w:val="single" w:sz="4" w:space="0" w:color="auto"/>
              <w:bottom w:val="single" w:sz="4" w:space="0" w:color="auto"/>
              <w:right w:val="single" w:sz="4" w:space="0" w:color="auto"/>
            </w:tcBorders>
            <w:noWrap/>
            <w:vAlign w:val="center"/>
          </w:tcPr>
          <w:p w:rsidR="009602FE" w:rsidRDefault="00B51B77">
            <w:pPr>
              <w:jc w:val="right"/>
              <w:rPr>
                <w:rFonts w:cs="Lucida Sans Unicode"/>
                <w:spacing w:val="-8"/>
                <w:sz w:val="20"/>
                <w:szCs w:val="20"/>
              </w:rPr>
            </w:pPr>
            <w:r>
              <w:rPr>
                <w:spacing w:val="-8"/>
                <w:sz w:val="20"/>
              </w:rPr>
              <w:t>907</w:t>
            </w:r>
          </w:p>
        </w:tc>
        <w:tc>
          <w:tcPr>
            <w:tcW w:w="1122" w:type="dxa"/>
            <w:gridSpan w:val="2"/>
            <w:tcBorders>
              <w:top w:val="nil"/>
              <w:left w:val="single" w:sz="4" w:space="0" w:color="auto"/>
              <w:bottom w:val="single" w:sz="4" w:space="0" w:color="auto"/>
              <w:right w:val="single" w:sz="4" w:space="0" w:color="auto"/>
            </w:tcBorders>
            <w:noWrap/>
            <w:vAlign w:val="bottom"/>
          </w:tcPr>
          <w:p w:rsidR="009602FE" w:rsidRDefault="00B51B77">
            <w:pPr>
              <w:jc w:val="right"/>
              <w:rPr>
                <w:rFonts w:cs="Lucida Sans Unicode"/>
                <w:spacing w:val="-8"/>
                <w:sz w:val="20"/>
                <w:szCs w:val="20"/>
              </w:rPr>
            </w:pPr>
            <w:r>
              <w:rPr>
                <w:spacing w:val="-8"/>
                <w:sz w:val="20"/>
              </w:rPr>
              <w:t>-7</w:t>
            </w:r>
          </w:p>
        </w:tc>
      </w:tr>
      <w:tr w:rsidR="009602FE">
        <w:trPr>
          <w:trHeight w:val="255"/>
        </w:trPr>
        <w:tc>
          <w:tcPr>
            <w:tcW w:w="2977" w:type="dxa"/>
            <w:tcBorders>
              <w:top w:val="nil"/>
              <w:left w:val="single" w:sz="4" w:space="0" w:color="auto"/>
              <w:bottom w:val="single" w:sz="4" w:space="0" w:color="auto"/>
              <w:right w:val="single" w:sz="4" w:space="0" w:color="auto"/>
            </w:tcBorders>
            <w:noWrap/>
            <w:vAlign w:val="center"/>
          </w:tcPr>
          <w:p w:rsidR="009602FE" w:rsidRDefault="00B51B77">
            <w:pPr>
              <w:rPr>
                <w:rFonts w:cs="Lucida Sans Unicode"/>
                <w:spacing w:val="-8"/>
                <w:sz w:val="20"/>
                <w:szCs w:val="20"/>
              </w:rPr>
            </w:pPr>
            <w:r>
              <w:rPr>
                <w:spacing w:val="-8"/>
                <w:sz w:val="20"/>
              </w:rPr>
              <w:t>Services</w:t>
            </w:r>
          </w:p>
        </w:tc>
        <w:tc>
          <w:tcPr>
            <w:tcW w:w="1270" w:type="dxa"/>
            <w:tcBorders>
              <w:top w:val="single" w:sz="4" w:space="0" w:color="auto"/>
              <w:left w:val="nil"/>
              <w:bottom w:val="single" w:sz="4" w:space="0" w:color="auto"/>
              <w:right w:val="single" w:sz="4" w:space="0" w:color="auto"/>
            </w:tcBorders>
            <w:shd w:val="clear" w:color="auto" w:fill="D9D9D9"/>
            <w:noWrap/>
            <w:vAlign w:val="center"/>
          </w:tcPr>
          <w:p w:rsidR="009602FE" w:rsidRDefault="00B51B77">
            <w:pPr>
              <w:jc w:val="right"/>
              <w:rPr>
                <w:rFonts w:cs="Lucida Sans Unicode"/>
                <w:spacing w:val="-8"/>
                <w:sz w:val="20"/>
                <w:szCs w:val="20"/>
              </w:rPr>
            </w:pPr>
            <w:r>
              <w:rPr>
                <w:spacing w:val="-8"/>
                <w:sz w:val="20"/>
              </w:rPr>
              <w:t>999</w:t>
            </w:r>
          </w:p>
        </w:tc>
        <w:tc>
          <w:tcPr>
            <w:tcW w:w="1270" w:type="dxa"/>
            <w:tcBorders>
              <w:top w:val="nil"/>
              <w:left w:val="single" w:sz="4" w:space="0" w:color="auto"/>
              <w:bottom w:val="single" w:sz="4" w:space="0" w:color="auto"/>
              <w:right w:val="single" w:sz="4" w:space="0" w:color="auto"/>
            </w:tcBorders>
            <w:noWrap/>
            <w:vAlign w:val="center"/>
          </w:tcPr>
          <w:p w:rsidR="009602FE" w:rsidRDefault="00B51B77">
            <w:pPr>
              <w:jc w:val="right"/>
              <w:rPr>
                <w:rFonts w:cs="Lucida Sans Unicode"/>
                <w:spacing w:val="-8"/>
                <w:sz w:val="20"/>
                <w:szCs w:val="20"/>
              </w:rPr>
            </w:pPr>
            <w:r>
              <w:rPr>
                <w:spacing w:val="-8"/>
                <w:sz w:val="20"/>
              </w:rPr>
              <w:t>952</w:t>
            </w:r>
          </w:p>
        </w:tc>
        <w:tc>
          <w:tcPr>
            <w:tcW w:w="1125" w:type="dxa"/>
            <w:tcBorders>
              <w:top w:val="nil"/>
              <w:left w:val="single" w:sz="4" w:space="0" w:color="auto"/>
              <w:bottom w:val="single" w:sz="4" w:space="0" w:color="auto"/>
              <w:right w:val="single" w:sz="4" w:space="0" w:color="auto"/>
            </w:tcBorders>
            <w:noWrap/>
            <w:vAlign w:val="bottom"/>
          </w:tcPr>
          <w:p w:rsidR="009602FE" w:rsidRDefault="00B51B77">
            <w:pPr>
              <w:jc w:val="right"/>
              <w:rPr>
                <w:rFonts w:cs="Lucida Sans Unicode"/>
                <w:spacing w:val="-8"/>
                <w:sz w:val="20"/>
                <w:szCs w:val="20"/>
              </w:rPr>
            </w:pPr>
            <w:r>
              <w:rPr>
                <w:spacing w:val="-8"/>
                <w:sz w:val="20"/>
              </w:rPr>
              <w:t>5</w:t>
            </w:r>
          </w:p>
        </w:tc>
        <w:tc>
          <w:tcPr>
            <w:tcW w:w="1148" w:type="dxa"/>
            <w:tcBorders>
              <w:top w:val="single" w:sz="4" w:space="0" w:color="auto"/>
              <w:left w:val="nil"/>
              <w:bottom w:val="single" w:sz="4" w:space="0" w:color="auto"/>
              <w:right w:val="single" w:sz="4" w:space="0" w:color="auto"/>
            </w:tcBorders>
            <w:shd w:val="clear" w:color="auto" w:fill="D9D9D9"/>
            <w:noWrap/>
            <w:vAlign w:val="center"/>
          </w:tcPr>
          <w:p w:rsidR="009602FE" w:rsidRDefault="00B51B77">
            <w:pPr>
              <w:jc w:val="right"/>
              <w:rPr>
                <w:rFonts w:cs="Lucida Sans Unicode"/>
                <w:spacing w:val="-8"/>
                <w:sz w:val="20"/>
                <w:szCs w:val="20"/>
              </w:rPr>
            </w:pPr>
            <w:r>
              <w:rPr>
                <w:spacing w:val="-8"/>
                <w:sz w:val="20"/>
              </w:rPr>
              <w:t>163</w:t>
            </w:r>
          </w:p>
        </w:tc>
        <w:tc>
          <w:tcPr>
            <w:tcW w:w="1116" w:type="dxa"/>
            <w:tcBorders>
              <w:top w:val="nil"/>
              <w:left w:val="single" w:sz="4" w:space="0" w:color="auto"/>
              <w:bottom w:val="single" w:sz="4" w:space="0" w:color="auto"/>
              <w:right w:val="single" w:sz="4" w:space="0" w:color="auto"/>
            </w:tcBorders>
            <w:noWrap/>
            <w:vAlign w:val="center"/>
          </w:tcPr>
          <w:p w:rsidR="009602FE" w:rsidRDefault="00B51B77">
            <w:pPr>
              <w:jc w:val="right"/>
              <w:rPr>
                <w:rFonts w:cs="Lucida Sans Unicode"/>
                <w:spacing w:val="-8"/>
                <w:sz w:val="20"/>
                <w:szCs w:val="20"/>
              </w:rPr>
            </w:pPr>
            <w:r>
              <w:rPr>
                <w:spacing w:val="-8"/>
                <w:sz w:val="20"/>
              </w:rPr>
              <w:t>139</w:t>
            </w:r>
          </w:p>
        </w:tc>
        <w:tc>
          <w:tcPr>
            <w:tcW w:w="1122" w:type="dxa"/>
            <w:gridSpan w:val="2"/>
            <w:tcBorders>
              <w:top w:val="nil"/>
              <w:left w:val="single" w:sz="4" w:space="0" w:color="auto"/>
              <w:bottom w:val="single" w:sz="4" w:space="0" w:color="auto"/>
              <w:right w:val="single" w:sz="4" w:space="0" w:color="auto"/>
            </w:tcBorders>
            <w:noWrap/>
            <w:vAlign w:val="bottom"/>
          </w:tcPr>
          <w:p w:rsidR="009602FE" w:rsidRDefault="00B51B77">
            <w:pPr>
              <w:jc w:val="right"/>
              <w:rPr>
                <w:rFonts w:cs="Lucida Sans Unicode"/>
                <w:spacing w:val="-8"/>
                <w:sz w:val="20"/>
                <w:szCs w:val="20"/>
              </w:rPr>
            </w:pPr>
            <w:r>
              <w:rPr>
                <w:spacing w:val="-8"/>
                <w:sz w:val="20"/>
              </w:rPr>
              <w:t>17</w:t>
            </w:r>
          </w:p>
        </w:tc>
      </w:tr>
      <w:tr w:rsidR="009602FE">
        <w:trPr>
          <w:trHeight w:val="255"/>
        </w:trPr>
        <w:tc>
          <w:tcPr>
            <w:tcW w:w="2977" w:type="dxa"/>
            <w:tcBorders>
              <w:top w:val="nil"/>
              <w:left w:val="single" w:sz="4" w:space="0" w:color="auto"/>
              <w:bottom w:val="single" w:sz="4" w:space="0" w:color="auto"/>
              <w:right w:val="single" w:sz="4" w:space="0" w:color="auto"/>
            </w:tcBorders>
            <w:noWrap/>
            <w:vAlign w:val="center"/>
          </w:tcPr>
          <w:p w:rsidR="009602FE" w:rsidRDefault="00B51B77">
            <w:pPr>
              <w:rPr>
                <w:rFonts w:cs="Lucida Sans Unicode"/>
                <w:spacing w:val="-8"/>
                <w:sz w:val="20"/>
                <w:szCs w:val="20"/>
              </w:rPr>
            </w:pPr>
            <w:r>
              <w:rPr>
                <w:spacing w:val="-8"/>
                <w:sz w:val="20"/>
              </w:rPr>
              <w:t>Real Estate</w:t>
            </w:r>
          </w:p>
        </w:tc>
        <w:tc>
          <w:tcPr>
            <w:tcW w:w="1270" w:type="dxa"/>
            <w:tcBorders>
              <w:top w:val="single" w:sz="4" w:space="0" w:color="auto"/>
              <w:left w:val="nil"/>
              <w:bottom w:val="single" w:sz="4" w:space="0" w:color="auto"/>
              <w:right w:val="single" w:sz="4" w:space="0" w:color="auto"/>
            </w:tcBorders>
            <w:shd w:val="clear" w:color="auto" w:fill="D9D9D9"/>
            <w:noWrap/>
            <w:vAlign w:val="center"/>
          </w:tcPr>
          <w:p w:rsidR="009602FE" w:rsidRDefault="00B51B77">
            <w:pPr>
              <w:jc w:val="right"/>
              <w:rPr>
                <w:rFonts w:cs="Lucida Sans Unicode"/>
                <w:spacing w:val="-8"/>
                <w:sz w:val="20"/>
                <w:szCs w:val="20"/>
              </w:rPr>
            </w:pPr>
            <w:r>
              <w:rPr>
                <w:spacing w:val="-8"/>
                <w:sz w:val="20"/>
              </w:rPr>
              <w:t>239</w:t>
            </w:r>
          </w:p>
        </w:tc>
        <w:tc>
          <w:tcPr>
            <w:tcW w:w="1270" w:type="dxa"/>
            <w:tcBorders>
              <w:top w:val="nil"/>
              <w:left w:val="single" w:sz="4" w:space="0" w:color="auto"/>
              <w:bottom w:val="single" w:sz="4" w:space="0" w:color="auto"/>
              <w:right w:val="single" w:sz="4" w:space="0" w:color="auto"/>
            </w:tcBorders>
            <w:noWrap/>
            <w:vAlign w:val="center"/>
          </w:tcPr>
          <w:p w:rsidR="009602FE" w:rsidRDefault="00B51B77">
            <w:pPr>
              <w:jc w:val="right"/>
              <w:rPr>
                <w:rFonts w:cs="Lucida Sans Unicode"/>
                <w:spacing w:val="-8"/>
                <w:sz w:val="20"/>
                <w:szCs w:val="20"/>
              </w:rPr>
            </w:pPr>
            <w:r>
              <w:rPr>
                <w:spacing w:val="-8"/>
                <w:sz w:val="20"/>
              </w:rPr>
              <w:t>412</w:t>
            </w:r>
          </w:p>
        </w:tc>
        <w:tc>
          <w:tcPr>
            <w:tcW w:w="1125" w:type="dxa"/>
            <w:tcBorders>
              <w:top w:val="nil"/>
              <w:left w:val="single" w:sz="4" w:space="0" w:color="auto"/>
              <w:bottom w:val="single" w:sz="4" w:space="0" w:color="auto"/>
              <w:right w:val="single" w:sz="4" w:space="0" w:color="auto"/>
            </w:tcBorders>
            <w:noWrap/>
            <w:vAlign w:val="bottom"/>
          </w:tcPr>
          <w:p w:rsidR="009602FE" w:rsidRDefault="00B51B77">
            <w:pPr>
              <w:jc w:val="right"/>
              <w:rPr>
                <w:rFonts w:cs="Lucida Sans Unicode"/>
                <w:spacing w:val="-8"/>
                <w:sz w:val="20"/>
                <w:szCs w:val="20"/>
              </w:rPr>
            </w:pPr>
            <w:r>
              <w:rPr>
                <w:spacing w:val="-8"/>
                <w:sz w:val="20"/>
              </w:rPr>
              <w:t>-42</w:t>
            </w:r>
          </w:p>
        </w:tc>
        <w:tc>
          <w:tcPr>
            <w:tcW w:w="1148" w:type="dxa"/>
            <w:tcBorders>
              <w:top w:val="single" w:sz="4" w:space="0" w:color="auto"/>
              <w:left w:val="nil"/>
              <w:bottom w:val="single" w:sz="4" w:space="0" w:color="auto"/>
              <w:right w:val="single" w:sz="4" w:space="0" w:color="auto"/>
            </w:tcBorders>
            <w:shd w:val="clear" w:color="auto" w:fill="D9D9D9"/>
            <w:noWrap/>
            <w:vAlign w:val="center"/>
          </w:tcPr>
          <w:p w:rsidR="009602FE" w:rsidRDefault="00B51B77">
            <w:pPr>
              <w:jc w:val="right"/>
              <w:rPr>
                <w:rFonts w:cs="Lucida Sans Unicode"/>
                <w:spacing w:val="-8"/>
                <w:sz w:val="20"/>
                <w:szCs w:val="20"/>
              </w:rPr>
            </w:pPr>
            <w:r>
              <w:rPr>
                <w:spacing w:val="-8"/>
                <w:sz w:val="20"/>
              </w:rPr>
              <w:t>199</w:t>
            </w:r>
          </w:p>
        </w:tc>
        <w:tc>
          <w:tcPr>
            <w:tcW w:w="1116" w:type="dxa"/>
            <w:tcBorders>
              <w:top w:val="nil"/>
              <w:left w:val="single" w:sz="4" w:space="0" w:color="auto"/>
              <w:bottom w:val="single" w:sz="4" w:space="0" w:color="auto"/>
              <w:right w:val="single" w:sz="4" w:space="0" w:color="auto"/>
            </w:tcBorders>
            <w:noWrap/>
            <w:vAlign w:val="center"/>
          </w:tcPr>
          <w:p w:rsidR="009602FE" w:rsidRDefault="00B51B77">
            <w:pPr>
              <w:jc w:val="right"/>
              <w:rPr>
                <w:rFonts w:cs="Lucida Sans Unicode"/>
                <w:spacing w:val="-8"/>
                <w:sz w:val="20"/>
                <w:szCs w:val="20"/>
              </w:rPr>
            </w:pPr>
            <w:r>
              <w:rPr>
                <w:spacing w:val="-8"/>
                <w:sz w:val="20"/>
              </w:rPr>
              <w:t>219</w:t>
            </w:r>
          </w:p>
        </w:tc>
        <w:tc>
          <w:tcPr>
            <w:tcW w:w="1122" w:type="dxa"/>
            <w:gridSpan w:val="2"/>
            <w:tcBorders>
              <w:top w:val="nil"/>
              <w:left w:val="single" w:sz="4" w:space="0" w:color="auto"/>
              <w:bottom w:val="single" w:sz="4" w:space="0" w:color="auto"/>
              <w:right w:val="single" w:sz="4" w:space="0" w:color="auto"/>
            </w:tcBorders>
            <w:noWrap/>
            <w:vAlign w:val="bottom"/>
          </w:tcPr>
          <w:p w:rsidR="009602FE" w:rsidRDefault="00B51B77">
            <w:pPr>
              <w:jc w:val="right"/>
              <w:rPr>
                <w:rFonts w:cs="Lucida Sans Unicode"/>
                <w:spacing w:val="-8"/>
                <w:sz w:val="20"/>
                <w:szCs w:val="20"/>
              </w:rPr>
            </w:pPr>
            <w:r>
              <w:rPr>
                <w:spacing w:val="-8"/>
                <w:sz w:val="20"/>
              </w:rPr>
              <w:t>-9</w:t>
            </w:r>
          </w:p>
        </w:tc>
      </w:tr>
      <w:tr w:rsidR="009602FE">
        <w:trPr>
          <w:trHeight w:val="255"/>
        </w:trPr>
        <w:tc>
          <w:tcPr>
            <w:tcW w:w="2977" w:type="dxa"/>
            <w:tcBorders>
              <w:top w:val="nil"/>
              <w:left w:val="single" w:sz="4" w:space="0" w:color="auto"/>
              <w:bottom w:val="single" w:sz="4" w:space="0" w:color="auto"/>
              <w:right w:val="single" w:sz="4" w:space="0" w:color="auto"/>
            </w:tcBorders>
            <w:noWrap/>
            <w:vAlign w:val="center"/>
          </w:tcPr>
          <w:p w:rsidR="009602FE" w:rsidRDefault="00B51B77">
            <w:pPr>
              <w:rPr>
                <w:rFonts w:cs="Lucida Sans Unicode"/>
                <w:spacing w:val="-8"/>
                <w:sz w:val="20"/>
                <w:szCs w:val="20"/>
              </w:rPr>
            </w:pPr>
            <w:r>
              <w:rPr>
                <w:spacing w:val="-8"/>
                <w:sz w:val="20"/>
              </w:rPr>
              <w:t xml:space="preserve">Other </w:t>
            </w:r>
            <w:proofErr w:type="spellStart"/>
            <w:r>
              <w:rPr>
                <w:spacing w:val="-8"/>
                <w:sz w:val="20"/>
              </w:rPr>
              <w:t>operations</w:t>
            </w:r>
            <w:proofErr w:type="spellEnd"/>
          </w:p>
        </w:tc>
        <w:tc>
          <w:tcPr>
            <w:tcW w:w="1270" w:type="dxa"/>
            <w:tcBorders>
              <w:top w:val="single" w:sz="4" w:space="0" w:color="auto"/>
              <w:left w:val="nil"/>
              <w:bottom w:val="single" w:sz="4" w:space="0" w:color="auto"/>
              <w:right w:val="single" w:sz="4" w:space="0" w:color="auto"/>
            </w:tcBorders>
            <w:shd w:val="clear" w:color="auto" w:fill="D9D9D9"/>
            <w:noWrap/>
            <w:vAlign w:val="center"/>
          </w:tcPr>
          <w:p w:rsidR="009602FE" w:rsidRDefault="00B51B77">
            <w:pPr>
              <w:jc w:val="right"/>
              <w:rPr>
                <w:rFonts w:cs="Lucida Sans Unicode"/>
                <w:spacing w:val="-8"/>
                <w:sz w:val="20"/>
                <w:szCs w:val="20"/>
              </w:rPr>
            </w:pPr>
            <w:r>
              <w:rPr>
                <w:spacing w:val="-8"/>
                <w:sz w:val="20"/>
              </w:rPr>
              <w:t>213</w:t>
            </w:r>
          </w:p>
        </w:tc>
        <w:tc>
          <w:tcPr>
            <w:tcW w:w="1270" w:type="dxa"/>
            <w:tcBorders>
              <w:top w:val="nil"/>
              <w:left w:val="single" w:sz="4" w:space="0" w:color="auto"/>
              <w:bottom w:val="single" w:sz="4" w:space="0" w:color="auto"/>
              <w:right w:val="single" w:sz="4" w:space="0" w:color="auto"/>
            </w:tcBorders>
            <w:noWrap/>
            <w:vAlign w:val="center"/>
          </w:tcPr>
          <w:p w:rsidR="009602FE" w:rsidRDefault="00B51B77">
            <w:pPr>
              <w:jc w:val="right"/>
              <w:rPr>
                <w:rFonts w:cs="Lucida Sans Unicode"/>
                <w:spacing w:val="-8"/>
                <w:sz w:val="20"/>
                <w:szCs w:val="20"/>
              </w:rPr>
            </w:pPr>
            <w:r>
              <w:rPr>
                <w:spacing w:val="-8"/>
                <w:sz w:val="20"/>
              </w:rPr>
              <w:t>170</w:t>
            </w:r>
          </w:p>
        </w:tc>
        <w:tc>
          <w:tcPr>
            <w:tcW w:w="1125" w:type="dxa"/>
            <w:tcBorders>
              <w:top w:val="nil"/>
              <w:left w:val="single" w:sz="4" w:space="0" w:color="auto"/>
              <w:bottom w:val="single" w:sz="4" w:space="0" w:color="auto"/>
              <w:right w:val="single" w:sz="4" w:space="0" w:color="auto"/>
            </w:tcBorders>
            <w:noWrap/>
            <w:vAlign w:val="bottom"/>
          </w:tcPr>
          <w:p w:rsidR="009602FE" w:rsidRDefault="00B51B77">
            <w:pPr>
              <w:jc w:val="right"/>
              <w:rPr>
                <w:rFonts w:cs="Lucida Sans Unicode"/>
                <w:spacing w:val="-8"/>
                <w:sz w:val="20"/>
                <w:szCs w:val="20"/>
              </w:rPr>
            </w:pPr>
            <w:r>
              <w:rPr>
                <w:spacing w:val="-8"/>
                <w:sz w:val="20"/>
              </w:rPr>
              <w:t>26</w:t>
            </w:r>
          </w:p>
        </w:tc>
        <w:tc>
          <w:tcPr>
            <w:tcW w:w="1148" w:type="dxa"/>
            <w:tcBorders>
              <w:top w:val="single" w:sz="4" w:space="0" w:color="auto"/>
              <w:left w:val="nil"/>
              <w:bottom w:val="single" w:sz="4" w:space="0" w:color="auto"/>
              <w:right w:val="single" w:sz="4" w:space="0" w:color="auto"/>
            </w:tcBorders>
            <w:shd w:val="clear" w:color="auto" w:fill="D9D9D9"/>
            <w:noWrap/>
            <w:vAlign w:val="center"/>
          </w:tcPr>
          <w:p w:rsidR="009602FE" w:rsidRDefault="00B51B77">
            <w:pPr>
              <w:jc w:val="right"/>
              <w:rPr>
                <w:rFonts w:cs="Lucida Sans Unicode"/>
                <w:spacing w:val="-8"/>
                <w:sz w:val="20"/>
                <w:szCs w:val="20"/>
              </w:rPr>
            </w:pPr>
            <w:r>
              <w:rPr>
                <w:spacing w:val="-8"/>
                <w:sz w:val="20"/>
              </w:rPr>
              <w:t>-321</w:t>
            </w:r>
          </w:p>
        </w:tc>
        <w:tc>
          <w:tcPr>
            <w:tcW w:w="1116" w:type="dxa"/>
            <w:tcBorders>
              <w:top w:val="nil"/>
              <w:left w:val="single" w:sz="4" w:space="0" w:color="auto"/>
              <w:bottom w:val="single" w:sz="4" w:space="0" w:color="auto"/>
              <w:right w:val="single" w:sz="4" w:space="0" w:color="auto"/>
            </w:tcBorders>
            <w:noWrap/>
            <w:vAlign w:val="center"/>
          </w:tcPr>
          <w:p w:rsidR="009602FE" w:rsidRDefault="00B51B77">
            <w:pPr>
              <w:jc w:val="right"/>
              <w:rPr>
                <w:rFonts w:cs="Lucida Sans Unicode"/>
                <w:spacing w:val="-8"/>
                <w:sz w:val="20"/>
                <w:szCs w:val="20"/>
              </w:rPr>
            </w:pPr>
            <w:r>
              <w:rPr>
                <w:spacing w:val="-8"/>
                <w:sz w:val="20"/>
              </w:rPr>
              <w:t>-311</w:t>
            </w:r>
          </w:p>
        </w:tc>
        <w:tc>
          <w:tcPr>
            <w:tcW w:w="1122" w:type="dxa"/>
            <w:gridSpan w:val="2"/>
            <w:tcBorders>
              <w:top w:val="nil"/>
              <w:left w:val="single" w:sz="4" w:space="0" w:color="auto"/>
              <w:bottom w:val="single" w:sz="4" w:space="0" w:color="auto"/>
              <w:right w:val="single" w:sz="4" w:space="0" w:color="auto"/>
            </w:tcBorders>
            <w:noWrap/>
            <w:vAlign w:val="bottom"/>
          </w:tcPr>
          <w:p w:rsidR="009602FE" w:rsidRDefault="009602FE">
            <w:pPr>
              <w:jc w:val="right"/>
              <w:rPr>
                <w:rFonts w:cs="Lucida Sans Unicode"/>
                <w:spacing w:val="-8"/>
                <w:sz w:val="20"/>
                <w:szCs w:val="20"/>
              </w:rPr>
            </w:pPr>
          </w:p>
        </w:tc>
      </w:tr>
      <w:tr w:rsidR="009602FE">
        <w:trPr>
          <w:trHeight w:val="255"/>
        </w:trPr>
        <w:tc>
          <w:tcPr>
            <w:tcW w:w="2977" w:type="dxa"/>
            <w:tcBorders>
              <w:top w:val="single" w:sz="4" w:space="0" w:color="auto"/>
              <w:left w:val="single" w:sz="4" w:space="0" w:color="auto"/>
              <w:bottom w:val="single" w:sz="4" w:space="0" w:color="auto"/>
              <w:right w:val="single" w:sz="4" w:space="0" w:color="auto"/>
            </w:tcBorders>
            <w:noWrap/>
            <w:vAlign w:val="center"/>
          </w:tcPr>
          <w:p w:rsidR="009602FE" w:rsidRDefault="00B51B77">
            <w:pPr>
              <w:rPr>
                <w:rFonts w:cs="Lucida Sans Unicode"/>
                <w:b/>
                <w:bCs/>
                <w:spacing w:val="-8"/>
                <w:sz w:val="20"/>
                <w:szCs w:val="20"/>
              </w:rPr>
            </w:pPr>
            <w:r>
              <w:rPr>
                <w:b/>
                <w:spacing w:val="-8"/>
                <w:sz w:val="20"/>
              </w:rPr>
              <w:t xml:space="preserve">Group </w:t>
            </w:r>
          </w:p>
        </w:tc>
        <w:tc>
          <w:tcPr>
            <w:tcW w:w="1270" w:type="dxa"/>
            <w:tcBorders>
              <w:top w:val="single" w:sz="4" w:space="0" w:color="auto"/>
              <w:left w:val="nil"/>
              <w:bottom w:val="single" w:sz="4" w:space="0" w:color="auto"/>
              <w:right w:val="single" w:sz="4" w:space="0" w:color="auto"/>
            </w:tcBorders>
            <w:shd w:val="clear" w:color="auto" w:fill="D9D9D9"/>
            <w:noWrap/>
            <w:vAlign w:val="center"/>
          </w:tcPr>
          <w:p w:rsidR="009602FE" w:rsidRDefault="00B51B77">
            <w:pPr>
              <w:jc w:val="right"/>
              <w:rPr>
                <w:rFonts w:cs="Lucida Sans Unicode"/>
                <w:b/>
                <w:bCs/>
                <w:spacing w:val="-8"/>
                <w:sz w:val="20"/>
                <w:szCs w:val="20"/>
              </w:rPr>
            </w:pPr>
            <w:r>
              <w:rPr>
                <w:b/>
                <w:spacing w:val="-8"/>
                <w:sz w:val="20"/>
              </w:rPr>
              <w:t>13,629</w:t>
            </w:r>
          </w:p>
        </w:tc>
        <w:tc>
          <w:tcPr>
            <w:tcW w:w="1270" w:type="dxa"/>
            <w:tcBorders>
              <w:top w:val="single" w:sz="4" w:space="0" w:color="auto"/>
              <w:left w:val="single" w:sz="4" w:space="0" w:color="auto"/>
              <w:bottom w:val="single" w:sz="4" w:space="0" w:color="auto"/>
              <w:right w:val="single" w:sz="4" w:space="0" w:color="auto"/>
            </w:tcBorders>
            <w:noWrap/>
            <w:vAlign w:val="center"/>
          </w:tcPr>
          <w:p w:rsidR="009602FE" w:rsidRDefault="00B51B77">
            <w:pPr>
              <w:jc w:val="right"/>
              <w:rPr>
                <w:rFonts w:cs="Lucida Sans Unicode"/>
                <w:b/>
                <w:bCs/>
                <w:spacing w:val="-8"/>
                <w:sz w:val="20"/>
                <w:szCs w:val="20"/>
              </w:rPr>
            </w:pPr>
            <w:r>
              <w:rPr>
                <w:b/>
                <w:spacing w:val="-8"/>
                <w:sz w:val="20"/>
              </w:rPr>
              <w:t>14,540</w:t>
            </w:r>
          </w:p>
        </w:tc>
        <w:tc>
          <w:tcPr>
            <w:tcW w:w="1125" w:type="dxa"/>
            <w:tcBorders>
              <w:top w:val="single" w:sz="4" w:space="0" w:color="auto"/>
              <w:left w:val="single" w:sz="4" w:space="0" w:color="auto"/>
              <w:bottom w:val="single" w:sz="4" w:space="0" w:color="auto"/>
              <w:right w:val="single" w:sz="4" w:space="0" w:color="auto"/>
            </w:tcBorders>
            <w:noWrap/>
            <w:vAlign w:val="bottom"/>
          </w:tcPr>
          <w:p w:rsidR="009602FE" w:rsidRDefault="00B51B77">
            <w:pPr>
              <w:jc w:val="right"/>
              <w:rPr>
                <w:rFonts w:cs="Lucida Sans Unicode"/>
                <w:b/>
                <w:bCs/>
                <w:spacing w:val="-8"/>
                <w:sz w:val="20"/>
                <w:szCs w:val="20"/>
              </w:rPr>
            </w:pPr>
            <w:r>
              <w:rPr>
                <w:b/>
                <w:spacing w:val="-8"/>
                <w:sz w:val="20"/>
              </w:rPr>
              <w:t>-6</w:t>
            </w:r>
          </w:p>
        </w:tc>
        <w:tc>
          <w:tcPr>
            <w:tcW w:w="1148" w:type="dxa"/>
            <w:tcBorders>
              <w:top w:val="single" w:sz="4" w:space="0" w:color="auto"/>
              <w:left w:val="nil"/>
              <w:bottom w:val="single" w:sz="4" w:space="0" w:color="auto"/>
              <w:right w:val="single" w:sz="4" w:space="0" w:color="auto"/>
            </w:tcBorders>
            <w:shd w:val="clear" w:color="auto" w:fill="D9D9D9"/>
            <w:noWrap/>
            <w:vAlign w:val="center"/>
          </w:tcPr>
          <w:p w:rsidR="009602FE" w:rsidRDefault="00B51B77">
            <w:pPr>
              <w:jc w:val="right"/>
              <w:rPr>
                <w:rFonts w:cs="Lucida Sans Unicode"/>
                <w:b/>
                <w:bCs/>
                <w:spacing w:val="-8"/>
                <w:sz w:val="20"/>
                <w:szCs w:val="20"/>
              </w:rPr>
            </w:pPr>
            <w:r>
              <w:rPr>
                <w:b/>
                <w:spacing w:val="-8"/>
                <w:sz w:val="20"/>
              </w:rPr>
              <w:t>2,589</w:t>
            </w:r>
          </w:p>
        </w:tc>
        <w:tc>
          <w:tcPr>
            <w:tcW w:w="1116" w:type="dxa"/>
            <w:tcBorders>
              <w:top w:val="single" w:sz="4" w:space="0" w:color="auto"/>
              <w:left w:val="single" w:sz="4" w:space="0" w:color="auto"/>
              <w:bottom w:val="single" w:sz="4" w:space="0" w:color="auto"/>
              <w:right w:val="single" w:sz="4" w:space="0" w:color="auto"/>
            </w:tcBorders>
            <w:noWrap/>
            <w:vAlign w:val="center"/>
          </w:tcPr>
          <w:p w:rsidR="009602FE" w:rsidRDefault="00B51B77">
            <w:pPr>
              <w:jc w:val="right"/>
              <w:rPr>
                <w:rFonts w:cs="Lucida Sans Unicode"/>
                <w:b/>
                <w:bCs/>
                <w:spacing w:val="-8"/>
                <w:sz w:val="20"/>
                <w:szCs w:val="20"/>
              </w:rPr>
            </w:pPr>
            <w:r>
              <w:rPr>
                <w:b/>
                <w:spacing w:val="-8"/>
                <w:sz w:val="20"/>
              </w:rPr>
              <w:t>2,768</w:t>
            </w:r>
          </w:p>
        </w:tc>
        <w:tc>
          <w:tcPr>
            <w:tcW w:w="1122" w:type="dxa"/>
            <w:gridSpan w:val="2"/>
            <w:tcBorders>
              <w:top w:val="single" w:sz="4" w:space="0" w:color="auto"/>
              <w:left w:val="single" w:sz="4" w:space="0" w:color="auto"/>
              <w:bottom w:val="single" w:sz="4" w:space="0" w:color="auto"/>
              <w:right w:val="single" w:sz="4" w:space="0" w:color="auto"/>
            </w:tcBorders>
            <w:noWrap/>
            <w:vAlign w:val="bottom"/>
          </w:tcPr>
          <w:p w:rsidR="009602FE" w:rsidRDefault="00B51B77">
            <w:pPr>
              <w:jc w:val="right"/>
              <w:rPr>
                <w:rFonts w:cs="Lucida Sans Unicode"/>
                <w:b/>
                <w:bCs/>
                <w:spacing w:val="-8"/>
                <w:sz w:val="20"/>
                <w:szCs w:val="20"/>
              </w:rPr>
            </w:pPr>
            <w:r>
              <w:rPr>
                <w:b/>
                <w:spacing w:val="-8"/>
                <w:sz w:val="20"/>
              </w:rPr>
              <w:t>-6</w:t>
            </w:r>
          </w:p>
        </w:tc>
      </w:tr>
    </w:tbl>
    <w:p w:rsidR="009602FE" w:rsidRDefault="00B51B77">
      <w:pPr>
        <w:spacing w:line="240" w:lineRule="auto"/>
        <w:rPr>
          <w:rFonts w:cs="Lucida Sans Unicode"/>
          <w:sz w:val="16"/>
          <w:szCs w:val="16"/>
          <w:lang w:val="en-US"/>
        </w:rPr>
      </w:pPr>
      <w:r>
        <w:rPr>
          <w:vertAlign w:val="superscript"/>
          <w:lang w:val="en-US"/>
        </w:rPr>
        <w:t>1)</w:t>
      </w:r>
      <w:r>
        <w:rPr>
          <w:lang w:val="en-US"/>
        </w:rPr>
        <w:t xml:space="preserve"> Including the carbon black business which was divested in July 2011.</w:t>
      </w:r>
    </w:p>
    <w:p w:rsidR="009602FE" w:rsidRDefault="009602FE">
      <w:pPr>
        <w:spacing w:line="160" w:lineRule="exact"/>
        <w:rPr>
          <w:rFonts w:cs="Lucida Sans Unicode"/>
          <w:b/>
          <w:bCs/>
          <w:sz w:val="20"/>
          <w:szCs w:val="20"/>
          <w:lang w:val="en-US"/>
        </w:rPr>
      </w:pPr>
    </w:p>
    <w:p w:rsidR="009602FE" w:rsidRDefault="00B51B77">
      <w:pPr>
        <w:spacing w:line="300" w:lineRule="exact"/>
        <w:rPr>
          <w:rFonts w:cs="Lucida Sans Unicode"/>
          <w:b/>
          <w:bCs/>
          <w:sz w:val="20"/>
          <w:szCs w:val="20"/>
          <w:lang w:val="en-US"/>
        </w:rPr>
      </w:pPr>
      <w:proofErr w:type="spellStart"/>
      <w:r>
        <w:rPr>
          <w:rFonts w:cs="Lucida Sans Unicode"/>
          <w:b/>
          <w:bCs/>
          <w:sz w:val="20"/>
          <w:szCs w:val="20"/>
          <w:lang w:val="en-US"/>
        </w:rPr>
        <w:t>Evonik</w:t>
      </w:r>
      <w:proofErr w:type="spellEnd"/>
      <w:r>
        <w:rPr>
          <w:rFonts w:cs="Lucida Sans Unicode"/>
          <w:b/>
          <w:bCs/>
          <w:sz w:val="20"/>
          <w:szCs w:val="20"/>
          <w:lang w:val="en-US"/>
        </w:rPr>
        <w:t xml:space="preserve"> Group: Employees by segment</w:t>
      </w:r>
    </w:p>
    <w:p w:rsidR="009602FE" w:rsidRDefault="009602FE">
      <w:pPr>
        <w:spacing w:line="160" w:lineRule="exact"/>
        <w:rPr>
          <w:rFonts w:cs="Lucida Sans Unicode"/>
          <w:b/>
          <w:bCs/>
          <w:sz w:val="20"/>
          <w:szCs w:val="20"/>
          <w:lang w:val="en-US"/>
        </w:rPr>
      </w:pPr>
    </w:p>
    <w:tbl>
      <w:tblPr>
        <w:tblW w:w="7921" w:type="dxa"/>
        <w:tblInd w:w="55" w:type="dxa"/>
        <w:tblLayout w:type="fixed"/>
        <w:tblCellMar>
          <w:left w:w="70" w:type="dxa"/>
          <w:right w:w="70" w:type="dxa"/>
        </w:tblCellMar>
        <w:tblLook w:val="0000" w:firstRow="0" w:lastRow="0" w:firstColumn="0" w:lastColumn="0" w:noHBand="0" w:noVBand="0"/>
      </w:tblPr>
      <w:tblGrid>
        <w:gridCol w:w="4335"/>
        <w:gridCol w:w="1793"/>
        <w:gridCol w:w="1793"/>
      </w:tblGrid>
      <w:tr w:rsidR="009602FE">
        <w:trPr>
          <w:trHeight w:val="255"/>
        </w:trPr>
        <w:tc>
          <w:tcPr>
            <w:tcW w:w="4335" w:type="dxa"/>
            <w:tcBorders>
              <w:top w:val="single" w:sz="12" w:space="0" w:color="auto"/>
              <w:left w:val="single" w:sz="12" w:space="0" w:color="auto"/>
              <w:right w:val="single" w:sz="12" w:space="0" w:color="auto"/>
            </w:tcBorders>
            <w:noWrap/>
          </w:tcPr>
          <w:p w:rsidR="009602FE" w:rsidRDefault="009602FE">
            <w:pPr>
              <w:jc w:val="both"/>
              <w:rPr>
                <w:rFonts w:cs="Lucida Sans Unicode"/>
                <w:sz w:val="20"/>
                <w:szCs w:val="20"/>
                <w:lang w:val="en-US"/>
              </w:rPr>
            </w:pPr>
          </w:p>
        </w:tc>
        <w:tc>
          <w:tcPr>
            <w:tcW w:w="1793" w:type="dxa"/>
            <w:vMerge w:val="restart"/>
            <w:tcBorders>
              <w:top w:val="single" w:sz="12" w:space="0" w:color="auto"/>
              <w:left w:val="single" w:sz="12" w:space="0" w:color="auto"/>
              <w:bottom w:val="single" w:sz="12" w:space="0" w:color="auto"/>
              <w:right w:val="single" w:sz="12" w:space="0" w:color="auto"/>
            </w:tcBorders>
            <w:shd w:val="clear" w:color="auto" w:fill="D9D9D9"/>
            <w:noWrap/>
          </w:tcPr>
          <w:p w:rsidR="009602FE" w:rsidRDefault="00B51B77">
            <w:pPr>
              <w:jc w:val="center"/>
              <w:rPr>
                <w:rFonts w:cs="Lucida Sans Unicode"/>
                <w:b/>
                <w:sz w:val="20"/>
                <w:szCs w:val="20"/>
                <w:lang w:val="en-US"/>
              </w:rPr>
            </w:pPr>
            <w:r>
              <w:rPr>
                <w:rFonts w:cs="Lucida Sans Unicode"/>
                <w:b/>
                <w:sz w:val="20"/>
                <w:szCs w:val="20"/>
                <w:lang w:val="en-US"/>
              </w:rPr>
              <w:t>Dec. 31, 2012</w:t>
            </w:r>
          </w:p>
          <w:p w:rsidR="009602FE" w:rsidRDefault="009602FE">
            <w:pPr>
              <w:jc w:val="center"/>
              <w:rPr>
                <w:rFonts w:cs="Lucida Sans Unicode"/>
                <w:b/>
                <w:sz w:val="20"/>
                <w:szCs w:val="20"/>
                <w:lang w:val="en-US"/>
              </w:rPr>
            </w:pPr>
          </w:p>
        </w:tc>
        <w:tc>
          <w:tcPr>
            <w:tcW w:w="1793" w:type="dxa"/>
            <w:vMerge w:val="restart"/>
            <w:tcBorders>
              <w:top w:val="single" w:sz="12" w:space="0" w:color="auto"/>
              <w:left w:val="single" w:sz="12" w:space="0" w:color="auto"/>
              <w:bottom w:val="single" w:sz="12" w:space="0" w:color="auto"/>
              <w:right w:val="single" w:sz="12" w:space="0" w:color="auto"/>
            </w:tcBorders>
            <w:noWrap/>
          </w:tcPr>
          <w:p w:rsidR="009602FE" w:rsidRDefault="00B51B77">
            <w:pPr>
              <w:jc w:val="center"/>
              <w:rPr>
                <w:rFonts w:cs="Lucida Sans Unicode"/>
                <w:b/>
                <w:sz w:val="20"/>
                <w:szCs w:val="20"/>
                <w:lang w:val="en-GB"/>
              </w:rPr>
            </w:pPr>
            <w:r>
              <w:rPr>
                <w:rFonts w:cs="Lucida Sans Unicode"/>
                <w:b/>
                <w:sz w:val="20"/>
                <w:szCs w:val="20"/>
                <w:lang w:val="en-GB"/>
              </w:rPr>
              <w:t>Dec. 31, 2011</w:t>
            </w:r>
          </w:p>
          <w:p w:rsidR="009602FE" w:rsidRDefault="009602FE">
            <w:pPr>
              <w:rPr>
                <w:rFonts w:cs="Lucida Sans Unicode"/>
                <w:b/>
                <w:sz w:val="20"/>
                <w:szCs w:val="20"/>
                <w:lang w:val="en-GB"/>
              </w:rPr>
            </w:pPr>
          </w:p>
        </w:tc>
      </w:tr>
      <w:tr w:rsidR="009602FE">
        <w:trPr>
          <w:trHeight w:val="255"/>
        </w:trPr>
        <w:tc>
          <w:tcPr>
            <w:tcW w:w="4335" w:type="dxa"/>
            <w:tcBorders>
              <w:left w:val="single" w:sz="12" w:space="0" w:color="auto"/>
              <w:bottom w:val="single" w:sz="12" w:space="0" w:color="auto"/>
              <w:right w:val="single" w:sz="12" w:space="0" w:color="auto"/>
            </w:tcBorders>
            <w:noWrap/>
          </w:tcPr>
          <w:p w:rsidR="009602FE" w:rsidRDefault="009602FE">
            <w:pPr>
              <w:rPr>
                <w:rFonts w:cs="Lucida Sans Unicode"/>
                <w:sz w:val="20"/>
                <w:szCs w:val="20"/>
                <w:lang w:val="en-GB"/>
              </w:rPr>
            </w:pPr>
          </w:p>
        </w:tc>
        <w:tc>
          <w:tcPr>
            <w:tcW w:w="1793" w:type="dxa"/>
            <w:vMerge/>
            <w:tcBorders>
              <w:top w:val="single" w:sz="12" w:space="0" w:color="auto"/>
              <w:left w:val="single" w:sz="12" w:space="0" w:color="auto"/>
              <w:bottom w:val="single" w:sz="12" w:space="0" w:color="auto"/>
              <w:right w:val="single" w:sz="12" w:space="0" w:color="auto"/>
            </w:tcBorders>
            <w:shd w:val="clear" w:color="auto" w:fill="D9D9D9"/>
          </w:tcPr>
          <w:p w:rsidR="009602FE" w:rsidRDefault="009602FE">
            <w:pPr>
              <w:rPr>
                <w:rFonts w:cs="Lucida Sans Unicode"/>
                <w:b/>
                <w:bCs/>
                <w:sz w:val="20"/>
                <w:szCs w:val="20"/>
                <w:lang w:val="en-US"/>
              </w:rPr>
            </w:pPr>
          </w:p>
        </w:tc>
        <w:tc>
          <w:tcPr>
            <w:tcW w:w="1793" w:type="dxa"/>
            <w:vMerge/>
            <w:tcBorders>
              <w:top w:val="single" w:sz="12" w:space="0" w:color="auto"/>
              <w:left w:val="single" w:sz="12" w:space="0" w:color="auto"/>
              <w:bottom w:val="single" w:sz="12" w:space="0" w:color="auto"/>
              <w:right w:val="single" w:sz="12" w:space="0" w:color="auto"/>
            </w:tcBorders>
          </w:tcPr>
          <w:p w:rsidR="009602FE" w:rsidRDefault="009602FE">
            <w:pPr>
              <w:rPr>
                <w:rFonts w:cs="Lucida Sans Unicode"/>
                <w:b/>
                <w:bCs/>
                <w:sz w:val="20"/>
                <w:szCs w:val="20"/>
                <w:lang w:val="en-US"/>
              </w:rPr>
            </w:pPr>
          </w:p>
        </w:tc>
      </w:tr>
      <w:tr w:rsidR="009602FE">
        <w:trPr>
          <w:trHeight w:val="285"/>
        </w:trPr>
        <w:tc>
          <w:tcPr>
            <w:tcW w:w="4335" w:type="dxa"/>
            <w:tcBorders>
              <w:top w:val="single" w:sz="12" w:space="0" w:color="auto"/>
              <w:left w:val="single" w:sz="12" w:space="0" w:color="auto"/>
              <w:bottom w:val="single" w:sz="6" w:space="0" w:color="auto"/>
              <w:right w:val="single" w:sz="12" w:space="0" w:color="auto"/>
            </w:tcBorders>
            <w:noWrap/>
          </w:tcPr>
          <w:p w:rsidR="009602FE" w:rsidRDefault="00B51B77">
            <w:pPr>
              <w:jc w:val="both"/>
              <w:rPr>
                <w:rFonts w:cs="Lucida Sans Unicode"/>
                <w:sz w:val="20"/>
                <w:szCs w:val="20"/>
                <w:lang w:val="en-GB"/>
              </w:rPr>
            </w:pPr>
            <w:r>
              <w:rPr>
                <w:rFonts w:cs="Lucida Sans Unicode"/>
                <w:sz w:val="20"/>
                <w:szCs w:val="20"/>
                <w:lang w:val="en-GB"/>
              </w:rPr>
              <w:t>Consumer, Health &amp; Nutrition</w:t>
            </w:r>
          </w:p>
        </w:tc>
        <w:tc>
          <w:tcPr>
            <w:tcW w:w="1793" w:type="dxa"/>
            <w:tcBorders>
              <w:top w:val="single" w:sz="12" w:space="0" w:color="auto"/>
              <w:left w:val="single" w:sz="12" w:space="0" w:color="auto"/>
              <w:bottom w:val="single" w:sz="6" w:space="0" w:color="auto"/>
              <w:right w:val="single" w:sz="12" w:space="0" w:color="auto"/>
            </w:tcBorders>
            <w:shd w:val="clear" w:color="auto" w:fill="D9D9D9"/>
            <w:noWrap/>
          </w:tcPr>
          <w:p w:rsidR="009602FE" w:rsidRDefault="00B51B77">
            <w:pPr>
              <w:jc w:val="right"/>
              <w:rPr>
                <w:rFonts w:cs="Lucida Sans Unicode"/>
                <w:sz w:val="20"/>
                <w:szCs w:val="20"/>
                <w:lang w:val="en-GB"/>
              </w:rPr>
            </w:pPr>
            <w:r>
              <w:rPr>
                <w:rFonts w:cs="Lucida Sans Unicode"/>
                <w:sz w:val="20"/>
                <w:szCs w:val="20"/>
                <w:lang w:val="en-GB"/>
              </w:rPr>
              <w:t>6,821</w:t>
            </w:r>
          </w:p>
        </w:tc>
        <w:tc>
          <w:tcPr>
            <w:tcW w:w="1793" w:type="dxa"/>
            <w:tcBorders>
              <w:top w:val="single" w:sz="12" w:space="0" w:color="auto"/>
              <w:left w:val="single" w:sz="12" w:space="0" w:color="auto"/>
              <w:bottom w:val="single" w:sz="6" w:space="0" w:color="auto"/>
              <w:right w:val="single" w:sz="12" w:space="0" w:color="auto"/>
            </w:tcBorders>
            <w:noWrap/>
          </w:tcPr>
          <w:p w:rsidR="009602FE" w:rsidRDefault="00B51B77">
            <w:pPr>
              <w:jc w:val="right"/>
              <w:rPr>
                <w:rFonts w:cs="Lucida Sans Unicode"/>
                <w:sz w:val="20"/>
                <w:szCs w:val="20"/>
                <w:lang w:val="en-GB"/>
              </w:rPr>
            </w:pPr>
            <w:r>
              <w:rPr>
                <w:rFonts w:cs="Lucida Sans Unicode"/>
                <w:sz w:val="20"/>
                <w:szCs w:val="20"/>
                <w:lang w:val="en-GB"/>
              </w:rPr>
              <w:t>6,384</w:t>
            </w:r>
          </w:p>
        </w:tc>
      </w:tr>
      <w:tr w:rsidR="009602FE">
        <w:trPr>
          <w:trHeight w:val="285"/>
        </w:trPr>
        <w:tc>
          <w:tcPr>
            <w:tcW w:w="4335" w:type="dxa"/>
            <w:tcBorders>
              <w:top w:val="single" w:sz="6" w:space="0" w:color="auto"/>
              <w:left w:val="single" w:sz="12" w:space="0" w:color="auto"/>
              <w:bottom w:val="single" w:sz="6" w:space="0" w:color="auto"/>
              <w:right w:val="single" w:sz="12" w:space="0" w:color="auto"/>
            </w:tcBorders>
            <w:noWrap/>
          </w:tcPr>
          <w:p w:rsidR="009602FE" w:rsidRDefault="00B51B77">
            <w:pPr>
              <w:jc w:val="both"/>
              <w:rPr>
                <w:rFonts w:cs="Lucida Sans Unicode"/>
                <w:sz w:val="20"/>
                <w:szCs w:val="20"/>
                <w:lang w:val="en-GB"/>
              </w:rPr>
            </w:pPr>
            <w:r>
              <w:rPr>
                <w:rFonts w:cs="Lucida Sans Unicode"/>
                <w:sz w:val="20"/>
                <w:szCs w:val="20"/>
                <w:lang w:val="en-GB"/>
              </w:rPr>
              <w:t>Resource Efficiency</w:t>
            </w:r>
          </w:p>
        </w:tc>
        <w:tc>
          <w:tcPr>
            <w:tcW w:w="1793" w:type="dxa"/>
            <w:tcBorders>
              <w:top w:val="single" w:sz="6" w:space="0" w:color="auto"/>
              <w:left w:val="single" w:sz="12" w:space="0" w:color="auto"/>
              <w:bottom w:val="single" w:sz="6" w:space="0" w:color="auto"/>
              <w:right w:val="single" w:sz="12" w:space="0" w:color="auto"/>
            </w:tcBorders>
            <w:shd w:val="clear" w:color="auto" w:fill="D9D9D9"/>
            <w:noWrap/>
          </w:tcPr>
          <w:p w:rsidR="009602FE" w:rsidRDefault="00B51B77">
            <w:pPr>
              <w:jc w:val="right"/>
              <w:rPr>
                <w:rFonts w:cs="Lucida Sans Unicode"/>
                <w:sz w:val="20"/>
                <w:szCs w:val="20"/>
                <w:lang w:val="en-GB"/>
              </w:rPr>
            </w:pPr>
            <w:r>
              <w:rPr>
                <w:rFonts w:cs="Lucida Sans Unicode"/>
                <w:sz w:val="20"/>
                <w:szCs w:val="20"/>
                <w:lang w:val="en-GB"/>
              </w:rPr>
              <w:t>5,755</w:t>
            </w:r>
          </w:p>
        </w:tc>
        <w:tc>
          <w:tcPr>
            <w:tcW w:w="1793" w:type="dxa"/>
            <w:tcBorders>
              <w:top w:val="single" w:sz="6" w:space="0" w:color="auto"/>
              <w:left w:val="single" w:sz="12" w:space="0" w:color="auto"/>
              <w:bottom w:val="single" w:sz="6" w:space="0" w:color="auto"/>
              <w:right w:val="single" w:sz="12" w:space="0" w:color="auto"/>
            </w:tcBorders>
            <w:noWrap/>
          </w:tcPr>
          <w:p w:rsidR="009602FE" w:rsidRDefault="00B51B77">
            <w:pPr>
              <w:jc w:val="right"/>
              <w:rPr>
                <w:rFonts w:cs="Lucida Sans Unicode"/>
                <w:sz w:val="20"/>
                <w:szCs w:val="20"/>
                <w:lang w:val="en-GB"/>
              </w:rPr>
            </w:pPr>
            <w:r>
              <w:rPr>
                <w:rFonts w:cs="Lucida Sans Unicode"/>
                <w:sz w:val="20"/>
                <w:szCs w:val="20"/>
                <w:lang w:val="en-GB"/>
              </w:rPr>
              <w:t>6,381</w:t>
            </w:r>
          </w:p>
        </w:tc>
      </w:tr>
      <w:tr w:rsidR="009602FE">
        <w:trPr>
          <w:trHeight w:val="285"/>
        </w:trPr>
        <w:tc>
          <w:tcPr>
            <w:tcW w:w="4335" w:type="dxa"/>
            <w:tcBorders>
              <w:top w:val="single" w:sz="6" w:space="0" w:color="auto"/>
              <w:left w:val="single" w:sz="12" w:space="0" w:color="auto"/>
              <w:bottom w:val="single" w:sz="6" w:space="0" w:color="auto"/>
              <w:right w:val="single" w:sz="12" w:space="0" w:color="auto"/>
            </w:tcBorders>
            <w:noWrap/>
          </w:tcPr>
          <w:p w:rsidR="009602FE" w:rsidRDefault="00B51B77">
            <w:pPr>
              <w:jc w:val="both"/>
              <w:rPr>
                <w:rFonts w:cs="Lucida Sans Unicode"/>
                <w:sz w:val="20"/>
                <w:szCs w:val="20"/>
                <w:lang w:val="en-GB"/>
              </w:rPr>
            </w:pPr>
            <w:r>
              <w:rPr>
                <w:rFonts w:cs="Lucida Sans Unicode"/>
                <w:sz w:val="20"/>
                <w:szCs w:val="20"/>
                <w:lang w:val="en-GB"/>
              </w:rPr>
              <w:t>Specialty Materials</w:t>
            </w:r>
          </w:p>
        </w:tc>
        <w:tc>
          <w:tcPr>
            <w:tcW w:w="1793" w:type="dxa"/>
            <w:tcBorders>
              <w:top w:val="single" w:sz="6" w:space="0" w:color="auto"/>
              <w:left w:val="single" w:sz="12" w:space="0" w:color="auto"/>
              <w:bottom w:val="single" w:sz="6" w:space="0" w:color="auto"/>
              <w:right w:val="single" w:sz="12" w:space="0" w:color="auto"/>
            </w:tcBorders>
            <w:shd w:val="clear" w:color="auto" w:fill="D9D9D9"/>
            <w:noWrap/>
          </w:tcPr>
          <w:p w:rsidR="009602FE" w:rsidRDefault="00B51B77">
            <w:pPr>
              <w:jc w:val="right"/>
              <w:rPr>
                <w:rFonts w:cs="Lucida Sans Unicode"/>
                <w:sz w:val="20"/>
                <w:szCs w:val="20"/>
                <w:lang w:val="en-GB"/>
              </w:rPr>
            </w:pPr>
            <w:r>
              <w:rPr>
                <w:rFonts w:cs="Lucida Sans Unicode"/>
                <w:sz w:val="20"/>
                <w:szCs w:val="20"/>
                <w:lang w:val="en-GB"/>
              </w:rPr>
              <w:t>6,134</w:t>
            </w:r>
          </w:p>
        </w:tc>
        <w:tc>
          <w:tcPr>
            <w:tcW w:w="1793" w:type="dxa"/>
            <w:tcBorders>
              <w:top w:val="single" w:sz="6" w:space="0" w:color="auto"/>
              <w:left w:val="single" w:sz="12" w:space="0" w:color="auto"/>
              <w:bottom w:val="single" w:sz="6" w:space="0" w:color="auto"/>
              <w:right w:val="single" w:sz="12" w:space="0" w:color="auto"/>
            </w:tcBorders>
            <w:noWrap/>
          </w:tcPr>
          <w:p w:rsidR="009602FE" w:rsidRDefault="00B51B77">
            <w:pPr>
              <w:jc w:val="right"/>
              <w:rPr>
                <w:rFonts w:cs="Lucida Sans Unicode"/>
                <w:sz w:val="20"/>
                <w:szCs w:val="20"/>
                <w:lang w:val="en-GB"/>
              </w:rPr>
            </w:pPr>
            <w:r>
              <w:rPr>
                <w:rFonts w:cs="Lucida Sans Unicode"/>
                <w:sz w:val="20"/>
                <w:szCs w:val="20"/>
                <w:lang w:val="en-GB"/>
              </w:rPr>
              <w:t>6,846</w:t>
            </w:r>
          </w:p>
        </w:tc>
      </w:tr>
      <w:tr w:rsidR="009602FE">
        <w:trPr>
          <w:trHeight w:val="285"/>
        </w:trPr>
        <w:tc>
          <w:tcPr>
            <w:tcW w:w="4335" w:type="dxa"/>
            <w:tcBorders>
              <w:top w:val="single" w:sz="6" w:space="0" w:color="auto"/>
              <w:left w:val="single" w:sz="12" w:space="0" w:color="auto"/>
              <w:bottom w:val="single" w:sz="6" w:space="0" w:color="auto"/>
              <w:right w:val="single" w:sz="12" w:space="0" w:color="auto"/>
            </w:tcBorders>
            <w:noWrap/>
          </w:tcPr>
          <w:p w:rsidR="009602FE" w:rsidRDefault="00B51B77">
            <w:pPr>
              <w:jc w:val="both"/>
              <w:rPr>
                <w:rFonts w:cs="Lucida Sans Unicode"/>
                <w:sz w:val="20"/>
                <w:szCs w:val="20"/>
                <w:lang w:val="en-GB"/>
              </w:rPr>
            </w:pPr>
            <w:r>
              <w:rPr>
                <w:rFonts w:cs="Lucida Sans Unicode"/>
                <w:sz w:val="20"/>
                <w:szCs w:val="20"/>
                <w:lang w:val="en-GB"/>
              </w:rPr>
              <w:t>Services</w:t>
            </w:r>
          </w:p>
        </w:tc>
        <w:tc>
          <w:tcPr>
            <w:tcW w:w="1793" w:type="dxa"/>
            <w:tcBorders>
              <w:top w:val="single" w:sz="6" w:space="0" w:color="auto"/>
              <w:left w:val="single" w:sz="12" w:space="0" w:color="auto"/>
              <w:bottom w:val="single" w:sz="6" w:space="0" w:color="auto"/>
              <w:right w:val="single" w:sz="12" w:space="0" w:color="auto"/>
            </w:tcBorders>
            <w:shd w:val="clear" w:color="auto" w:fill="D9D9D9"/>
            <w:noWrap/>
          </w:tcPr>
          <w:p w:rsidR="009602FE" w:rsidRDefault="00B51B77">
            <w:pPr>
              <w:jc w:val="right"/>
              <w:rPr>
                <w:rFonts w:cs="Lucida Sans Unicode"/>
                <w:sz w:val="20"/>
                <w:szCs w:val="20"/>
                <w:lang w:val="en-GB"/>
              </w:rPr>
            </w:pPr>
            <w:r>
              <w:rPr>
                <w:rFonts w:cs="Lucida Sans Unicode"/>
                <w:sz w:val="20"/>
                <w:szCs w:val="20"/>
                <w:lang w:val="en-GB"/>
              </w:rPr>
              <w:t>11,900</w:t>
            </w:r>
          </w:p>
        </w:tc>
        <w:tc>
          <w:tcPr>
            <w:tcW w:w="1793" w:type="dxa"/>
            <w:tcBorders>
              <w:top w:val="single" w:sz="6" w:space="0" w:color="auto"/>
              <w:left w:val="single" w:sz="12" w:space="0" w:color="auto"/>
              <w:bottom w:val="single" w:sz="6" w:space="0" w:color="auto"/>
              <w:right w:val="single" w:sz="12" w:space="0" w:color="auto"/>
            </w:tcBorders>
            <w:noWrap/>
          </w:tcPr>
          <w:p w:rsidR="009602FE" w:rsidRDefault="00B51B77">
            <w:pPr>
              <w:jc w:val="right"/>
              <w:rPr>
                <w:rFonts w:cs="Lucida Sans Unicode"/>
                <w:sz w:val="20"/>
                <w:szCs w:val="20"/>
                <w:lang w:val="en-GB"/>
              </w:rPr>
            </w:pPr>
            <w:r>
              <w:rPr>
                <w:rFonts w:cs="Lucida Sans Unicode"/>
                <w:sz w:val="20"/>
                <w:szCs w:val="20"/>
                <w:lang w:val="en-GB"/>
              </w:rPr>
              <w:t>10,946</w:t>
            </w:r>
          </w:p>
        </w:tc>
      </w:tr>
      <w:tr w:rsidR="009602FE">
        <w:trPr>
          <w:trHeight w:val="285"/>
        </w:trPr>
        <w:tc>
          <w:tcPr>
            <w:tcW w:w="4335" w:type="dxa"/>
            <w:tcBorders>
              <w:top w:val="single" w:sz="6" w:space="0" w:color="auto"/>
              <w:left w:val="single" w:sz="12" w:space="0" w:color="auto"/>
              <w:bottom w:val="single" w:sz="6" w:space="0" w:color="auto"/>
              <w:right w:val="single" w:sz="12" w:space="0" w:color="auto"/>
            </w:tcBorders>
            <w:noWrap/>
          </w:tcPr>
          <w:p w:rsidR="009602FE" w:rsidRDefault="00B51B77">
            <w:pPr>
              <w:jc w:val="both"/>
              <w:rPr>
                <w:rFonts w:cs="Lucida Sans Unicode"/>
                <w:sz w:val="20"/>
                <w:szCs w:val="20"/>
                <w:lang w:val="en-GB"/>
              </w:rPr>
            </w:pPr>
            <w:r>
              <w:rPr>
                <w:rFonts w:cs="Lucida Sans Unicode"/>
                <w:sz w:val="20"/>
                <w:szCs w:val="20"/>
                <w:lang w:val="en-GB"/>
              </w:rPr>
              <w:t>Real Estate</w:t>
            </w:r>
          </w:p>
        </w:tc>
        <w:tc>
          <w:tcPr>
            <w:tcW w:w="1793" w:type="dxa"/>
            <w:tcBorders>
              <w:top w:val="single" w:sz="6" w:space="0" w:color="auto"/>
              <w:left w:val="single" w:sz="12" w:space="0" w:color="auto"/>
              <w:bottom w:val="single" w:sz="6" w:space="0" w:color="auto"/>
              <w:right w:val="single" w:sz="12" w:space="0" w:color="auto"/>
            </w:tcBorders>
            <w:shd w:val="clear" w:color="auto" w:fill="D9D9D9"/>
            <w:noWrap/>
          </w:tcPr>
          <w:p w:rsidR="009602FE" w:rsidRDefault="00B51B77">
            <w:pPr>
              <w:jc w:val="right"/>
              <w:rPr>
                <w:rFonts w:cs="Lucida Sans Unicode"/>
                <w:sz w:val="20"/>
                <w:szCs w:val="20"/>
                <w:lang w:val="en-GB"/>
              </w:rPr>
            </w:pPr>
            <w:r>
              <w:rPr>
                <w:rFonts w:cs="Lucida Sans Unicode"/>
                <w:sz w:val="20"/>
                <w:szCs w:val="20"/>
                <w:lang w:val="en-GB"/>
              </w:rPr>
              <w:t>617</w:t>
            </w:r>
          </w:p>
        </w:tc>
        <w:tc>
          <w:tcPr>
            <w:tcW w:w="1793" w:type="dxa"/>
            <w:tcBorders>
              <w:top w:val="single" w:sz="6" w:space="0" w:color="auto"/>
              <w:left w:val="single" w:sz="12" w:space="0" w:color="auto"/>
              <w:bottom w:val="single" w:sz="6" w:space="0" w:color="auto"/>
              <w:right w:val="single" w:sz="12" w:space="0" w:color="auto"/>
            </w:tcBorders>
            <w:noWrap/>
          </w:tcPr>
          <w:p w:rsidR="009602FE" w:rsidRDefault="00B51B77">
            <w:pPr>
              <w:jc w:val="right"/>
              <w:rPr>
                <w:rFonts w:cs="Lucida Sans Unicode"/>
                <w:sz w:val="20"/>
                <w:szCs w:val="20"/>
                <w:lang w:val="en-GB"/>
              </w:rPr>
            </w:pPr>
            <w:r>
              <w:rPr>
                <w:rFonts w:cs="Lucida Sans Unicode"/>
                <w:sz w:val="20"/>
                <w:szCs w:val="20"/>
                <w:lang w:val="en-GB"/>
              </w:rPr>
              <w:t>1,135</w:t>
            </w:r>
          </w:p>
        </w:tc>
      </w:tr>
      <w:tr w:rsidR="009602FE">
        <w:trPr>
          <w:trHeight w:val="285"/>
        </w:trPr>
        <w:tc>
          <w:tcPr>
            <w:tcW w:w="4335" w:type="dxa"/>
            <w:tcBorders>
              <w:top w:val="single" w:sz="6" w:space="0" w:color="auto"/>
              <w:left w:val="single" w:sz="12" w:space="0" w:color="auto"/>
              <w:bottom w:val="single" w:sz="12" w:space="0" w:color="auto"/>
              <w:right w:val="single" w:sz="12" w:space="0" w:color="auto"/>
            </w:tcBorders>
            <w:noWrap/>
          </w:tcPr>
          <w:p w:rsidR="009602FE" w:rsidRDefault="00B51B77">
            <w:pPr>
              <w:jc w:val="both"/>
              <w:rPr>
                <w:rFonts w:cs="Lucida Sans Unicode"/>
                <w:sz w:val="20"/>
                <w:szCs w:val="20"/>
                <w:lang w:val="en-GB"/>
              </w:rPr>
            </w:pPr>
            <w:r>
              <w:rPr>
                <w:rFonts w:cs="Lucida Sans Unicode"/>
                <w:sz w:val="20"/>
                <w:szCs w:val="20"/>
                <w:lang w:val="en-GB"/>
              </w:rPr>
              <w:t>Other operations</w:t>
            </w:r>
          </w:p>
        </w:tc>
        <w:tc>
          <w:tcPr>
            <w:tcW w:w="1793" w:type="dxa"/>
            <w:tcBorders>
              <w:top w:val="single" w:sz="6" w:space="0" w:color="auto"/>
              <w:left w:val="single" w:sz="12" w:space="0" w:color="auto"/>
              <w:bottom w:val="single" w:sz="6" w:space="0" w:color="auto"/>
              <w:right w:val="single" w:sz="12" w:space="0" w:color="auto"/>
            </w:tcBorders>
            <w:shd w:val="clear" w:color="auto" w:fill="D9D9D9"/>
            <w:noWrap/>
          </w:tcPr>
          <w:p w:rsidR="009602FE" w:rsidRDefault="00B51B77">
            <w:pPr>
              <w:jc w:val="right"/>
              <w:rPr>
                <w:rFonts w:cs="Lucida Sans Unicode"/>
                <w:sz w:val="20"/>
                <w:szCs w:val="20"/>
                <w:lang w:val="en-GB"/>
              </w:rPr>
            </w:pPr>
            <w:r>
              <w:rPr>
                <w:rFonts w:cs="Lucida Sans Unicode"/>
                <w:sz w:val="20"/>
                <w:szCs w:val="20"/>
                <w:lang w:val="en-GB"/>
              </w:rPr>
              <w:t>2,071</w:t>
            </w:r>
          </w:p>
        </w:tc>
        <w:tc>
          <w:tcPr>
            <w:tcW w:w="1793" w:type="dxa"/>
            <w:tcBorders>
              <w:top w:val="single" w:sz="6" w:space="0" w:color="auto"/>
              <w:left w:val="single" w:sz="12" w:space="0" w:color="auto"/>
              <w:bottom w:val="single" w:sz="6" w:space="0" w:color="auto"/>
              <w:right w:val="single" w:sz="12" w:space="0" w:color="auto"/>
            </w:tcBorders>
            <w:noWrap/>
          </w:tcPr>
          <w:p w:rsidR="009602FE" w:rsidRDefault="00B51B77">
            <w:pPr>
              <w:jc w:val="right"/>
              <w:rPr>
                <w:rFonts w:cs="Lucida Sans Unicode"/>
                <w:sz w:val="20"/>
                <w:szCs w:val="20"/>
                <w:lang w:val="en-GB"/>
              </w:rPr>
            </w:pPr>
            <w:r>
              <w:rPr>
                <w:rFonts w:cs="Lucida Sans Unicode"/>
                <w:sz w:val="20"/>
                <w:szCs w:val="20"/>
                <w:lang w:val="en-GB"/>
              </w:rPr>
              <w:t>1,864</w:t>
            </w:r>
          </w:p>
        </w:tc>
      </w:tr>
      <w:tr w:rsidR="009602FE">
        <w:trPr>
          <w:trHeight w:val="285"/>
        </w:trPr>
        <w:tc>
          <w:tcPr>
            <w:tcW w:w="4335" w:type="dxa"/>
            <w:tcBorders>
              <w:top w:val="single" w:sz="12" w:space="0" w:color="auto"/>
              <w:left w:val="single" w:sz="12" w:space="0" w:color="auto"/>
              <w:bottom w:val="single" w:sz="12" w:space="0" w:color="auto"/>
              <w:right w:val="single" w:sz="12" w:space="0" w:color="auto"/>
            </w:tcBorders>
            <w:noWrap/>
          </w:tcPr>
          <w:p w:rsidR="009602FE" w:rsidRDefault="00B51B77">
            <w:pPr>
              <w:jc w:val="both"/>
              <w:rPr>
                <w:rFonts w:cs="Lucida Sans Unicode"/>
                <w:sz w:val="20"/>
                <w:szCs w:val="20"/>
              </w:rPr>
            </w:pPr>
            <w:proofErr w:type="spellStart"/>
            <w:r>
              <w:rPr>
                <w:rFonts w:cs="Lucida Sans Unicode"/>
                <w:sz w:val="20"/>
                <w:szCs w:val="20"/>
              </w:rPr>
              <w:t>Continuing</w:t>
            </w:r>
            <w:proofErr w:type="spellEnd"/>
            <w:r>
              <w:rPr>
                <w:rFonts w:cs="Lucida Sans Unicode"/>
                <w:sz w:val="20"/>
                <w:szCs w:val="20"/>
              </w:rPr>
              <w:t xml:space="preserve"> </w:t>
            </w:r>
            <w:proofErr w:type="spellStart"/>
            <w:r>
              <w:rPr>
                <w:rFonts w:cs="Lucida Sans Unicode"/>
                <w:sz w:val="20"/>
                <w:szCs w:val="20"/>
              </w:rPr>
              <w:t>operations</w:t>
            </w:r>
            <w:proofErr w:type="spellEnd"/>
          </w:p>
        </w:tc>
        <w:tc>
          <w:tcPr>
            <w:tcW w:w="1793" w:type="dxa"/>
            <w:tcBorders>
              <w:top w:val="single" w:sz="6" w:space="0" w:color="auto"/>
              <w:left w:val="single" w:sz="12" w:space="0" w:color="auto"/>
              <w:bottom w:val="single" w:sz="12" w:space="0" w:color="auto"/>
              <w:right w:val="single" w:sz="12" w:space="0" w:color="auto"/>
            </w:tcBorders>
            <w:shd w:val="clear" w:color="auto" w:fill="D9D9D9"/>
            <w:noWrap/>
          </w:tcPr>
          <w:p w:rsidR="009602FE" w:rsidRDefault="00B51B77">
            <w:pPr>
              <w:jc w:val="right"/>
              <w:rPr>
                <w:rFonts w:cs="Lucida Sans Unicode"/>
                <w:sz w:val="20"/>
                <w:szCs w:val="20"/>
              </w:rPr>
            </w:pPr>
            <w:r>
              <w:rPr>
                <w:rFonts w:cs="Lucida Sans Unicode"/>
                <w:sz w:val="20"/>
                <w:szCs w:val="20"/>
              </w:rPr>
              <w:t>33,298</w:t>
            </w:r>
          </w:p>
        </w:tc>
        <w:tc>
          <w:tcPr>
            <w:tcW w:w="1793" w:type="dxa"/>
            <w:tcBorders>
              <w:top w:val="single" w:sz="6" w:space="0" w:color="auto"/>
              <w:left w:val="single" w:sz="12" w:space="0" w:color="auto"/>
              <w:bottom w:val="single" w:sz="12" w:space="0" w:color="auto"/>
              <w:right w:val="single" w:sz="12" w:space="0" w:color="auto"/>
            </w:tcBorders>
            <w:noWrap/>
          </w:tcPr>
          <w:p w:rsidR="009602FE" w:rsidRDefault="00B51B77">
            <w:pPr>
              <w:jc w:val="right"/>
              <w:rPr>
                <w:rFonts w:cs="Lucida Sans Unicode"/>
                <w:sz w:val="20"/>
                <w:szCs w:val="20"/>
              </w:rPr>
            </w:pPr>
            <w:r>
              <w:rPr>
                <w:rFonts w:cs="Lucida Sans Unicode"/>
                <w:sz w:val="20"/>
                <w:szCs w:val="20"/>
              </w:rPr>
              <w:t>33,556</w:t>
            </w:r>
          </w:p>
        </w:tc>
      </w:tr>
    </w:tbl>
    <w:p w:rsidR="009602FE" w:rsidRDefault="009602FE">
      <w:pPr>
        <w:autoSpaceDE w:val="0"/>
        <w:autoSpaceDN w:val="0"/>
        <w:adjustRightInd w:val="0"/>
        <w:spacing w:line="220" w:lineRule="exact"/>
        <w:rPr>
          <w:rFonts w:cs="Lucida Sans Unicode"/>
          <w:sz w:val="16"/>
          <w:szCs w:val="16"/>
        </w:rPr>
      </w:pPr>
    </w:p>
    <w:p w:rsidR="009602FE" w:rsidRDefault="009602FE">
      <w:pPr>
        <w:autoSpaceDE w:val="0"/>
        <w:autoSpaceDN w:val="0"/>
        <w:adjustRightInd w:val="0"/>
        <w:spacing w:line="220" w:lineRule="exact"/>
        <w:rPr>
          <w:rFonts w:cs="Lucida Sans Unicode"/>
          <w:sz w:val="16"/>
          <w:szCs w:val="16"/>
        </w:rPr>
      </w:pPr>
    </w:p>
    <w:p w:rsidR="009602FE" w:rsidRDefault="009602FE">
      <w:pPr>
        <w:autoSpaceDE w:val="0"/>
        <w:autoSpaceDN w:val="0"/>
        <w:adjustRightInd w:val="0"/>
        <w:spacing w:line="220" w:lineRule="exact"/>
        <w:rPr>
          <w:rFonts w:cs="Lucida Sans Unicode"/>
          <w:b/>
          <w:bCs/>
          <w:sz w:val="16"/>
          <w:szCs w:val="16"/>
        </w:rPr>
      </w:pPr>
    </w:p>
    <w:p w:rsidR="009602FE" w:rsidRDefault="009602FE">
      <w:pPr>
        <w:autoSpaceDE w:val="0"/>
        <w:autoSpaceDN w:val="0"/>
        <w:adjustRightInd w:val="0"/>
        <w:spacing w:line="220" w:lineRule="exact"/>
        <w:ind w:left="0" w:right="0"/>
        <w:rPr>
          <w:rFonts w:cs="Lucida Sans Unicode"/>
          <w:b/>
          <w:position w:val="0"/>
          <w:szCs w:val="18"/>
        </w:rPr>
      </w:pPr>
    </w:p>
    <w:p w:rsidR="009602FE" w:rsidRDefault="009602FE">
      <w:pPr>
        <w:autoSpaceDE w:val="0"/>
        <w:autoSpaceDN w:val="0"/>
        <w:adjustRightInd w:val="0"/>
        <w:spacing w:line="220" w:lineRule="exact"/>
        <w:ind w:left="0" w:right="0"/>
        <w:rPr>
          <w:rFonts w:cs="Lucida Sans Unicode"/>
          <w:b/>
          <w:position w:val="0"/>
          <w:sz w:val="16"/>
          <w:szCs w:val="16"/>
        </w:rPr>
      </w:pPr>
    </w:p>
    <w:p w:rsidR="009602FE" w:rsidRDefault="00B51B77">
      <w:pPr>
        <w:rPr>
          <w:rFonts w:cs="Lucida Sans Unicode"/>
          <w:position w:val="0"/>
          <w:szCs w:val="18"/>
        </w:rPr>
      </w:pPr>
      <w:proofErr w:type="spellStart"/>
      <w:r>
        <w:rPr>
          <w:rFonts w:cs="Lucida Sans Unicode"/>
          <w:b/>
          <w:position w:val="0"/>
          <w:szCs w:val="18"/>
          <w:u w:val="single"/>
        </w:rPr>
        <w:t>Disclaimer</w:t>
      </w:r>
      <w:proofErr w:type="spellEnd"/>
      <w:r>
        <w:rPr>
          <w:rFonts w:cs="Lucida Sans Unicode"/>
          <w:position w:val="0"/>
          <w:szCs w:val="18"/>
        </w:rPr>
        <w:t>:</w:t>
      </w:r>
    </w:p>
    <w:p w:rsidR="00EA3AFA" w:rsidRPr="00EA3AFA" w:rsidRDefault="00EA3AFA" w:rsidP="00EA3AFA">
      <w:pPr>
        <w:rPr>
          <w:rFonts w:cs="Lucida Sans Unicode"/>
          <w:position w:val="0"/>
          <w:szCs w:val="18"/>
          <w:lang w:val="en-US"/>
        </w:rPr>
      </w:pPr>
      <w:r w:rsidRPr="00EA3AFA">
        <w:rPr>
          <w:rFonts w:cs="Lucida Sans Unicode"/>
          <w:position w:val="0"/>
          <w:szCs w:val="18"/>
          <w:lang w:val="en-US"/>
        </w:rPr>
        <w:t xml:space="preserve">These materials may not be published, distributed or transmitted in the United States, Canada, Australia or Japan.  These materials do not constitute an offer of securities for sale or a solicitation of an offer to purchase securities (the “Shares”) of </w:t>
      </w:r>
      <w:proofErr w:type="spellStart"/>
      <w:r w:rsidRPr="00EA3AFA">
        <w:rPr>
          <w:rFonts w:cs="Lucida Sans Unicode"/>
          <w:position w:val="0"/>
          <w:szCs w:val="18"/>
          <w:lang w:val="en-US"/>
        </w:rPr>
        <w:t>Evonik</w:t>
      </w:r>
      <w:proofErr w:type="spellEnd"/>
      <w:r w:rsidRPr="00EA3AFA">
        <w:rPr>
          <w:rFonts w:cs="Lucida Sans Unicode"/>
          <w:position w:val="0"/>
          <w:szCs w:val="18"/>
          <w:lang w:val="en-US"/>
        </w:rPr>
        <w:t xml:space="preserve"> Industries AG (the “Company”) in the United States, Germany or any other jurisdiction.  The Shares of the Company may not be offered or sold in the United States absent registration or an exemption from registration under the U.S. Securities Act of 1933, as amended (the “Securities Act”).  The Shares of the Company have not been, and will not be, registered under the Securities Act.</w:t>
      </w:r>
    </w:p>
    <w:p w:rsidR="00EA3AFA" w:rsidRPr="00EA3AFA" w:rsidRDefault="00EA3AFA" w:rsidP="00EA3AFA">
      <w:pPr>
        <w:rPr>
          <w:rFonts w:cs="Lucida Sans Unicode"/>
          <w:position w:val="0"/>
          <w:szCs w:val="18"/>
          <w:lang w:val="en-US"/>
        </w:rPr>
      </w:pPr>
      <w:r w:rsidRPr="00EA3AFA">
        <w:rPr>
          <w:rFonts w:cs="Lucida Sans Unicode"/>
          <w:position w:val="0"/>
          <w:szCs w:val="18"/>
          <w:lang w:val="en-US"/>
        </w:rPr>
        <w:t xml:space="preserve"> </w:t>
      </w:r>
    </w:p>
    <w:p w:rsidR="00EA3AFA" w:rsidRPr="00EA3AFA" w:rsidRDefault="00EA3AFA" w:rsidP="00EA3AFA">
      <w:pPr>
        <w:rPr>
          <w:rFonts w:cs="Lucida Sans Unicode"/>
          <w:position w:val="0"/>
          <w:szCs w:val="18"/>
          <w:lang w:val="en-US"/>
        </w:rPr>
      </w:pPr>
      <w:r w:rsidRPr="00EA3AFA">
        <w:rPr>
          <w:rFonts w:cs="Lucida Sans Unicode"/>
          <w:position w:val="0"/>
          <w:szCs w:val="18"/>
          <w:lang w:val="en-US"/>
        </w:rPr>
        <w:t xml:space="preserve">This publication constitutes neither an offer to sell nor a solicitation to buy securities. In the case of a public offering, the offer would be made solely by means of, and on the basis of, a securities prospectus which would have be published.  In the case of a public offering, an investment decision regarding any publicly offered securities of </w:t>
      </w:r>
      <w:proofErr w:type="spellStart"/>
      <w:r w:rsidRPr="00EA3AFA">
        <w:rPr>
          <w:rFonts w:cs="Lucida Sans Unicode"/>
          <w:position w:val="0"/>
          <w:szCs w:val="18"/>
          <w:lang w:val="en-US"/>
        </w:rPr>
        <w:t>Evonik</w:t>
      </w:r>
      <w:proofErr w:type="spellEnd"/>
      <w:r w:rsidRPr="00EA3AFA">
        <w:rPr>
          <w:rFonts w:cs="Lucida Sans Unicode"/>
          <w:position w:val="0"/>
          <w:szCs w:val="18"/>
          <w:lang w:val="en-US"/>
        </w:rPr>
        <w:t xml:space="preserve"> Industries AG should only be made on the basis of the securities prospectus. The securities prospectus would be published promptly upon approval by the </w:t>
      </w:r>
      <w:proofErr w:type="spellStart"/>
      <w:r w:rsidRPr="00EA3AFA">
        <w:rPr>
          <w:rFonts w:cs="Lucida Sans Unicode"/>
          <w:position w:val="0"/>
          <w:szCs w:val="18"/>
          <w:lang w:val="en-US"/>
        </w:rPr>
        <w:t>Bundesanstalt</w:t>
      </w:r>
      <w:proofErr w:type="spellEnd"/>
      <w:r w:rsidRPr="00EA3AFA">
        <w:rPr>
          <w:rFonts w:cs="Lucida Sans Unicode"/>
          <w:position w:val="0"/>
          <w:szCs w:val="18"/>
          <w:lang w:val="en-US"/>
        </w:rPr>
        <w:t xml:space="preserve"> </w:t>
      </w:r>
      <w:proofErr w:type="spellStart"/>
      <w:r w:rsidRPr="00EA3AFA">
        <w:rPr>
          <w:rFonts w:cs="Lucida Sans Unicode"/>
          <w:position w:val="0"/>
          <w:szCs w:val="18"/>
          <w:lang w:val="en-US"/>
        </w:rPr>
        <w:t>für</w:t>
      </w:r>
      <w:proofErr w:type="spellEnd"/>
      <w:r w:rsidRPr="00EA3AFA">
        <w:rPr>
          <w:rFonts w:cs="Lucida Sans Unicode"/>
          <w:position w:val="0"/>
          <w:szCs w:val="18"/>
          <w:lang w:val="en-US"/>
        </w:rPr>
        <w:t xml:space="preserve"> </w:t>
      </w:r>
      <w:proofErr w:type="spellStart"/>
      <w:r w:rsidRPr="00EA3AFA">
        <w:rPr>
          <w:rFonts w:cs="Lucida Sans Unicode"/>
          <w:position w:val="0"/>
          <w:szCs w:val="18"/>
          <w:lang w:val="en-US"/>
        </w:rPr>
        <w:t>Finanzdienstleistungsaufsicht</w:t>
      </w:r>
      <w:proofErr w:type="spellEnd"/>
      <w:r w:rsidRPr="00EA3AFA">
        <w:rPr>
          <w:rFonts w:cs="Lucida Sans Unicode"/>
          <w:position w:val="0"/>
          <w:szCs w:val="18"/>
          <w:lang w:val="en-US"/>
        </w:rPr>
        <w:t xml:space="preserve"> (</w:t>
      </w:r>
      <w:proofErr w:type="spellStart"/>
      <w:r w:rsidRPr="00EA3AFA">
        <w:rPr>
          <w:rFonts w:cs="Lucida Sans Unicode"/>
          <w:position w:val="0"/>
          <w:szCs w:val="18"/>
          <w:lang w:val="en-US"/>
        </w:rPr>
        <w:t>BaFin</w:t>
      </w:r>
      <w:proofErr w:type="spellEnd"/>
      <w:r w:rsidRPr="00EA3AFA">
        <w:rPr>
          <w:rFonts w:cs="Lucida Sans Unicode"/>
          <w:position w:val="0"/>
          <w:szCs w:val="18"/>
          <w:lang w:val="en-US"/>
        </w:rPr>
        <w:t xml:space="preserve">) and would be available free of charge from </w:t>
      </w:r>
      <w:proofErr w:type="spellStart"/>
      <w:r w:rsidRPr="00EA3AFA">
        <w:rPr>
          <w:rFonts w:cs="Lucida Sans Unicode"/>
          <w:position w:val="0"/>
          <w:szCs w:val="18"/>
          <w:lang w:val="en-US"/>
        </w:rPr>
        <w:t>Evonik</w:t>
      </w:r>
      <w:proofErr w:type="spellEnd"/>
      <w:r w:rsidRPr="00EA3AFA">
        <w:rPr>
          <w:rFonts w:cs="Lucida Sans Unicode"/>
          <w:position w:val="0"/>
          <w:szCs w:val="18"/>
          <w:lang w:val="en-US"/>
        </w:rPr>
        <w:t xml:space="preserve"> Industries AG, </w:t>
      </w:r>
      <w:proofErr w:type="spellStart"/>
      <w:r w:rsidRPr="00EA3AFA">
        <w:rPr>
          <w:rFonts w:cs="Lucida Sans Unicode"/>
          <w:position w:val="0"/>
          <w:szCs w:val="18"/>
          <w:lang w:val="en-US"/>
        </w:rPr>
        <w:t>Rellinghauser</w:t>
      </w:r>
      <w:proofErr w:type="spellEnd"/>
      <w:r w:rsidRPr="00EA3AFA">
        <w:rPr>
          <w:rFonts w:cs="Lucida Sans Unicode"/>
          <w:position w:val="0"/>
          <w:szCs w:val="18"/>
          <w:lang w:val="en-US"/>
        </w:rPr>
        <w:t xml:space="preserve"> </w:t>
      </w:r>
      <w:proofErr w:type="spellStart"/>
      <w:r w:rsidRPr="00EA3AFA">
        <w:rPr>
          <w:rFonts w:cs="Lucida Sans Unicode"/>
          <w:position w:val="0"/>
          <w:szCs w:val="18"/>
          <w:lang w:val="en-US"/>
        </w:rPr>
        <w:t>Strasse</w:t>
      </w:r>
      <w:proofErr w:type="spellEnd"/>
      <w:r w:rsidRPr="00EA3AFA">
        <w:rPr>
          <w:rFonts w:cs="Lucida Sans Unicode"/>
          <w:position w:val="0"/>
          <w:szCs w:val="18"/>
          <w:lang w:val="en-US"/>
        </w:rPr>
        <w:t xml:space="preserve"> 1-11, 45128 Essen, Germany, or on the </w:t>
      </w:r>
      <w:proofErr w:type="spellStart"/>
      <w:r w:rsidRPr="00EA3AFA">
        <w:rPr>
          <w:rFonts w:cs="Lucida Sans Unicode"/>
          <w:position w:val="0"/>
          <w:szCs w:val="18"/>
          <w:lang w:val="en-US"/>
        </w:rPr>
        <w:t>Evonik</w:t>
      </w:r>
      <w:proofErr w:type="spellEnd"/>
      <w:r w:rsidRPr="00EA3AFA">
        <w:rPr>
          <w:rFonts w:cs="Lucida Sans Unicode"/>
          <w:position w:val="0"/>
          <w:szCs w:val="18"/>
          <w:lang w:val="en-US"/>
        </w:rPr>
        <w:t xml:space="preserve"> Industries AG website.</w:t>
      </w:r>
    </w:p>
    <w:p w:rsidR="00EA3AFA" w:rsidRPr="00EA3AFA" w:rsidRDefault="00EA3AFA" w:rsidP="00EA3AFA">
      <w:pPr>
        <w:rPr>
          <w:rFonts w:cs="Lucida Sans Unicode"/>
          <w:position w:val="0"/>
          <w:szCs w:val="18"/>
          <w:lang w:val="en-US"/>
        </w:rPr>
      </w:pPr>
      <w:r w:rsidRPr="00EA3AFA">
        <w:rPr>
          <w:rFonts w:cs="Lucida Sans Unicode"/>
          <w:position w:val="0"/>
          <w:szCs w:val="18"/>
          <w:lang w:val="en-US"/>
        </w:rPr>
        <w:t xml:space="preserve"> </w:t>
      </w:r>
    </w:p>
    <w:p w:rsidR="007B2E75" w:rsidRDefault="00EA3AFA" w:rsidP="00EA3AFA">
      <w:pPr>
        <w:rPr>
          <w:rFonts w:cs="Lucida Sans Unicode"/>
          <w:position w:val="0"/>
          <w:szCs w:val="18"/>
          <w:lang w:val="en-US"/>
        </w:rPr>
      </w:pPr>
      <w:r w:rsidRPr="00EA3AFA">
        <w:rPr>
          <w:rFonts w:cs="Lucida Sans Unicode"/>
          <w:position w:val="0"/>
          <w:szCs w:val="18"/>
          <w:lang w:val="en-US"/>
        </w:rPr>
        <w:t>In the United Kingdom, this document is only being distributed to and is only directed at persons who (</w:t>
      </w:r>
      <w:proofErr w:type="spellStart"/>
      <w:r w:rsidRPr="00EA3AFA">
        <w:rPr>
          <w:rFonts w:cs="Lucida Sans Unicode"/>
          <w:position w:val="0"/>
          <w:szCs w:val="18"/>
          <w:lang w:val="en-US"/>
        </w:rPr>
        <w:t>i</w:t>
      </w:r>
      <w:proofErr w:type="spellEnd"/>
      <w:r w:rsidRPr="00EA3AFA">
        <w:rPr>
          <w:rFonts w:cs="Lucida Sans Unicode"/>
          <w:position w:val="0"/>
          <w:szCs w:val="18"/>
          <w:lang w:val="en-US"/>
        </w:rPr>
        <w:t>) are investment professionals falling within Article 19(5) of the Financial Services and Markets Act 2000 (Financial Promotion) Order 2005 (as amended) (the “Order”) or (ii) are persons falling within Article 49(2)(a) to (d) of the Order (high net worth companies, unincorporated associations, etc.) (all such persons together being referred to as “Relevant Persons”).  This document is directed only</w:t>
      </w:r>
      <w:r w:rsidRPr="00EA3AFA">
        <w:rPr>
          <w:rFonts w:ascii="Calibri" w:hAnsi="Calibri" w:cs="Calibri"/>
          <w:i/>
          <w:iCs/>
          <w:color w:val="004080"/>
          <w:position w:val="0"/>
          <w:sz w:val="24"/>
          <w:lang w:val="en-US"/>
        </w:rPr>
        <w:t xml:space="preserve"> </w:t>
      </w:r>
      <w:r w:rsidRPr="00EA3AFA">
        <w:rPr>
          <w:rFonts w:cs="Lucida Sans Unicode"/>
          <w:position w:val="0"/>
          <w:szCs w:val="18"/>
          <w:lang w:val="en-US"/>
        </w:rPr>
        <w:t>at Relevant Persons and must not be acted on or relied on by persons who are not Relevant Persons.  Any investment or investment activity to which this document relates is available only to Relevant Persons and will be engaged in only with Relevant Persons.</w:t>
      </w:r>
    </w:p>
    <w:p w:rsidR="00EA3AFA" w:rsidRPr="00EA3AFA" w:rsidRDefault="00EA3AFA" w:rsidP="00EA3AFA">
      <w:pPr>
        <w:rPr>
          <w:rFonts w:cs="Lucida Sans Unicode"/>
          <w:position w:val="0"/>
          <w:szCs w:val="18"/>
          <w:lang w:val="en-US"/>
        </w:rPr>
      </w:pPr>
    </w:p>
    <w:p w:rsidR="009602FE" w:rsidRDefault="007B2E75" w:rsidP="007B2E75">
      <w:pPr>
        <w:rPr>
          <w:rFonts w:cs="Lucida Sans Unicode"/>
          <w:position w:val="0"/>
          <w:szCs w:val="18"/>
          <w:lang w:val="en-US"/>
        </w:rPr>
      </w:pPr>
      <w:r w:rsidRPr="007B2E75">
        <w:rPr>
          <w:rFonts w:cs="Lucida Sans Unicode"/>
          <w:position w:val="0"/>
          <w:szCs w:val="18"/>
          <w:lang w:val="en-US"/>
        </w:rPr>
        <w:lastRenderedPageBreak/>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7B2E75">
        <w:rPr>
          <w:rFonts w:cs="Lucida Sans Unicode"/>
          <w:position w:val="0"/>
          <w:szCs w:val="18"/>
          <w:lang w:val="en-US"/>
        </w:rPr>
        <w:t>Evonik</w:t>
      </w:r>
      <w:proofErr w:type="spellEnd"/>
      <w:r w:rsidRPr="007B2E75">
        <w:rPr>
          <w:rFonts w:cs="Lucida Sans Unicode"/>
          <w:position w:val="0"/>
          <w:szCs w:val="18"/>
          <w:lang w:val="en-US"/>
        </w:rPr>
        <w:t xml:space="preserve"> Industries AG nor its group companies assume an obligation to update the forecasts, expectations or statements contained in this release.</w:t>
      </w:r>
    </w:p>
    <w:p w:rsidR="009602FE" w:rsidRDefault="009602FE">
      <w:pPr>
        <w:jc w:val="both"/>
        <w:rPr>
          <w:rFonts w:ascii="Arial" w:hAnsi="Arial"/>
          <w:szCs w:val="18"/>
          <w:lang w:val="en-GB"/>
        </w:rPr>
      </w:pPr>
    </w:p>
    <w:p w:rsidR="009602FE" w:rsidRDefault="009602FE">
      <w:pPr>
        <w:autoSpaceDE w:val="0"/>
        <w:autoSpaceDN w:val="0"/>
        <w:adjustRightInd w:val="0"/>
        <w:spacing w:line="220" w:lineRule="exact"/>
        <w:ind w:left="0" w:right="0"/>
        <w:rPr>
          <w:rFonts w:cs="Lucida Sans Unicode"/>
          <w:position w:val="0"/>
          <w:szCs w:val="18"/>
          <w:lang w:val="en-US"/>
        </w:rPr>
      </w:pPr>
    </w:p>
    <w:p w:rsidR="009602FE" w:rsidRDefault="00B51B77">
      <w:pPr>
        <w:autoSpaceDE w:val="0"/>
        <w:autoSpaceDN w:val="0"/>
        <w:adjustRightInd w:val="0"/>
        <w:spacing w:line="220" w:lineRule="exact"/>
        <w:rPr>
          <w:rFonts w:cs="Lucida Sans Unicode"/>
          <w:b/>
          <w:bCs/>
          <w:szCs w:val="18"/>
          <w:lang w:val="en-US"/>
        </w:rPr>
      </w:pPr>
      <w:r>
        <w:rPr>
          <w:rFonts w:cs="Lucida Sans Unicode"/>
          <w:b/>
          <w:bCs/>
          <w:szCs w:val="18"/>
          <w:lang w:val="en-US"/>
        </w:rPr>
        <w:t xml:space="preserve">Company information </w:t>
      </w:r>
    </w:p>
    <w:p w:rsidR="009602FE" w:rsidRDefault="00B51B77">
      <w:pPr>
        <w:autoSpaceDE w:val="0"/>
        <w:autoSpaceDN w:val="0"/>
        <w:adjustRightInd w:val="0"/>
        <w:spacing w:line="220" w:lineRule="exact"/>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9602FE" w:rsidRDefault="009602FE">
      <w:pPr>
        <w:autoSpaceDE w:val="0"/>
        <w:autoSpaceDN w:val="0"/>
        <w:adjustRightInd w:val="0"/>
        <w:spacing w:line="220" w:lineRule="exact"/>
        <w:rPr>
          <w:rFonts w:cs="Lucida Sans Unicode"/>
          <w:szCs w:val="18"/>
          <w:lang w:val="en-US"/>
        </w:rPr>
      </w:pPr>
    </w:p>
    <w:p w:rsidR="009602FE" w:rsidRDefault="00B51B77">
      <w:pPr>
        <w:autoSpaceDE w:val="0"/>
        <w:autoSpaceDN w:val="0"/>
        <w:adjustRightInd w:val="0"/>
        <w:spacing w:line="220" w:lineRule="exact"/>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is active in over 100 countries around the world. In fiscal 2012 more than 33,000 employees generated sales of around €13.6 billion and an operating profit (adjusted EBITDA) of about €2.6 billion.</w:t>
      </w:r>
    </w:p>
    <w:p w:rsidR="009602FE" w:rsidRDefault="009602FE">
      <w:pPr>
        <w:rPr>
          <w:lang w:val="en-US"/>
        </w:rPr>
      </w:pPr>
    </w:p>
    <w:p w:rsidR="009602FE" w:rsidRDefault="009602FE">
      <w:pPr>
        <w:autoSpaceDE w:val="0"/>
        <w:autoSpaceDN w:val="0"/>
        <w:adjustRightInd w:val="0"/>
        <w:spacing w:line="220" w:lineRule="exact"/>
        <w:ind w:left="0" w:right="0"/>
        <w:rPr>
          <w:rFonts w:cs="Lucida Sans Unicode"/>
          <w:position w:val="0"/>
          <w:szCs w:val="18"/>
          <w:lang w:val="en-US"/>
        </w:rPr>
      </w:pPr>
    </w:p>
    <w:sectPr w:rsidR="009602FE">
      <w:headerReference w:type="even" r:id="rId15"/>
      <w:type w:val="continuous"/>
      <w:pgSz w:w="11906" w:h="16838" w:code="9"/>
      <w:pgMar w:top="324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71F" w:rsidRDefault="00A9771F">
      <w:r>
        <w:separator/>
      </w:r>
    </w:p>
    <w:p w:rsidR="00A9771F" w:rsidRDefault="00A9771F"/>
  </w:endnote>
  <w:endnote w:type="continuationSeparator" w:id="0">
    <w:p w:rsidR="00A9771F" w:rsidRDefault="00A9771F">
      <w:r>
        <w:continuationSeparator/>
      </w:r>
    </w:p>
    <w:p w:rsidR="00A9771F" w:rsidRDefault="00A977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Sans Typewriter">
    <w:altName w:val="Consolas"/>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71F" w:rsidRDefault="00A9771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A9771F">
      <w:trPr>
        <w:trHeight w:val="5348"/>
      </w:trPr>
      <w:tc>
        <w:tcPr>
          <w:tcW w:w="2562" w:type="dxa"/>
          <w:tcBorders>
            <w:top w:val="nil"/>
          </w:tcBorders>
          <w:vAlign w:val="bottom"/>
        </w:tcPr>
        <w:p w:rsidR="00A9771F" w:rsidRDefault="00A9771F">
          <w:pPr>
            <w:pStyle w:val="Fuzeile"/>
            <w:spacing w:line="180" w:lineRule="exact"/>
            <w:ind w:left="0" w:right="0"/>
            <w:rPr>
              <w:sz w:val="13"/>
              <w:szCs w:val="13"/>
            </w:rPr>
          </w:pPr>
        </w:p>
      </w:tc>
    </w:tr>
  </w:tbl>
  <w:p w:rsidR="00A9771F" w:rsidRDefault="00A9771F">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333551">
      <w:rPr>
        <w:rStyle w:val="Seitenzahl"/>
        <w:noProof/>
      </w:rPr>
      <w:t>2</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333551">
      <w:rPr>
        <w:rStyle w:val="Seitenzahl"/>
        <w:noProof/>
      </w:rPr>
      <w:t>10</w:t>
    </w:r>
    <w:r>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71F" w:rsidRDefault="00A9771F">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333551">
      <w:rPr>
        <w:rStyle w:val="Seitenzahl"/>
        <w:noProof/>
      </w:rPr>
      <w:t>1</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333551">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71F" w:rsidRDefault="00A9771F">
      <w:r>
        <w:separator/>
      </w:r>
    </w:p>
    <w:p w:rsidR="00A9771F" w:rsidRDefault="00A9771F"/>
  </w:footnote>
  <w:footnote w:type="continuationSeparator" w:id="0">
    <w:p w:rsidR="00A9771F" w:rsidRDefault="00A9771F">
      <w:r>
        <w:continuationSeparator/>
      </w:r>
    </w:p>
    <w:p w:rsidR="00A9771F" w:rsidRDefault="00A977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71F" w:rsidRDefault="00A9771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A9771F">
      <w:trPr>
        <w:trHeight w:hRule="exact" w:val="227"/>
      </w:trPr>
      <w:tc>
        <w:tcPr>
          <w:tcW w:w="2552" w:type="dxa"/>
        </w:tcPr>
        <w:p w:rsidR="00A9771F" w:rsidRDefault="00A9771F">
          <w:pPr>
            <w:pStyle w:val="E-Datum"/>
            <w:framePr w:wrap="auto" w:vAnchor="margin" w:hAnchor="text" w:xAlign="left" w:yAlign="inline"/>
            <w:suppressOverlap w:val="0"/>
          </w:pPr>
        </w:p>
      </w:tc>
    </w:tr>
    <w:tr w:rsidR="00A9771F">
      <w:trPr>
        <w:trHeight w:hRule="exact" w:val="397"/>
      </w:trPr>
      <w:tc>
        <w:tcPr>
          <w:tcW w:w="2552" w:type="dxa"/>
        </w:tcPr>
        <w:p w:rsidR="00A9771F" w:rsidRDefault="00A9771F">
          <w:pPr>
            <w:spacing w:line="180" w:lineRule="exact"/>
            <w:ind w:left="0"/>
            <w:rPr>
              <w:sz w:val="13"/>
              <w:szCs w:val="13"/>
            </w:rPr>
          </w:pPr>
        </w:p>
      </w:tc>
    </w:tr>
    <w:tr w:rsidR="00A9771F">
      <w:trPr>
        <w:trHeight w:hRule="exact" w:val="1304"/>
      </w:trPr>
      <w:tc>
        <w:tcPr>
          <w:tcW w:w="2552" w:type="dxa"/>
        </w:tcPr>
        <w:p w:rsidR="00A9771F" w:rsidRDefault="00A9771F">
          <w:pPr>
            <w:spacing w:line="180" w:lineRule="exact"/>
            <w:ind w:left="0"/>
            <w:rPr>
              <w:sz w:val="13"/>
              <w:szCs w:val="13"/>
            </w:rPr>
          </w:pPr>
        </w:p>
      </w:tc>
    </w:tr>
    <w:tr w:rsidR="00A9771F">
      <w:trPr>
        <w:trHeight w:val="1374"/>
      </w:trPr>
      <w:tc>
        <w:tcPr>
          <w:tcW w:w="2552" w:type="dxa"/>
        </w:tcPr>
        <w:p w:rsidR="00A9771F" w:rsidRDefault="00A9771F">
          <w:pPr>
            <w:spacing w:line="180" w:lineRule="exact"/>
            <w:ind w:left="0"/>
            <w:rPr>
              <w:sz w:val="13"/>
              <w:szCs w:val="13"/>
            </w:rPr>
          </w:pPr>
        </w:p>
      </w:tc>
    </w:tr>
  </w:tbl>
  <w:p w:rsidR="00A9771F" w:rsidRDefault="00A9771F">
    <w:pPr>
      <w:pStyle w:val="Kopfzeile"/>
      <w:ind w:left="0"/>
    </w:pPr>
  </w:p>
  <w:p w:rsidR="00A9771F" w:rsidRDefault="00A9771F">
    <w:pPr>
      <w:pStyle w:val="Kopfzeile"/>
      <w:ind w:left="0"/>
    </w:pPr>
    <w:r>
      <w:rPr>
        <w:noProof/>
        <w:lang w:val="en-US" w:eastAsia="en-US"/>
      </w:rPr>
      <w:drawing>
        <wp:anchor distT="0" distB="0" distL="114300" distR="114300" simplePos="0" relativeHeight="251659264" behindDoc="1" locked="0" layoutInCell="1" allowOverlap="1">
          <wp:simplePos x="0" y="0"/>
          <wp:positionH relativeFrom="page">
            <wp:posOffset>861695</wp:posOffset>
          </wp:positionH>
          <wp:positionV relativeFrom="page">
            <wp:posOffset>656590</wp:posOffset>
          </wp:positionV>
          <wp:extent cx="982980" cy="133350"/>
          <wp:effectExtent l="0" t="0" r="7620" b="0"/>
          <wp:wrapNone/>
          <wp:docPr id="8" name="Grafik 9"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p>
  <w:p w:rsidR="00A9771F" w:rsidRDefault="00A9771F">
    <w:pPr>
      <w:pStyle w:val="Kopfzeile"/>
      <w:ind w:left="0"/>
    </w:pPr>
  </w:p>
  <w:p w:rsidR="00A9771F" w:rsidRDefault="00A9771F">
    <w:pPr>
      <w:pStyle w:val="Kopfzeile"/>
      <w:ind w:left="0"/>
    </w:pPr>
  </w:p>
  <w:p w:rsidR="00A9771F" w:rsidRDefault="00A9771F">
    <w:pPr>
      <w:pStyle w:val="Kopfzeile"/>
      <w:ind w:left="0" w:right="-3"/>
      <w:rPr>
        <w:lang w:val="en-US"/>
      </w:rPr>
    </w:pPr>
    <w:r>
      <w:rPr>
        <w:noProof/>
        <w:lang w:val="en-US" w:eastAsia="en-US"/>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0" t="0" r="635" b="254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6"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RzTrDAAAA2gAAAA8AAABkcnMvZG93bnJldi54bWxEj9FqwkAURN8L/sNyhb7VjVaCRFfR0NKC&#10;vhj9gGv2mkSzd9PsNsa/d4VCH4eZOcMsVr2pRUetqywrGI8iEMS51RUXCo6Hz7cZCOeRNdaWScGd&#10;HKyWg5cFJtreeE9d5gsRIOwSVFB63yRSurwkg25kG+LgnW1r0AfZFlK3eAtwU8tJFMXSYMVhocSG&#10;0pLya/ZrFKyn9Vd6sj/x1vVp9PG+6zbd5azU67Bfz0F46v1/+K/9rRXE8LwSboBc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9HNOs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2cyjCAAAA2gAAAA8AAABkcnMvZG93bnJldi54bWxEj92KwjAUhO8F3yGcBe80XUEtXaOI4M/F&#10;oqzrAxybY1u2OSlJrPXtN4Lg5TAz3zDzZWdq0ZLzlWUFn6MEBHFudcWFgvPvZpiC8AFZY22ZFDzI&#10;w3LR780x0/bOP9SeQiEihH2GCsoQmkxKn5dk0I9sQxy9q3UGQ5SukNrhPcJNLcdJMpUGK44LJTa0&#10;Lin/O92Mgmb3rcMt36ar9OBsN6HjdXZplRp8dKsvEIG68A6/2nutYAbPK/EGyM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tnMowgAAANoAAAAPAAAAAAAAAAAAAAAAAJ8C&#10;AABkcnMvZG93bnJldi54bWxQSwUGAAAAAAQABAD3AAAAjgMAAAAA&#10;">
                <v:imagedata r:id="rId5" o:title="Evonik_type"/>
              </v:shape>
              <w10:wrap anchorx="page" anchory="page"/>
            </v:group>
          </w:pict>
        </mc:Fallback>
      </mc:AlternateContent>
    </w:r>
    <w:r>
      <w:rPr>
        <w:b/>
        <w:u w:val="single"/>
        <w:lang w:val="en-US"/>
      </w:rPr>
      <w:t xml:space="preserve">Not for release, publication or distribution in the United States, Australia, </w:t>
    </w:r>
    <w:r>
      <w:rPr>
        <w:b/>
        <w:u w:val="single"/>
        <w:lang w:val="en-US"/>
      </w:rPr>
      <w:br/>
      <w:t>Canada or Japan.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71F" w:rsidRDefault="00A9771F">
    <w:pPr>
      <w:pStyle w:val="Kopfzeile"/>
      <w:ind w:left="0"/>
    </w:pPr>
  </w:p>
  <w:p w:rsidR="00A9771F" w:rsidRDefault="00A9771F">
    <w:pPr>
      <w:pStyle w:val="Kopfzeile"/>
      <w:ind w:left="0"/>
    </w:pPr>
    <w:r>
      <w:rPr>
        <w:noProof/>
        <w:lang w:val="en-US" w:eastAsia="en-US"/>
      </w:rPr>
      <w:drawing>
        <wp:anchor distT="0" distB="0" distL="114300" distR="114300" simplePos="0" relativeHeight="251658240" behindDoc="1" locked="0" layoutInCell="1" allowOverlap="1">
          <wp:simplePos x="0" y="0"/>
          <wp:positionH relativeFrom="page">
            <wp:posOffset>848995</wp:posOffset>
          </wp:positionH>
          <wp:positionV relativeFrom="page">
            <wp:posOffset>701040</wp:posOffset>
          </wp:positionV>
          <wp:extent cx="982980" cy="133350"/>
          <wp:effectExtent l="0" t="0" r="7620" b="0"/>
          <wp:wrapNone/>
          <wp:docPr id="5" name="Grafik 10"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p>
  <w:p w:rsidR="00A9771F" w:rsidRDefault="00A9771F">
    <w:pPr>
      <w:pStyle w:val="Kopfzeile"/>
      <w:ind w:left="0"/>
    </w:pPr>
  </w:p>
  <w:p w:rsidR="00A9771F" w:rsidRDefault="00A9771F">
    <w:pPr>
      <w:pStyle w:val="Kopfzeile"/>
      <w:ind w:left="0"/>
    </w:pPr>
  </w:p>
  <w:p w:rsidR="00A9771F" w:rsidRDefault="00A9771F">
    <w:pPr>
      <w:pStyle w:val="Kopfzeile"/>
      <w:ind w:left="0" w:right="-3"/>
      <w:rPr>
        <w:lang w:val="en-US"/>
      </w:rPr>
    </w:pPr>
    <w:r>
      <w:rPr>
        <w:b/>
        <w:u w:val="single"/>
        <w:lang w:val="en-US"/>
      </w:rPr>
      <w:br/>
      <w:t xml:space="preserve">Not for release, publication or distribution in the United States, Australia, </w:t>
    </w:r>
    <w:r>
      <w:rPr>
        <w:b/>
        <w:u w:val="single"/>
        <w:lang w:val="en-US"/>
      </w:rPr>
      <w:br/>
      <w:t>Canada or Japan.</w:t>
    </w:r>
  </w:p>
  <w:p w:rsidR="00A9771F" w:rsidRDefault="00A9771F">
    <w:pPr>
      <w:pStyle w:val="Kopfzeile"/>
      <w:ind w:left="0"/>
      <w:rPr>
        <w:lang w:val="en-US"/>
      </w:rPr>
    </w:pPr>
  </w:p>
  <w:p w:rsidR="00A9771F" w:rsidRDefault="00A9771F">
    <w:pPr>
      <w:pStyle w:val="Kopfzeile"/>
      <w:ind w:left="0"/>
      <w:rPr>
        <w:u w:val="single"/>
        <w:lang w:val="en-US"/>
      </w:rPr>
    </w:pPr>
  </w:p>
  <w:p w:rsidR="00A9771F" w:rsidRDefault="00A9771F">
    <w:pPr>
      <w:pStyle w:val="Kopfzeile"/>
      <w:ind w:left="0"/>
      <w:rPr>
        <w:u w:val="single"/>
      </w:rPr>
    </w:pPr>
    <w:r>
      <w:rPr>
        <w:noProof/>
        <w:lang w:val="en-US" w:eastAsia="en-US"/>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0" t="0" r="635" b="254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71F" w:rsidRDefault="00A977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rPr>
        <w:rFonts w:cs="Times New Roman"/>
      </w:r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rPr>
        <w:rFonts w:cs="Times New Roman"/>
      </w:r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rPr>
        <w:rFonts w:cs="Times New Roman"/>
      </w:r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rPr>
        <w:rFonts w:cs="Times New Roman"/>
      </w:r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rPr>
        <w:rFonts w:cs="Times New Roman"/>
      </w:r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63D0D90"/>
    <w:multiLevelType w:val="multilevel"/>
    <w:tmpl w:val="04070023"/>
    <w:styleLink w:val="ArtikelAbschnitt"/>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nsid w:val="13E025F6"/>
    <w:multiLevelType w:val="multilevel"/>
    <w:tmpl w:val="040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1B9C63B0"/>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218C34EF"/>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74DA24EF"/>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13"/>
  </w:num>
  <w:num w:numId="22">
    <w:abstractNumId w:val="11"/>
  </w:num>
  <w:num w:numId="23">
    <w:abstractNumId w:val="10"/>
  </w:num>
  <w:num w:numId="24">
    <w:abstractNumId w:val="15"/>
  </w:num>
  <w:num w:numId="25">
    <w:abstractNumId w:val="12"/>
  </w:num>
  <w:num w:numId="26">
    <w:abstractNumId w:val="14"/>
  </w:num>
  <w:num w:numId="2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2FE"/>
    <w:rsid w:val="00000763"/>
    <w:rsid w:val="00130678"/>
    <w:rsid w:val="002A14FD"/>
    <w:rsid w:val="00327993"/>
    <w:rsid w:val="00333551"/>
    <w:rsid w:val="00370E4A"/>
    <w:rsid w:val="00515F07"/>
    <w:rsid w:val="00601A20"/>
    <w:rsid w:val="00685ED6"/>
    <w:rsid w:val="0070050B"/>
    <w:rsid w:val="00782111"/>
    <w:rsid w:val="007B2E75"/>
    <w:rsid w:val="007B69E9"/>
    <w:rsid w:val="00866D32"/>
    <w:rsid w:val="009602FE"/>
    <w:rsid w:val="00976189"/>
    <w:rsid w:val="00991CA8"/>
    <w:rsid w:val="00995E8F"/>
    <w:rsid w:val="00A13245"/>
    <w:rsid w:val="00A6726C"/>
    <w:rsid w:val="00A905B2"/>
    <w:rsid w:val="00A9771F"/>
    <w:rsid w:val="00B51B77"/>
    <w:rsid w:val="00BF028E"/>
    <w:rsid w:val="00C14193"/>
    <w:rsid w:val="00DE2167"/>
    <w:rsid w:val="00E704B0"/>
    <w:rsid w:val="00EA3AFA"/>
    <w:rsid w:val="00F04A25"/>
    <w:rsid w:val="00F312F7"/>
    <w:rsid w:val="00FB2BC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link w:val="berschrift1Zchn"/>
    <w:uiPriority w:val="99"/>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9"/>
    <w:qFormat/>
    <w:pPr>
      <w:spacing w:before="240" w:after="60"/>
      <w:outlineLvl w:val="4"/>
    </w:pPr>
    <w:rPr>
      <w:b/>
      <w:bCs/>
      <w:i/>
      <w:iCs/>
      <w:sz w:val="26"/>
      <w:szCs w:val="26"/>
    </w:rPr>
  </w:style>
  <w:style w:type="paragraph" w:styleId="berschrift6">
    <w:name w:val="heading 6"/>
    <w:basedOn w:val="Standard"/>
    <w:next w:val="Standard"/>
    <w:link w:val="berschrift6Zchn"/>
    <w:uiPriority w:val="99"/>
    <w:qFormat/>
    <w:p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uiPriority w:val="99"/>
    <w:qFormat/>
    <w:p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9"/>
    <w:qFormat/>
    <w:p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9"/>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Times New Roman"/>
      <w:b/>
      <w:bCs/>
      <w:kern w:val="32"/>
      <w:position w:val="-2"/>
      <w:sz w:val="32"/>
      <w:szCs w:val="32"/>
    </w:rPr>
  </w:style>
  <w:style w:type="character" w:customStyle="1" w:styleId="berschrift2Zchn">
    <w:name w:val="Überschrift 2 Zchn"/>
    <w:basedOn w:val="Absatz-Standardschriftart"/>
    <w:link w:val="berschrift2"/>
    <w:uiPriority w:val="99"/>
    <w:semiHidden/>
    <w:locked/>
    <w:rPr>
      <w:rFonts w:ascii="Cambria" w:hAnsi="Cambria" w:cs="Times New Roman"/>
      <w:b/>
      <w:bCs/>
      <w:i/>
      <w:iCs/>
      <w:position w:val="-2"/>
      <w:sz w:val="28"/>
      <w:szCs w:val="28"/>
    </w:rPr>
  </w:style>
  <w:style w:type="character" w:customStyle="1" w:styleId="berschrift3Zchn">
    <w:name w:val="Überschrift 3 Zchn"/>
    <w:basedOn w:val="Absatz-Standardschriftart"/>
    <w:link w:val="berschrift3"/>
    <w:uiPriority w:val="99"/>
    <w:semiHidden/>
    <w:locked/>
    <w:rPr>
      <w:rFonts w:ascii="Cambria" w:hAnsi="Cambria" w:cs="Times New Roman"/>
      <w:b/>
      <w:bCs/>
      <w:position w:val="-2"/>
      <w:sz w:val="26"/>
      <w:szCs w:val="26"/>
    </w:rPr>
  </w:style>
  <w:style w:type="character" w:customStyle="1" w:styleId="berschrift4Zchn">
    <w:name w:val="Überschrift 4 Zchn"/>
    <w:basedOn w:val="Absatz-Standardschriftart"/>
    <w:link w:val="berschrift4"/>
    <w:uiPriority w:val="99"/>
    <w:semiHidden/>
    <w:locked/>
    <w:rPr>
      <w:rFonts w:ascii="Calibri" w:hAnsi="Calibri" w:cs="Times New Roman"/>
      <w:b/>
      <w:bCs/>
      <w:position w:val="-2"/>
      <w:sz w:val="28"/>
      <w:szCs w:val="28"/>
    </w:rPr>
  </w:style>
  <w:style w:type="character" w:customStyle="1" w:styleId="berschrift5Zchn">
    <w:name w:val="Überschrift 5 Zchn"/>
    <w:basedOn w:val="Absatz-Standardschriftart"/>
    <w:link w:val="berschrift5"/>
    <w:uiPriority w:val="99"/>
    <w:semiHidden/>
    <w:locked/>
    <w:rPr>
      <w:rFonts w:ascii="Calibri" w:hAnsi="Calibri" w:cs="Times New Roman"/>
      <w:b/>
      <w:bCs/>
      <w:i/>
      <w:iCs/>
      <w:position w:val="-2"/>
      <w:sz w:val="26"/>
      <w:szCs w:val="26"/>
    </w:rPr>
  </w:style>
  <w:style w:type="character" w:customStyle="1" w:styleId="berschrift6Zchn">
    <w:name w:val="Überschrift 6 Zchn"/>
    <w:basedOn w:val="Absatz-Standardschriftart"/>
    <w:link w:val="berschrift6"/>
    <w:uiPriority w:val="99"/>
    <w:semiHidden/>
    <w:locked/>
    <w:rPr>
      <w:rFonts w:ascii="Calibri" w:hAnsi="Calibri" w:cs="Times New Roman"/>
      <w:b/>
      <w:bCs/>
      <w:position w:val="-2"/>
    </w:rPr>
  </w:style>
  <w:style w:type="character" w:customStyle="1" w:styleId="berschrift7Zchn">
    <w:name w:val="Überschrift 7 Zchn"/>
    <w:basedOn w:val="Absatz-Standardschriftart"/>
    <w:link w:val="berschrift7"/>
    <w:uiPriority w:val="99"/>
    <w:semiHidden/>
    <w:locked/>
    <w:rPr>
      <w:rFonts w:ascii="Calibri" w:hAnsi="Calibri" w:cs="Times New Roman"/>
      <w:position w:val="-2"/>
      <w:sz w:val="24"/>
      <w:szCs w:val="24"/>
    </w:rPr>
  </w:style>
  <w:style w:type="character" w:customStyle="1" w:styleId="berschrift8Zchn">
    <w:name w:val="Überschrift 8 Zchn"/>
    <w:basedOn w:val="Absatz-Standardschriftart"/>
    <w:link w:val="berschrift8"/>
    <w:uiPriority w:val="99"/>
    <w:semiHidden/>
    <w:locked/>
    <w:rPr>
      <w:rFonts w:ascii="Calibri" w:hAnsi="Calibri" w:cs="Times New Roman"/>
      <w:i/>
      <w:iCs/>
      <w:position w:val="-2"/>
      <w:sz w:val="24"/>
      <w:szCs w:val="24"/>
    </w:rPr>
  </w:style>
  <w:style w:type="character" w:customStyle="1" w:styleId="berschrift9Zchn">
    <w:name w:val="Überschrift 9 Zchn"/>
    <w:basedOn w:val="Absatz-Standardschriftart"/>
    <w:link w:val="berschrift9"/>
    <w:uiPriority w:val="99"/>
    <w:semiHidden/>
    <w:locked/>
    <w:rPr>
      <w:rFonts w:ascii="Cambria" w:hAnsi="Cambria" w:cs="Times New Roman"/>
      <w:position w:val="-2"/>
    </w:rPr>
  </w:style>
  <w:style w:type="table" w:styleId="Tabellenraster">
    <w:name w:val="Table Grid"/>
    <w:basedOn w:val="NormaleTabelle"/>
    <w:uiPriority w:val="99"/>
    <w:semiHidden/>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locked/>
    <w:rPr>
      <w:rFonts w:ascii="Lucida Sans Unicode" w:hAnsi="Lucida Sans Unicode" w:cs="Times New Roman"/>
      <w:position w:val="-2"/>
      <w:sz w:val="24"/>
      <w:szCs w:val="24"/>
    </w:rPr>
  </w:style>
  <w:style w:type="paragraph" w:styleId="Fuzeile">
    <w:name w:val="footer"/>
    <w:basedOn w:val="Standard"/>
    <w:link w:val="FuzeileZchn"/>
    <w:uiPriority w:val="99"/>
    <w:semiHidden/>
    <w:pPr>
      <w:tabs>
        <w:tab w:val="center" w:pos="4536"/>
        <w:tab w:val="right" w:pos="9072"/>
      </w:tabs>
    </w:pPr>
  </w:style>
  <w:style w:type="character" w:customStyle="1" w:styleId="FuzeileZchn">
    <w:name w:val="Fußzeile Zchn"/>
    <w:basedOn w:val="Absatz-Standardschriftart"/>
    <w:link w:val="Fuzeile"/>
    <w:uiPriority w:val="99"/>
    <w:semiHidden/>
    <w:locked/>
    <w:rPr>
      <w:rFonts w:ascii="Lucida Sans Unicode" w:hAnsi="Lucida Sans Unicode" w:cs="Times New Roman"/>
      <w:position w:val="-2"/>
      <w:sz w:val="24"/>
      <w:szCs w:val="24"/>
    </w:rPr>
  </w:style>
  <w:style w:type="paragraph" w:styleId="Anrede">
    <w:name w:val="Salutation"/>
    <w:basedOn w:val="Standard"/>
    <w:next w:val="Standard"/>
    <w:link w:val="AnredeZchn"/>
    <w:uiPriority w:val="99"/>
    <w:semiHidden/>
  </w:style>
  <w:style w:type="character" w:customStyle="1" w:styleId="AnredeZchn">
    <w:name w:val="Anrede Zchn"/>
    <w:basedOn w:val="Absatz-Standardschriftart"/>
    <w:link w:val="Anrede"/>
    <w:uiPriority w:val="99"/>
    <w:semiHidden/>
    <w:locked/>
    <w:rPr>
      <w:rFonts w:ascii="Lucida Sans Unicode" w:hAnsi="Lucida Sans Unicode" w:cs="Times New Roman"/>
      <w:position w:val="-2"/>
      <w:sz w:val="24"/>
      <w:szCs w:val="24"/>
    </w:rPr>
  </w:style>
  <w:style w:type="paragraph" w:styleId="Aufzhlungszeichen">
    <w:name w:val="List Bullet"/>
    <w:basedOn w:val="Standard"/>
    <w:uiPriority w:val="99"/>
    <w:semiHidden/>
    <w:pPr>
      <w:numPr>
        <w:numId w:val="1"/>
      </w:numPr>
    </w:pPr>
  </w:style>
  <w:style w:type="paragraph" w:styleId="Aufzhlungszeichen2">
    <w:name w:val="List Bullet 2"/>
    <w:basedOn w:val="Standard"/>
    <w:uiPriority w:val="99"/>
    <w:semiHidden/>
    <w:pPr>
      <w:numPr>
        <w:numId w:val="2"/>
      </w:numPr>
    </w:pPr>
  </w:style>
  <w:style w:type="paragraph" w:styleId="Aufzhlungszeichen3">
    <w:name w:val="List Bullet 3"/>
    <w:basedOn w:val="Standard"/>
    <w:uiPriority w:val="99"/>
    <w:semiHidden/>
    <w:pPr>
      <w:numPr>
        <w:numId w:val="3"/>
      </w:numPr>
    </w:pPr>
  </w:style>
  <w:style w:type="paragraph" w:styleId="Aufzhlungszeichen4">
    <w:name w:val="List Bullet 4"/>
    <w:basedOn w:val="Standard"/>
    <w:uiPriority w:val="99"/>
    <w:semiHidden/>
    <w:pPr>
      <w:numPr>
        <w:numId w:val="4"/>
      </w:numPr>
    </w:pPr>
  </w:style>
  <w:style w:type="paragraph" w:styleId="Aufzhlungszeichen5">
    <w:name w:val="List Bullet 5"/>
    <w:basedOn w:val="Standard"/>
    <w:uiPriority w:val="99"/>
    <w:semiHidden/>
    <w:pPr>
      <w:numPr>
        <w:numId w:val="5"/>
      </w:numPr>
    </w:pPr>
  </w:style>
  <w:style w:type="paragraph" w:styleId="Beschriftung">
    <w:name w:val="caption"/>
    <w:basedOn w:val="Standard"/>
    <w:uiPriority w:val="99"/>
    <w:qFormat/>
    <w:pPr>
      <w:spacing w:line="120" w:lineRule="exact"/>
    </w:pPr>
    <w:rPr>
      <w:bCs/>
      <w:caps/>
      <w:position w:val="0"/>
      <w:sz w:val="11"/>
      <w:szCs w:val="20"/>
    </w:rPr>
  </w:style>
  <w:style w:type="character" w:styleId="BesuchterHyperlink">
    <w:name w:val="FollowedHyperlink"/>
    <w:basedOn w:val="Absatz-Standardschriftart"/>
    <w:uiPriority w:val="99"/>
    <w:semiHidden/>
    <w:rPr>
      <w:rFonts w:cs="Times New Roman"/>
      <w:color w:val="800080"/>
      <w:u w:val="single"/>
    </w:rPr>
  </w:style>
  <w:style w:type="paragraph" w:styleId="Blocktext">
    <w:name w:val="Block Text"/>
    <w:basedOn w:val="Standard"/>
    <w:uiPriority w:val="99"/>
    <w:semiHidden/>
    <w:pPr>
      <w:spacing w:after="120"/>
      <w:ind w:left="1440" w:right="1440"/>
    </w:pPr>
  </w:style>
  <w:style w:type="paragraph" w:styleId="Datum">
    <w:name w:val="Date"/>
    <w:basedOn w:val="Standard"/>
    <w:next w:val="Standard"/>
    <w:link w:val="DatumZchn"/>
    <w:uiPriority w:val="99"/>
    <w:semiHidden/>
  </w:style>
  <w:style w:type="character" w:customStyle="1" w:styleId="DatumZchn">
    <w:name w:val="Datum Zchn"/>
    <w:basedOn w:val="Absatz-Standardschriftart"/>
    <w:link w:val="Datum"/>
    <w:uiPriority w:val="99"/>
    <w:semiHidden/>
    <w:locked/>
    <w:rPr>
      <w:rFonts w:ascii="Lucida Sans Unicode" w:hAnsi="Lucida Sans Unicode" w:cs="Times New Roman"/>
      <w:position w:val="-2"/>
      <w:sz w:val="24"/>
      <w:szCs w:val="24"/>
    </w:rPr>
  </w:style>
  <w:style w:type="paragraph" w:styleId="E-Mail-Signatur">
    <w:name w:val="E-mail Signature"/>
    <w:basedOn w:val="Standard"/>
    <w:link w:val="E-Mail-SignaturZchn"/>
    <w:uiPriority w:val="99"/>
    <w:semiHidden/>
  </w:style>
  <w:style w:type="character" w:customStyle="1" w:styleId="E-Mail-SignaturZchn">
    <w:name w:val="E-Mail-Signatur Zchn"/>
    <w:basedOn w:val="Absatz-Standardschriftart"/>
    <w:link w:val="E-Mail-Signatur"/>
    <w:uiPriority w:val="99"/>
    <w:semiHidden/>
    <w:locked/>
    <w:rPr>
      <w:rFonts w:ascii="Lucida Sans Unicode" w:hAnsi="Lucida Sans Unicode" w:cs="Times New Roman"/>
      <w:position w:val="-2"/>
      <w:sz w:val="24"/>
      <w:szCs w:val="24"/>
    </w:rPr>
  </w:style>
  <w:style w:type="character" w:styleId="Fett">
    <w:name w:val="Strong"/>
    <w:basedOn w:val="Absatz-Standardschriftart"/>
    <w:uiPriority w:val="99"/>
    <w:qFormat/>
    <w:rPr>
      <w:rFonts w:cs="Times New Roman"/>
      <w:b/>
    </w:rPr>
  </w:style>
  <w:style w:type="paragraph" w:styleId="Fu-Endnotenberschrift">
    <w:name w:val="Note Heading"/>
    <w:basedOn w:val="Standard"/>
    <w:next w:val="Standard"/>
    <w:link w:val="Fu-EndnotenberschriftZchn"/>
    <w:uiPriority w:val="99"/>
    <w:semiHidden/>
  </w:style>
  <w:style w:type="character" w:customStyle="1" w:styleId="Fu-EndnotenberschriftZchn">
    <w:name w:val="Fuß/-Endnotenüberschrift Zchn"/>
    <w:basedOn w:val="Absatz-Standardschriftart"/>
    <w:link w:val="Fu-Endnotenberschrift"/>
    <w:uiPriority w:val="99"/>
    <w:semiHidden/>
    <w:locked/>
    <w:rPr>
      <w:rFonts w:ascii="Lucida Sans Unicode" w:hAnsi="Lucida Sans Unicode" w:cs="Times New Roman"/>
      <w:position w:val="-2"/>
      <w:sz w:val="24"/>
      <w:szCs w:val="24"/>
    </w:rPr>
  </w:style>
  <w:style w:type="paragraph" w:styleId="Gruformel">
    <w:name w:val="Closing"/>
    <w:basedOn w:val="Standard"/>
    <w:link w:val="GruformelZchn"/>
    <w:uiPriority w:val="99"/>
    <w:semiHidden/>
    <w:pPr>
      <w:ind w:left="4252"/>
    </w:pPr>
  </w:style>
  <w:style w:type="character" w:customStyle="1" w:styleId="GruformelZchn">
    <w:name w:val="Grußformel Zchn"/>
    <w:basedOn w:val="Absatz-Standardschriftart"/>
    <w:link w:val="Gruformel"/>
    <w:uiPriority w:val="99"/>
    <w:semiHidden/>
    <w:locked/>
    <w:rPr>
      <w:rFonts w:ascii="Lucida Sans Unicode" w:hAnsi="Lucida Sans Unicode" w:cs="Times New Roman"/>
      <w:position w:val="-2"/>
      <w:sz w:val="24"/>
      <w:szCs w:val="24"/>
    </w:rPr>
  </w:style>
  <w:style w:type="character" w:styleId="Hervorhebung">
    <w:name w:val="Emphasis"/>
    <w:basedOn w:val="Absatz-Standardschriftart"/>
    <w:uiPriority w:val="99"/>
    <w:qFormat/>
    <w:rPr>
      <w:rFonts w:cs="Times New Roman"/>
      <w:i/>
    </w:rPr>
  </w:style>
  <w:style w:type="paragraph" w:styleId="HTMLAdresse">
    <w:name w:val="HTML Address"/>
    <w:basedOn w:val="Standard"/>
    <w:link w:val="HTMLAdresseZchn"/>
    <w:uiPriority w:val="99"/>
    <w:semiHidden/>
    <w:rPr>
      <w:i/>
      <w:iCs/>
    </w:rPr>
  </w:style>
  <w:style w:type="character" w:customStyle="1" w:styleId="HTMLAdresseZchn">
    <w:name w:val="HTML Adresse Zchn"/>
    <w:basedOn w:val="Absatz-Standardschriftart"/>
    <w:link w:val="HTMLAdresse"/>
    <w:uiPriority w:val="99"/>
    <w:semiHidden/>
    <w:locked/>
    <w:rPr>
      <w:rFonts w:ascii="Lucida Sans Unicode" w:hAnsi="Lucida Sans Unicode" w:cs="Times New Roman"/>
      <w:i/>
      <w:iCs/>
      <w:position w:val="-2"/>
      <w:sz w:val="24"/>
      <w:szCs w:val="24"/>
    </w:rPr>
  </w:style>
  <w:style w:type="character" w:styleId="HTMLAkronym">
    <w:name w:val="HTML Acronym"/>
    <w:basedOn w:val="Absatz-Standardschriftart"/>
    <w:uiPriority w:val="99"/>
    <w:semiHidden/>
    <w:rPr>
      <w:rFonts w:cs="Times New Roman"/>
    </w:rPr>
  </w:style>
  <w:style w:type="character" w:styleId="HTMLBeispiel">
    <w:name w:val="HTML Sample"/>
    <w:basedOn w:val="Absatz-Standardschriftart"/>
    <w:uiPriority w:val="99"/>
    <w:semiHidden/>
    <w:rPr>
      <w:rFonts w:ascii="Courier New" w:hAnsi="Courier New" w:cs="Times New Roman"/>
    </w:rPr>
  </w:style>
  <w:style w:type="character" w:styleId="HTMLCode">
    <w:name w:val="HTML Code"/>
    <w:basedOn w:val="Absatz-Standardschriftart"/>
    <w:uiPriority w:val="99"/>
    <w:semiHidden/>
    <w:rPr>
      <w:rFonts w:ascii="Courier New" w:hAnsi="Courier New" w:cs="Times New Roman"/>
      <w:sz w:val="20"/>
    </w:rPr>
  </w:style>
  <w:style w:type="character" w:styleId="HTMLDefinition">
    <w:name w:val="HTML Definition"/>
    <w:basedOn w:val="Absatz-Standardschriftart"/>
    <w:uiPriority w:val="99"/>
    <w:semiHidden/>
    <w:rPr>
      <w:rFonts w:cs="Times New Roman"/>
      <w:i/>
    </w:rPr>
  </w:style>
  <w:style w:type="character" w:styleId="HTMLSchreibmaschine">
    <w:name w:val="HTML Typewriter"/>
    <w:basedOn w:val="Absatz-Standardschriftart"/>
    <w:uiPriority w:val="99"/>
    <w:semiHidden/>
    <w:rPr>
      <w:rFonts w:ascii="Courier New" w:hAnsi="Courier New" w:cs="Times New Roman"/>
      <w:sz w:val="20"/>
    </w:rPr>
  </w:style>
  <w:style w:type="character" w:styleId="HTMLTastatur">
    <w:name w:val="HTML Keyboard"/>
    <w:basedOn w:val="Absatz-Standardschriftart"/>
    <w:uiPriority w:val="99"/>
    <w:semiHidden/>
    <w:rPr>
      <w:rFonts w:ascii="Courier New" w:hAnsi="Courier New" w:cs="Times New Roman"/>
      <w:sz w:val="20"/>
    </w:rPr>
  </w:style>
  <w:style w:type="character" w:styleId="HTMLVariable">
    <w:name w:val="HTML Variable"/>
    <w:basedOn w:val="Absatz-Standardschriftart"/>
    <w:uiPriority w:val="99"/>
    <w:semiHidden/>
    <w:rPr>
      <w:rFonts w:cs="Times New Roman"/>
      <w:i/>
    </w:rPr>
  </w:style>
  <w:style w:type="paragraph" w:styleId="HTMLVorformatiert">
    <w:name w:val="HTML Preformatted"/>
    <w:basedOn w:val="Standard"/>
    <w:link w:val="HTMLVorformatiertZchn"/>
    <w:uiPriority w:val="99"/>
    <w:semiHidden/>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locked/>
    <w:rPr>
      <w:rFonts w:ascii="Courier New" w:hAnsi="Courier New" w:cs="Courier New"/>
      <w:position w:val="-2"/>
      <w:sz w:val="20"/>
      <w:szCs w:val="20"/>
    </w:rPr>
  </w:style>
  <w:style w:type="character" w:styleId="HTMLZitat">
    <w:name w:val="HTML Cite"/>
    <w:basedOn w:val="Absatz-Standardschriftart"/>
    <w:uiPriority w:val="99"/>
    <w:semiHidden/>
    <w:rPr>
      <w:rFonts w:cs="Times New Roman"/>
      <w:i/>
    </w:rPr>
  </w:style>
  <w:style w:type="character" w:styleId="Hyperlink">
    <w:name w:val="Hyperlink"/>
    <w:basedOn w:val="Absatz-Standardschriftart"/>
    <w:uiPriority w:val="99"/>
    <w:semiHidden/>
    <w:rPr>
      <w:rFonts w:cs="Times New Roman"/>
      <w:color w:val="0000FF"/>
      <w:u w:val="single"/>
    </w:rPr>
  </w:style>
  <w:style w:type="paragraph" w:styleId="Liste">
    <w:name w:val="List"/>
    <w:basedOn w:val="Standard"/>
    <w:uiPriority w:val="99"/>
    <w:semiHidden/>
    <w:pPr>
      <w:ind w:left="283" w:hanging="283"/>
    </w:pPr>
  </w:style>
  <w:style w:type="paragraph" w:styleId="Liste2">
    <w:name w:val="List 2"/>
    <w:basedOn w:val="Standard"/>
    <w:uiPriority w:val="99"/>
    <w:semiHidden/>
    <w:pPr>
      <w:ind w:left="566" w:hanging="283"/>
    </w:pPr>
  </w:style>
  <w:style w:type="paragraph" w:styleId="Liste3">
    <w:name w:val="List 3"/>
    <w:basedOn w:val="Standard"/>
    <w:uiPriority w:val="99"/>
    <w:semiHidden/>
    <w:pPr>
      <w:ind w:left="849" w:hanging="283"/>
    </w:pPr>
  </w:style>
  <w:style w:type="paragraph" w:styleId="Liste4">
    <w:name w:val="List 4"/>
    <w:basedOn w:val="Standard"/>
    <w:uiPriority w:val="99"/>
    <w:semiHidden/>
    <w:pPr>
      <w:ind w:left="1132" w:hanging="283"/>
    </w:pPr>
  </w:style>
  <w:style w:type="paragraph" w:styleId="Liste5">
    <w:name w:val="List 5"/>
    <w:basedOn w:val="Standard"/>
    <w:uiPriority w:val="99"/>
    <w:semiHidden/>
    <w:pPr>
      <w:ind w:left="1415" w:hanging="283"/>
    </w:pPr>
  </w:style>
  <w:style w:type="paragraph" w:styleId="Listenfortsetzung">
    <w:name w:val="List Continue"/>
    <w:basedOn w:val="Standard"/>
    <w:uiPriority w:val="99"/>
    <w:semiHidden/>
    <w:pPr>
      <w:spacing w:after="120"/>
      <w:ind w:left="283"/>
    </w:pPr>
  </w:style>
  <w:style w:type="paragraph" w:styleId="Listenfortsetzung2">
    <w:name w:val="List Continue 2"/>
    <w:basedOn w:val="Standard"/>
    <w:uiPriority w:val="99"/>
    <w:semiHidden/>
    <w:pPr>
      <w:spacing w:after="120"/>
      <w:ind w:left="566"/>
    </w:pPr>
  </w:style>
  <w:style w:type="paragraph" w:styleId="Listenfortsetzung3">
    <w:name w:val="List Continue 3"/>
    <w:basedOn w:val="Standard"/>
    <w:uiPriority w:val="99"/>
    <w:semiHidden/>
    <w:pPr>
      <w:spacing w:after="120"/>
      <w:ind w:left="849"/>
    </w:pPr>
  </w:style>
  <w:style w:type="paragraph" w:styleId="Listenfortsetzung4">
    <w:name w:val="List Continue 4"/>
    <w:basedOn w:val="Standard"/>
    <w:uiPriority w:val="99"/>
    <w:semiHidden/>
    <w:pPr>
      <w:spacing w:after="120"/>
      <w:ind w:left="1132"/>
    </w:pPr>
  </w:style>
  <w:style w:type="paragraph" w:styleId="Listenfortsetzung5">
    <w:name w:val="List Continue 5"/>
    <w:basedOn w:val="Standard"/>
    <w:uiPriority w:val="99"/>
    <w:semiHidden/>
    <w:pPr>
      <w:spacing w:after="120"/>
      <w:ind w:left="1415"/>
    </w:pPr>
  </w:style>
  <w:style w:type="paragraph" w:styleId="Listennummer">
    <w:name w:val="List Number"/>
    <w:basedOn w:val="Standard"/>
    <w:uiPriority w:val="99"/>
    <w:semiHidden/>
    <w:pPr>
      <w:numPr>
        <w:numId w:val="6"/>
      </w:numPr>
    </w:pPr>
  </w:style>
  <w:style w:type="paragraph" w:styleId="Listennummer2">
    <w:name w:val="List Number 2"/>
    <w:basedOn w:val="Standard"/>
    <w:uiPriority w:val="99"/>
    <w:semiHidden/>
    <w:pPr>
      <w:numPr>
        <w:numId w:val="7"/>
      </w:numPr>
    </w:pPr>
  </w:style>
  <w:style w:type="paragraph" w:styleId="Listennummer3">
    <w:name w:val="List Number 3"/>
    <w:basedOn w:val="Standard"/>
    <w:uiPriority w:val="99"/>
    <w:semiHidden/>
    <w:pPr>
      <w:numPr>
        <w:numId w:val="8"/>
      </w:numPr>
    </w:pPr>
  </w:style>
  <w:style w:type="paragraph" w:styleId="Listennummer4">
    <w:name w:val="List Number 4"/>
    <w:basedOn w:val="Standard"/>
    <w:uiPriority w:val="99"/>
    <w:semiHidden/>
    <w:pPr>
      <w:numPr>
        <w:numId w:val="9"/>
      </w:numPr>
    </w:pPr>
  </w:style>
  <w:style w:type="paragraph" w:styleId="Listennummer5">
    <w:name w:val="List Number 5"/>
    <w:basedOn w:val="Standard"/>
    <w:uiPriority w:val="99"/>
    <w:semiHidden/>
    <w:pPr>
      <w:numPr>
        <w:numId w:val="10"/>
      </w:numPr>
    </w:pPr>
  </w:style>
  <w:style w:type="paragraph" w:styleId="Nachrichtenkopf">
    <w:name w:val="Message Header"/>
    <w:basedOn w:val="Standard"/>
    <w:link w:val="NachrichtenkopfZchn"/>
    <w:uiPriority w:val="99"/>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NachrichtenkopfZchn">
    <w:name w:val="Nachrichtenkopf Zchn"/>
    <w:basedOn w:val="Absatz-Standardschriftart"/>
    <w:link w:val="Nachrichtenkopf"/>
    <w:uiPriority w:val="99"/>
    <w:semiHidden/>
    <w:locked/>
    <w:rPr>
      <w:rFonts w:ascii="Cambria" w:hAnsi="Cambria" w:cs="Times New Roman"/>
      <w:position w:val="-2"/>
      <w:sz w:val="24"/>
      <w:szCs w:val="24"/>
      <w:shd w:val="pct20" w:color="auto" w:fill="auto"/>
    </w:rPr>
  </w:style>
  <w:style w:type="paragraph" w:styleId="NurText">
    <w:name w:val="Plain Text"/>
    <w:basedOn w:val="Standard"/>
    <w:link w:val="NurTextZchn"/>
    <w:uiPriority w:val="99"/>
    <w:semiHidden/>
    <w:rPr>
      <w:rFonts w:ascii="Courier New" w:hAnsi="Courier New" w:cs="Courier New"/>
      <w:sz w:val="20"/>
      <w:szCs w:val="20"/>
    </w:rPr>
  </w:style>
  <w:style w:type="character" w:customStyle="1" w:styleId="NurTextZchn">
    <w:name w:val="Nur Text Zchn"/>
    <w:basedOn w:val="Absatz-Standardschriftart"/>
    <w:link w:val="NurText"/>
    <w:uiPriority w:val="99"/>
    <w:semiHidden/>
    <w:locked/>
    <w:rPr>
      <w:rFonts w:ascii="Courier New" w:hAnsi="Courier New" w:cs="Courier New"/>
      <w:position w:val="-2"/>
      <w:sz w:val="20"/>
      <w:szCs w:val="20"/>
    </w:rPr>
  </w:style>
  <w:style w:type="character" w:styleId="Seitenzahl">
    <w:name w:val="page number"/>
    <w:basedOn w:val="Absatz-Standardschriftart"/>
    <w:uiPriority w:val="99"/>
    <w:semiHidden/>
    <w:rPr>
      <w:rFonts w:cs="Times New Roman"/>
    </w:rPr>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uiPriority w:val="99"/>
    <w:semiHidden/>
    <w:pPr>
      <w:ind w:left="708"/>
    </w:pPr>
  </w:style>
  <w:style w:type="table" w:styleId="Tabelle3D-Effekt1">
    <w:name w:val="Table 3D effects 1"/>
    <w:basedOn w:val="NormaleTabelle"/>
    <w:uiPriority w:val="99"/>
    <w:semiHidden/>
    <w:pPr>
      <w:spacing w:line="240" w:lineRule="exact"/>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pPr>
      <w:spacing w:line="240" w:lineRule="exact"/>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pPr>
      <w:spacing w:line="240" w:lineRule="exact"/>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pPr>
      <w:spacing w:line="240" w:lineRule="exact"/>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pPr>
      <w:spacing w:line="240" w:lineRule="exact"/>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pPr>
      <w:spacing w:line="240" w:lineRule="exact"/>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pPr>
      <w:spacing w:line="240" w:lineRule="exact"/>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pPr>
      <w:spacing w:line="240" w:lineRule="exact"/>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pPr>
      <w:spacing w:line="240" w:lineRule="exact"/>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pPr>
      <w:spacing w:line="240" w:lineRule="exact"/>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pPr>
      <w:spacing w:line="240" w:lineRule="exact"/>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pPr>
      <w:spacing w:line="240" w:lineRule="exact"/>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pPr>
      <w:spacing w:line="240" w:lineRule="exact"/>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pPr>
      <w:spacing w:line="240" w:lineRule="exact"/>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pPr>
      <w:spacing w:line="240" w:lineRule="exact"/>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pPr>
      <w:spacing w:line="240" w:lineRule="exact"/>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pPr>
      <w:spacing w:line="240" w:lineRule="exact"/>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pPr>
      <w:spacing w:line="240" w:lineRule="exact"/>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pPr>
      <w:spacing w:line="240" w:lineRule="exact"/>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pPr>
      <w:spacing w:line="240" w:lineRule="exact"/>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pPr>
      <w:spacing w:line="240" w:lineRule="exact"/>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pPr>
      <w:spacing w:line="240" w:lineRule="exact"/>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pPr>
      <w:spacing w:line="240" w:lineRule="exact"/>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pPr>
      <w:spacing w:line="240" w:lineRule="exact"/>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pPr>
      <w:spacing w:line="240" w:lineRule="exact"/>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pPr>
      <w:spacing w:line="240" w:lineRule="exact"/>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pPr>
      <w:spacing w:line="240" w:lineRule="exact"/>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pPr>
      <w:spacing w:line="240" w:lineRule="exact"/>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pPr>
      <w:spacing w:line="240" w:lineRule="exact"/>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pPr>
      <w:spacing w:line="240" w:lineRule="exact"/>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pPr>
      <w:spacing w:line="240" w:lineRule="exact"/>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pPr>
      <w:spacing w:line="240" w:lineRule="exac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link w:val="TextkrperZchn"/>
    <w:uiPriority w:val="99"/>
    <w:semiHidden/>
    <w:pPr>
      <w:spacing w:after="120"/>
    </w:pPr>
  </w:style>
  <w:style w:type="character" w:customStyle="1" w:styleId="TextkrperZchn">
    <w:name w:val="Textkörper Zchn"/>
    <w:basedOn w:val="Absatz-Standardschriftart"/>
    <w:link w:val="Textkrper"/>
    <w:uiPriority w:val="99"/>
    <w:semiHidden/>
    <w:locked/>
    <w:rPr>
      <w:rFonts w:ascii="Lucida Sans Unicode" w:hAnsi="Lucida Sans Unicode" w:cs="Times New Roman"/>
      <w:position w:val="-2"/>
      <w:sz w:val="24"/>
      <w:szCs w:val="24"/>
    </w:rPr>
  </w:style>
  <w:style w:type="paragraph" w:styleId="Textkrper2">
    <w:name w:val="Body Text 2"/>
    <w:basedOn w:val="Standard"/>
    <w:link w:val="Textkrper2Zchn"/>
    <w:uiPriority w:val="99"/>
    <w:semiHidden/>
    <w:pPr>
      <w:spacing w:after="120" w:line="480" w:lineRule="auto"/>
    </w:pPr>
  </w:style>
  <w:style w:type="character" w:customStyle="1" w:styleId="Textkrper2Zchn">
    <w:name w:val="Textkörper 2 Zchn"/>
    <w:basedOn w:val="Absatz-Standardschriftart"/>
    <w:link w:val="Textkrper2"/>
    <w:uiPriority w:val="99"/>
    <w:semiHidden/>
    <w:locked/>
    <w:rPr>
      <w:rFonts w:ascii="Lucida Sans Unicode" w:hAnsi="Lucida Sans Unicode" w:cs="Times New Roman"/>
      <w:position w:val="-2"/>
      <w:sz w:val="24"/>
      <w:szCs w:val="24"/>
    </w:rPr>
  </w:style>
  <w:style w:type="paragraph" w:styleId="Textkrper3">
    <w:name w:val="Body Text 3"/>
    <w:basedOn w:val="Standard"/>
    <w:link w:val="Textkrper3Zchn"/>
    <w:uiPriority w:val="99"/>
    <w:semiHidden/>
    <w:pPr>
      <w:spacing w:after="120"/>
    </w:pPr>
    <w:rPr>
      <w:sz w:val="16"/>
      <w:szCs w:val="16"/>
    </w:rPr>
  </w:style>
  <w:style w:type="character" w:customStyle="1" w:styleId="Textkrper3Zchn">
    <w:name w:val="Textkörper 3 Zchn"/>
    <w:basedOn w:val="Absatz-Standardschriftart"/>
    <w:link w:val="Textkrper3"/>
    <w:uiPriority w:val="99"/>
    <w:semiHidden/>
    <w:locked/>
    <w:rPr>
      <w:rFonts w:ascii="Lucida Sans Unicode" w:hAnsi="Lucida Sans Unicode" w:cs="Times New Roman"/>
      <w:position w:val="-2"/>
      <w:sz w:val="16"/>
      <w:szCs w:val="16"/>
    </w:rPr>
  </w:style>
  <w:style w:type="paragraph" w:styleId="Textkrper-Einzug2">
    <w:name w:val="Body Text Indent 2"/>
    <w:basedOn w:val="Standard"/>
    <w:link w:val="Textkrper-Einzug2Zchn"/>
    <w:uiPriority w:val="99"/>
    <w:semiHidden/>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Pr>
      <w:rFonts w:ascii="Lucida Sans Unicode" w:hAnsi="Lucida Sans Unicode" w:cs="Times New Roman"/>
      <w:position w:val="-2"/>
      <w:sz w:val="24"/>
      <w:szCs w:val="24"/>
    </w:rPr>
  </w:style>
  <w:style w:type="paragraph" w:styleId="Textkrper-Einzug3">
    <w:name w:val="Body Text Indent 3"/>
    <w:basedOn w:val="Standard"/>
    <w:link w:val="Textkrper-Einzug3Zchn"/>
    <w:uiPriority w:val="99"/>
    <w:semiHidden/>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locked/>
    <w:rPr>
      <w:rFonts w:ascii="Lucida Sans Unicode" w:hAnsi="Lucida Sans Unicode" w:cs="Times New Roman"/>
      <w:position w:val="-2"/>
      <w:sz w:val="16"/>
      <w:szCs w:val="16"/>
    </w:rPr>
  </w:style>
  <w:style w:type="paragraph" w:styleId="Textkrper-Erstzeileneinzug">
    <w:name w:val="Body Text First Indent"/>
    <w:basedOn w:val="Textkrper"/>
    <w:link w:val="Textkrper-ErstzeileneinzugZchn"/>
    <w:uiPriority w:val="99"/>
    <w:semiHidden/>
    <w:pPr>
      <w:ind w:firstLine="210"/>
    </w:pPr>
  </w:style>
  <w:style w:type="character" w:customStyle="1" w:styleId="Textkrper-ErstzeileneinzugZchn">
    <w:name w:val="Textkörper-Erstzeileneinzug Zchn"/>
    <w:basedOn w:val="TextkrperZchn"/>
    <w:link w:val="Textkrper-Erstzeileneinzug"/>
    <w:uiPriority w:val="99"/>
    <w:semiHidden/>
    <w:locked/>
    <w:rPr>
      <w:rFonts w:ascii="Lucida Sans Unicode" w:hAnsi="Lucida Sans Unicode" w:cs="Times New Roman"/>
      <w:position w:val="-2"/>
      <w:sz w:val="24"/>
      <w:szCs w:val="24"/>
    </w:rPr>
  </w:style>
  <w:style w:type="paragraph" w:styleId="Textkrper-Zeileneinzug">
    <w:name w:val="Body Text Indent"/>
    <w:basedOn w:val="Standard"/>
    <w:link w:val="Textkrper-ZeileneinzugZchn"/>
    <w:uiPriority w:val="99"/>
    <w:semiHidden/>
    <w:pPr>
      <w:spacing w:after="120"/>
      <w:ind w:left="283"/>
    </w:pPr>
  </w:style>
  <w:style w:type="character" w:customStyle="1" w:styleId="Textkrper-ZeileneinzugZchn">
    <w:name w:val="Textkörper-Zeileneinzug Zchn"/>
    <w:basedOn w:val="Absatz-Standardschriftart"/>
    <w:link w:val="Textkrper-Zeileneinzug"/>
    <w:uiPriority w:val="99"/>
    <w:semiHidden/>
    <w:locked/>
    <w:rPr>
      <w:rFonts w:ascii="Lucida Sans Unicode" w:hAnsi="Lucida Sans Unicode" w:cs="Times New Roman"/>
      <w:position w:val="-2"/>
      <w:sz w:val="24"/>
      <w:szCs w:val="24"/>
    </w:rPr>
  </w:style>
  <w:style w:type="paragraph" w:styleId="Textkrper-Erstzeileneinzug2">
    <w:name w:val="Body Text First Indent 2"/>
    <w:basedOn w:val="Textkrper-Zeileneinzug"/>
    <w:link w:val="Textkrper-Erstzeileneinzug2Zchn"/>
    <w:uiPriority w:val="99"/>
    <w:semiHidden/>
    <w:pPr>
      <w:ind w:firstLine="210"/>
    </w:pPr>
  </w:style>
  <w:style w:type="character" w:customStyle="1" w:styleId="Textkrper-Erstzeileneinzug2Zchn">
    <w:name w:val="Textkörper-Erstzeileneinzug 2 Zchn"/>
    <w:basedOn w:val="Textkrper-ZeileneinzugZchn"/>
    <w:link w:val="Textkrper-Erstzeileneinzug2"/>
    <w:uiPriority w:val="99"/>
    <w:semiHidden/>
    <w:locked/>
    <w:rPr>
      <w:rFonts w:ascii="Lucida Sans Unicode" w:hAnsi="Lucida Sans Unicode" w:cs="Times New Roman"/>
      <w:position w:val="-2"/>
      <w:sz w:val="24"/>
      <w:szCs w:val="24"/>
    </w:rPr>
  </w:style>
  <w:style w:type="paragraph" w:styleId="Umschlagabsenderadresse">
    <w:name w:val="envelope return"/>
    <w:basedOn w:val="Standard"/>
    <w:uiPriority w:val="99"/>
    <w:semiHidden/>
    <w:rPr>
      <w:rFonts w:ascii="Arial" w:hAnsi="Arial" w:cs="Arial"/>
      <w:sz w:val="20"/>
      <w:szCs w:val="20"/>
    </w:rPr>
  </w:style>
  <w:style w:type="paragraph" w:styleId="Umschlagadresse">
    <w:name w:val="envelope address"/>
    <w:basedOn w:val="Standard"/>
    <w:uiPriority w:val="99"/>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link w:val="UnterschriftZchn"/>
    <w:uiPriority w:val="99"/>
    <w:semiHidden/>
    <w:pPr>
      <w:ind w:left="4252"/>
    </w:pPr>
  </w:style>
  <w:style w:type="character" w:customStyle="1" w:styleId="UnterschriftZchn">
    <w:name w:val="Unterschrift Zchn"/>
    <w:basedOn w:val="Absatz-Standardschriftart"/>
    <w:link w:val="Unterschrift"/>
    <w:uiPriority w:val="99"/>
    <w:semiHidden/>
    <w:locked/>
    <w:rPr>
      <w:rFonts w:ascii="Lucida Sans Unicode" w:hAnsi="Lucida Sans Unicode" w:cs="Times New Roman"/>
      <w:position w:val="-2"/>
      <w:sz w:val="24"/>
      <w:szCs w:val="24"/>
    </w:rPr>
  </w:style>
  <w:style w:type="paragraph" w:styleId="Untertitel">
    <w:name w:val="Subtitle"/>
    <w:basedOn w:val="Standard"/>
    <w:link w:val="UntertitelZchn"/>
    <w:uiPriority w:val="99"/>
    <w:qFormat/>
    <w:pPr>
      <w:spacing w:after="60"/>
      <w:jc w:val="center"/>
      <w:outlineLvl w:val="1"/>
    </w:pPr>
    <w:rPr>
      <w:rFonts w:ascii="Arial" w:hAnsi="Arial" w:cs="Arial"/>
      <w:sz w:val="24"/>
    </w:rPr>
  </w:style>
  <w:style w:type="character" w:customStyle="1" w:styleId="UntertitelZchn">
    <w:name w:val="Untertitel Zchn"/>
    <w:basedOn w:val="Absatz-Standardschriftart"/>
    <w:link w:val="Untertitel"/>
    <w:uiPriority w:val="99"/>
    <w:locked/>
    <w:rPr>
      <w:rFonts w:ascii="Cambria" w:hAnsi="Cambria" w:cs="Times New Roman"/>
      <w:position w:val="-2"/>
      <w:sz w:val="24"/>
      <w:szCs w:val="24"/>
    </w:rPr>
  </w:style>
  <w:style w:type="character" w:styleId="Zeilennummer">
    <w:name w:val="line number"/>
    <w:basedOn w:val="Absatz-Standardschriftart"/>
    <w:uiPriority w:val="99"/>
    <w:semiHidden/>
    <w:rPr>
      <w:rFonts w:cs="Times New Roman"/>
    </w:rPr>
  </w:style>
  <w:style w:type="paragraph" w:styleId="Titel">
    <w:name w:val="Title"/>
    <w:basedOn w:val="Standard"/>
    <w:link w:val="TitelZchn"/>
    <w:uiPriority w:val="99"/>
    <w:qFormat/>
    <w:pPr>
      <w:spacing w:line="360" w:lineRule="exact"/>
      <w:ind w:left="0" w:right="0"/>
      <w:outlineLvl w:val="0"/>
    </w:pPr>
    <w:rPr>
      <w:rFonts w:cs="Arial"/>
      <w:bCs/>
      <w:position w:val="0"/>
      <w:sz w:val="32"/>
      <w:szCs w:val="32"/>
    </w:rPr>
  </w:style>
  <w:style w:type="character" w:customStyle="1" w:styleId="TitelZchn">
    <w:name w:val="Titel Zchn"/>
    <w:basedOn w:val="Absatz-Standardschriftart"/>
    <w:link w:val="Titel"/>
    <w:uiPriority w:val="99"/>
    <w:locked/>
    <w:rPr>
      <w:rFonts w:ascii="Cambria" w:hAnsi="Cambria" w:cs="Times New Roman"/>
      <w:b/>
      <w:bCs/>
      <w:kern w:val="28"/>
      <w:position w:val="-2"/>
      <w:sz w:val="32"/>
      <w:szCs w:val="32"/>
    </w:rPr>
  </w:style>
  <w:style w:type="paragraph" w:customStyle="1" w:styleId="Zahl">
    <w:name w:val="Zahl"/>
    <w:basedOn w:val="Standard"/>
    <w:uiPriority w:val="99"/>
    <w:pPr>
      <w:ind w:left="74" w:right="-170"/>
    </w:pPr>
    <w:rPr>
      <w:rFonts w:ascii="Lucida Sans Typewriter" w:hAnsi="Lucida Sans Typewriter"/>
      <w:spacing w:val="146"/>
    </w:rPr>
  </w:style>
  <w:style w:type="paragraph" w:customStyle="1" w:styleId="Marginalie">
    <w:name w:val="Marginalie"/>
    <w:basedOn w:val="Standard"/>
    <w:uiPriority w:val="99"/>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cs="Times New Roman"/>
      <w:position w:val="-2"/>
      <w:sz w:val="2"/>
    </w:rPr>
  </w:style>
  <w:style w:type="paragraph" w:customStyle="1" w:styleId="E-Datum">
    <w:name w:val="E-Datum"/>
    <w:basedOn w:val="Standard"/>
    <w:uiPriority w:val="99"/>
    <w:pPr>
      <w:framePr w:wrap="around" w:vAnchor="page" w:hAnchor="page" w:x="8971" w:y="3222"/>
      <w:spacing w:line="180" w:lineRule="exact"/>
      <w:ind w:left="0"/>
      <w:suppressOverlap/>
    </w:pPr>
  </w:style>
  <w:style w:type="paragraph" w:customStyle="1" w:styleId="M1">
    <w:name w:val="M1"/>
    <w:basedOn w:val="Standard"/>
    <w:uiPriority w:val="99"/>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uiPriority w:val="99"/>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uiPriority w:val="99"/>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uiPriority w:val="99"/>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uiPriority w:val="99"/>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uiPriority w:val="99"/>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uiPriority w:val="99"/>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uiPriority w:val="99"/>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uiPriority w:val="99"/>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uiPriority w:val="99"/>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uiPriority w:val="99"/>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uiPriority w:val="99"/>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uiPriority w:val="99"/>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uiPriority w:val="99"/>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uiPriority w:val="99"/>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uiPriority w:val="99"/>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uiPriority w:val="99"/>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uiPriority w:val="99"/>
    <w:pPr>
      <w:framePr w:wrap="auto" w:vAnchor="page" w:hAnchor="page" w:x="8971" w:y="3222"/>
      <w:tabs>
        <w:tab w:val="left" w:pos="518"/>
      </w:tabs>
      <w:spacing w:line="180" w:lineRule="exact"/>
      <w:ind w:left="0" w:right="0"/>
      <w:suppressOverlap/>
    </w:pPr>
    <w:rPr>
      <w:position w:val="0"/>
      <w:sz w:val="13"/>
    </w:rPr>
  </w:style>
  <w:style w:type="paragraph" w:customStyle="1" w:styleId="AONormal">
    <w:name w:val="AONormal"/>
    <w:uiPriority w:val="99"/>
    <w:pPr>
      <w:spacing w:line="260" w:lineRule="atLeast"/>
    </w:pPr>
    <w:rPr>
      <w:rFonts w:eastAsia="SimSun"/>
      <w:lang w:eastAsia="en-US"/>
    </w:rPr>
  </w:style>
  <w:style w:type="numbering" w:styleId="ArtikelAbschnitt">
    <w:name w:val="Outline List 3"/>
    <w:basedOn w:val="KeineListe"/>
    <w:uiPriority w:val="99"/>
    <w:semiHidden/>
    <w:unhideWhenUsed/>
    <w:pPr>
      <w:numPr>
        <w:numId w:val="23"/>
      </w:numPr>
    </w:pPr>
  </w:style>
  <w:style w:type="numbering" w:styleId="1ai">
    <w:name w:val="Outline List 1"/>
    <w:basedOn w:val="KeineListe"/>
    <w:uiPriority w:val="99"/>
    <w:semiHidden/>
    <w:unhideWhenUsed/>
    <w:pPr>
      <w:numPr>
        <w:numId w:val="22"/>
      </w:numPr>
    </w:pPr>
  </w:style>
  <w:style w:type="numbering" w:styleId="111111">
    <w:name w:val="Outline List 2"/>
    <w:basedOn w:val="KeineListe"/>
    <w:uiPriority w:val="99"/>
    <w:semiHidden/>
    <w:unhideWhenUsed/>
    <w:pPr>
      <w:numPr>
        <w:numId w:val="21"/>
      </w:numPr>
    </w:pPr>
  </w:style>
  <w:style w:type="character" w:styleId="Kommentarzeichen">
    <w:name w:val="annotation reference"/>
    <w:basedOn w:val="Absatz-Standardschriftart"/>
    <w:uiPriority w:val="99"/>
    <w:semiHidden/>
    <w:unhideWhenUsed/>
    <w:rsid w:val="00B51B77"/>
    <w:rPr>
      <w:sz w:val="16"/>
      <w:szCs w:val="16"/>
    </w:rPr>
  </w:style>
  <w:style w:type="paragraph" w:styleId="Kommentartext">
    <w:name w:val="annotation text"/>
    <w:basedOn w:val="Standard"/>
    <w:link w:val="KommentartextZchn"/>
    <w:uiPriority w:val="99"/>
    <w:semiHidden/>
    <w:unhideWhenUsed/>
    <w:rsid w:val="00B51B7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51B77"/>
    <w:rPr>
      <w:rFonts w:ascii="Lucida Sans Unicode" w:hAnsi="Lucida Sans Unicode"/>
      <w:position w:val="-2"/>
      <w:sz w:val="20"/>
      <w:szCs w:val="20"/>
    </w:rPr>
  </w:style>
  <w:style w:type="paragraph" w:styleId="Kommentarthema">
    <w:name w:val="annotation subject"/>
    <w:basedOn w:val="Kommentartext"/>
    <w:next w:val="Kommentartext"/>
    <w:link w:val="KommentarthemaZchn"/>
    <w:uiPriority w:val="99"/>
    <w:semiHidden/>
    <w:unhideWhenUsed/>
    <w:rsid w:val="00B51B77"/>
    <w:rPr>
      <w:b/>
      <w:bCs/>
    </w:rPr>
  </w:style>
  <w:style w:type="character" w:customStyle="1" w:styleId="KommentarthemaZchn">
    <w:name w:val="Kommentarthema Zchn"/>
    <w:basedOn w:val="KommentartextZchn"/>
    <w:link w:val="Kommentarthema"/>
    <w:uiPriority w:val="99"/>
    <w:semiHidden/>
    <w:rsid w:val="00B51B77"/>
    <w:rPr>
      <w:rFonts w:ascii="Lucida Sans Unicode" w:hAnsi="Lucida Sans Unicode"/>
      <w:b/>
      <w:bCs/>
      <w:position w:val="-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link w:val="berschrift1Zchn"/>
    <w:uiPriority w:val="99"/>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9"/>
    <w:qFormat/>
    <w:pPr>
      <w:spacing w:before="240" w:after="60"/>
      <w:outlineLvl w:val="4"/>
    </w:pPr>
    <w:rPr>
      <w:b/>
      <w:bCs/>
      <w:i/>
      <w:iCs/>
      <w:sz w:val="26"/>
      <w:szCs w:val="26"/>
    </w:rPr>
  </w:style>
  <w:style w:type="paragraph" w:styleId="berschrift6">
    <w:name w:val="heading 6"/>
    <w:basedOn w:val="Standard"/>
    <w:next w:val="Standard"/>
    <w:link w:val="berschrift6Zchn"/>
    <w:uiPriority w:val="99"/>
    <w:qFormat/>
    <w:p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uiPriority w:val="99"/>
    <w:qFormat/>
    <w:p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9"/>
    <w:qFormat/>
    <w:p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9"/>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Times New Roman"/>
      <w:b/>
      <w:bCs/>
      <w:kern w:val="32"/>
      <w:position w:val="-2"/>
      <w:sz w:val="32"/>
      <w:szCs w:val="32"/>
    </w:rPr>
  </w:style>
  <w:style w:type="character" w:customStyle="1" w:styleId="berschrift2Zchn">
    <w:name w:val="Überschrift 2 Zchn"/>
    <w:basedOn w:val="Absatz-Standardschriftart"/>
    <w:link w:val="berschrift2"/>
    <w:uiPriority w:val="99"/>
    <w:semiHidden/>
    <w:locked/>
    <w:rPr>
      <w:rFonts w:ascii="Cambria" w:hAnsi="Cambria" w:cs="Times New Roman"/>
      <w:b/>
      <w:bCs/>
      <w:i/>
      <w:iCs/>
      <w:position w:val="-2"/>
      <w:sz w:val="28"/>
      <w:szCs w:val="28"/>
    </w:rPr>
  </w:style>
  <w:style w:type="character" w:customStyle="1" w:styleId="berschrift3Zchn">
    <w:name w:val="Überschrift 3 Zchn"/>
    <w:basedOn w:val="Absatz-Standardschriftart"/>
    <w:link w:val="berschrift3"/>
    <w:uiPriority w:val="99"/>
    <w:semiHidden/>
    <w:locked/>
    <w:rPr>
      <w:rFonts w:ascii="Cambria" w:hAnsi="Cambria" w:cs="Times New Roman"/>
      <w:b/>
      <w:bCs/>
      <w:position w:val="-2"/>
      <w:sz w:val="26"/>
      <w:szCs w:val="26"/>
    </w:rPr>
  </w:style>
  <w:style w:type="character" w:customStyle="1" w:styleId="berschrift4Zchn">
    <w:name w:val="Überschrift 4 Zchn"/>
    <w:basedOn w:val="Absatz-Standardschriftart"/>
    <w:link w:val="berschrift4"/>
    <w:uiPriority w:val="99"/>
    <w:semiHidden/>
    <w:locked/>
    <w:rPr>
      <w:rFonts w:ascii="Calibri" w:hAnsi="Calibri" w:cs="Times New Roman"/>
      <w:b/>
      <w:bCs/>
      <w:position w:val="-2"/>
      <w:sz w:val="28"/>
      <w:szCs w:val="28"/>
    </w:rPr>
  </w:style>
  <w:style w:type="character" w:customStyle="1" w:styleId="berschrift5Zchn">
    <w:name w:val="Überschrift 5 Zchn"/>
    <w:basedOn w:val="Absatz-Standardschriftart"/>
    <w:link w:val="berschrift5"/>
    <w:uiPriority w:val="99"/>
    <w:semiHidden/>
    <w:locked/>
    <w:rPr>
      <w:rFonts w:ascii="Calibri" w:hAnsi="Calibri" w:cs="Times New Roman"/>
      <w:b/>
      <w:bCs/>
      <w:i/>
      <w:iCs/>
      <w:position w:val="-2"/>
      <w:sz w:val="26"/>
      <w:szCs w:val="26"/>
    </w:rPr>
  </w:style>
  <w:style w:type="character" w:customStyle="1" w:styleId="berschrift6Zchn">
    <w:name w:val="Überschrift 6 Zchn"/>
    <w:basedOn w:val="Absatz-Standardschriftart"/>
    <w:link w:val="berschrift6"/>
    <w:uiPriority w:val="99"/>
    <w:semiHidden/>
    <w:locked/>
    <w:rPr>
      <w:rFonts w:ascii="Calibri" w:hAnsi="Calibri" w:cs="Times New Roman"/>
      <w:b/>
      <w:bCs/>
      <w:position w:val="-2"/>
    </w:rPr>
  </w:style>
  <w:style w:type="character" w:customStyle="1" w:styleId="berschrift7Zchn">
    <w:name w:val="Überschrift 7 Zchn"/>
    <w:basedOn w:val="Absatz-Standardschriftart"/>
    <w:link w:val="berschrift7"/>
    <w:uiPriority w:val="99"/>
    <w:semiHidden/>
    <w:locked/>
    <w:rPr>
      <w:rFonts w:ascii="Calibri" w:hAnsi="Calibri" w:cs="Times New Roman"/>
      <w:position w:val="-2"/>
      <w:sz w:val="24"/>
      <w:szCs w:val="24"/>
    </w:rPr>
  </w:style>
  <w:style w:type="character" w:customStyle="1" w:styleId="berschrift8Zchn">
    <w:name w:val="Überschrift 8 Zchn"/>
    <w:basedOn w:val="Absatz-Standardschriftart"/>
    <w:link w:val="berschrift8"/>
    <w:uiPriority w:val="99"/>
    <w:semiHidden/>
    <w:locked/>
    <w:rPr>
      <w:rFonts w:ascii="Calibri" w:hAnsi="Calibri" w:cs="Times New Roman"/>
      <w:i/>
      <w:iCs/>
      <w:position w:val="-2"/>
      <w:sz w:val="24"/>
      <w:szCs w:val="24"/>
    </w:rPr>
  </w:style>
  <w:style w:type="character" w:customStyle="1" w:styleId="berschrift9Zchn">
    <w:name w:val="Überschrift 9 Zchn"/>
    <w:basedOn w:val="Absatz-Standardschriftart"/>
    <w:link w:val="berschrift9"/>
    <w:uiPriority w:val="99"/>
    <w:semiHidden/>
    <w:locked/>
    <w:rPr>
      <w:rFonts w:ascii="Cambria" w:hAnsi="Cambria" w:cs="Times New Roman"/>
      <w:position w:val="-2"/>
    </w:rPr>
  </w:style>
  <w:style w:type="table" w:styleId="Tabellenraster">
    <w:name w:val="Table Grid"/>
    <w:basedOn w:val="NormaleTabelle"/>
    <w:uiPriority w:val="99"/>
    <w:semiHidden/>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locked/>
    <w:rPr>
      <w:rFonts w:ascii="Lucida Sans Unicode" w:hAnsi="Lucida Sans Unicode" w:cs="Times New Roman"/>
      <w:position w:val="-2"/>
      <w:sz w:val="24"/>
      <w:szCs w:val="24"/>
    </w:rPr>
  </w:style>
  <w:style w:type="paragraph" w:styleId="Fuzeile">
    <w:name w:val="footer"/>
    <w:basedOn w:val="Standard"/>
    <w:link w:val="FuzeileZchn"/>
    <w:uiPriority w:val="99"/>
    <w:semiHidden/>
    <w:pPr>
      <w:tabs>
        <w:tab w:val="center" w:pos="4536"/>
        <w:tab w:val="right" w:pos="9072"/>
      </w:tabs>
    </w:pPr>
  </w:style>
  <w:style w:type="character" w:customStyle="1" w:styleId="FuzeileZchn">
    <w:name w:val="Fußzeile Zchn"/>
    <w:basedOn w:val="Absatz-Standardschriftart"/>
    <w:link w:val="Fuzeile"/>
    <w:uiPriority w:val="99"/>
    <w:semiHidden/>
    <w:locked/>
    <w:rPr>
      <w:rFonts w:ascii="Lucida Sans Unicode" w:hAnsi="Lucida Sans Unicode" w:cs="Times New Roman"/>
      <w:position w:val="-2"/>
      <w:sz w:val="24"/>
      <w:szCs w:val="24"/>
    </w:rPr>
  </w:style>
  <w:style w:type="paragraph" w:styleId="Anrede">
    <w:name w:val="Salutation"/>
    <w:basedOn w:val="Standard"/>
    <w:next w:val="Standard"/>
    <w:link w:val="AnredeZchn"/>
    <w:uiPriority w:val="99"/>
    <w:semiHidden/>
  </w:style>
  <w:style w:type="character" w:customStyle="1" w:styleId="AnredeZchn">
    <w:name w:val="Anrede Zchn"/>
    <w:basedOn w:val="Absatz-Standardschriftart"/>
    <w:link w:val="Anrede"/>
    <w:uiPriority w:val="99"/>
    <w:semiHidden/>
    <w:locked/>
    <w:rPr>
      <w:rFonts w:ascii="Lucida Sans Unicode" w:hAnsi="Lucida Sans Unicode" w:cs="Times New Roman"/>
      <w:position w:val="-2"/>
      <w:sz w:val="24"/>
      <w:szCs w:val="24"/>
    </w:rPr>
  </w:style>
  <w:style w:type="paragraph" w:styleId="Aufzhlungszeichen">
    <w:name w:val="List Bullet"/>
    <w:basedOn w:val="Standard"/>
    <w:uiPriority w:val="99"/>
    <w:semiHidden/>
    <w:pPr>
      <w:numPr>
        <w:numId w:val="1"/>
      </w:numPr>
    </w:pPr>
  </w:style>
  <w:style w:type="paragraph" w:styleId="Aufzhlungszeichen2">
    <w:name w:val="List Bullet 2"/>
    <w:basedOn w:val="Standard"/>
    <w:uiPriority w:val="99"/>
    <w:semiHidden/>
    <w:pPr>
      <w:numPr>
        <w:numId w:val="2"/>
      </w:numPr>
    </w:pPr>
  </w:style>
  <w:style w:type="paragraph" w:styleId="Aufzhlungszeichen3">
    <w:name w:val="List Bullet 3"/>
    <w:basedOn w:val="Standard"/>
    <w:uiPriority w:val="99"/>
    <w:semiHidden/>
    <w:pPr>
      <w:numPr>
        <w:numId w:val="3"/>
      </w:numPr>
    </w:pPr>
  </w:style>
  <w:style w:type="paragraph" w:styleId="Aufzhlungszeichen4">
    <w:name w:val="List Bullet 4"/>
    <w:basedOn w:val="Standard"/>
    <w:uiPriority w:val="99"/>
    <w:semiHidden/>
    <w:pPr>
      <w:numPr>
        <w:numId w:val="4"/>
      </w:numPr>
    </w:pPr>
  </w:style>
  <w:style w:type="paragraph" w:styleId="Aufzhlungszeichen5">
    <w:name w:val="List Bullet 5"/>
    <w:basedOn w:val="Standard"/>
    <w:uiPriority w:val="99"/>
    <w:semiHidden/>
    <w:pPr>
      <w:numPr>
        <w:numId w:val="5"/>
      </w:numPr>
    </w:pPr>
  </w:style>
  <w:style w:type="paragraph" w:styleId="Beschriftung">
    <w:name w:val="caption"/>
    <w:basedOn w:val="Standard"/>
    <w:uiPriority w:val="99"/>
    <w:qFormat/>
    <w:pPr>
      <w:spacing w:line="120" w:lineRule="exact"/>
    </w:pPr>
    <w:rPr>
      <w:bCs/>
      <w:caps/>
      <w:position w:val="0"/>
      <w:sz w:val="11"/>
      <w:szCs w:val="20"/>
    </w:rPr>
  </w:style>
  <w:style w:type="character" w:styleId="BesuchterHyperlink">
    <w:name w:val="FollowedHyperlink"/>
    <w:basedOn w:val="Absatz-Standardschriftart"/>
    <w:uiPriority w:val="99"/>
    <w:semiHidden/>
    <w:rPr>
      <w:rFonts w:cs="Times New Roman"/>
      <w:color w:val="800080"/>
      <w:u w:val="single"/>
    </w:rPr>
  </w:style>
  <w:style w:type="paragraph" w:styleId="Blocktext">
    <w:name w:val="Block Text"/>
    <w:basedOn w:val="Standard"/>
    <w:uiPriority w:val="99"/>
    <w:semiHidden/>
    <w:pPr>
      <w:spacing w:after="120"/>
      <w:ind w:left="1440" w:right="1440"/>
    </w:pPr>
  </w:style>
  <w:style w:type="paragraph" w:styleId="Datum">
    <w:name w:val="Date"/>
    <w:basedOn w:val="Standard"/>
    <w:next w:val="Standard"/>
    <w:link w:val="DatumZchn"/>
    <w:uiPriority w:val="99"/>
    <w:semiHidden/>
  </w:style>
  <w:style w:type="character" w:customStyle="1" w:styleId="DatumZchn">
    <w:name w:val="Datum Zchn"/>
    <w:basedOn w:val="Absatz-Standardschriftart"/>
    <w:link w:val="Datum"/>
    <w:uiPriority w:val="99"/>
    <w:semiHidden/>
    <w:locked/>
    <w:rPr>
      <w:rFonts w:ascii="Lucida Sans Unicode" w:hAnsi="Lucida Sans Unicode" w:cs="Times New Roman"/>
      <w:position w:val="-2"/>
      <w:sz w:val="24"/>
      <w:szCs w:val="24"/>
    </w:rPr>
  </w:style>
  <w:style w:type="paragraph" w:styleId="E-Mail-Signatur">
    <w:name w:val="E-mail Signature"/>
    <w:basedOn w:val="Standard"/>
    <w:link w:val="E-Mail-SignaturZchn"/>
    <w:uiPriority w:val="99"/>
    <w:semiHidden/>
  </w:style>
  <w:style w:type="character" w:customStyle="1" w:styleId="E-Mail-SignaturZchn">
    <w:name w:val="E-Mail-Signatur Zchn"/>
    <w:basedOn w:val="Absatz-Standardschriftart"/>
    <w:link w:val="E-Mail-Signatur"/>
    <w:uiPriority w:val="99"/>
    <w:semiHidden/>
    <w:locked/>
    <w:rPr>
      <w:rFonts w:ascii="Lucida Sans Unicode" w:hAnsi="Lucida Sans Unicode" w:cs="Times New Roman"/>
      <w:position w:val="-2"/>
      <w:sz w:val="24"/>
      <w:szCs w:val="24"/>
    </w:rPr>
  </w:style>
  <w:style w:type="character" w:styleId="Fett">
    <w:name w:val="Strong"/>
    <w:basedOn w:val="Absatz-Standardschriftart"/>
    <w:uiPriority w:val="99"/>
    <w:qFormat/>
    <w:rPr>
      <w:rFonts w:cs="Times New Roman"/>
      <w:b/>
    </w:rPr>
  </w:style>
  <w:style w:type="paragraph" w:styleId="Fu-Endnotenberschrift">
    <w:name w:val="Note Heading"/>
    <w:basedOn w:val="Standard"/>
    <w:next w:val="Standard"/>
    <w:link w:val="Fu-EndnotenberschriftZchn"/>
    <w:uiPriority w:val="99"/>
    <w:semiHidden/>
  </w:style>
  <w:style w:type="character" w:customStyle="1" w:styleId="Fu-EndnotenberschriftZchn">
    <w:name w:val="Fuß/-Endnotenüberschrift Zchn"/>
    <w:basedOn w:val="Absatz-Standardschriftart"/>
    <w:link w:val="Fu-Endnotenberschrift"/>
    <w:uiPriority w:val="99"/>
    <w:semiHidden/>
    <w:locked/>
    <w:rPr>
      <w:rFonts w:ascii="Lucida Sans Unicode" w:hAnsi="Lucida Sans Unicode" w:cs="Times New Roman"/>
      <w:position w:val="-2"/>
      <w:sz w:val="24"/>
      <w:szCs w:val="24"/>
    </w:rPr>
  </w:style>
  <w:style w:type="paragraph" w:styleId="Gruformel">
    <w:name w:val="Closing"/>
    <w:basedOn w:val="Standard"/>
    <w:link w:val="GruformelZchn"/>
    <w:uiPriority w:val="99"/>
    <w:semiHidden/>
    <w:pPr>
      <w:ind w:left="4252"/>
    </w:pPr>
  </w:style>
  <w:style w:type="character" w:customStyle="1" w:styleId="GruformelZchn">
    <w:name w:val="Grußformel Zchn"/>
    <w:basedOn w:val="Absatz-Standardschriftart"/>
    <w:link w:val="Gruformel"/>
    <w:uiPriority w:val="99"/>
    <w:semiHidden/>
    <w:locked/>
    <w:rPr>
      <w:rFonts w:ascii="Lucida Sans Unicode" w:hAnsi="Lucida Sans Unicode" w:cs="Times New Roman"/>
      <w:position w:val="-2"/>
      <w:sz w:val="24"/>
      <w:szCs w:val="24"/>
    </w:rPr>
  </w:style>
  <w:style w:type="character" w:styleId="Hervorhebung">
    <w:name w:val="Emphasis"/>
    <w:basedOn w:val="Absatz-Standardschriftart"/>
    <w:uiPriority w:val="99"/>
    <w:qFormat/>
    <w:rPr>
      <w:rFonts w:cs="Times New Roman"/>
      <w:i/>
    </w:rPr>
  </w:style>
  <w:style w:type="paragraph" w:styleId="HTMLAdresse">
    <w:name w:val="HTML Address"/>
    <w:basedOn w:val="Standard"/>
    <w:link w:val="HTMLAdresseZchn"/>
    <w:uiPriority w:val="99"/>
    <w:semiHidden/>
    <w:rPr>
      <w:i/>
      <w:iCs/>
    </w:rPr>
  </w:style>
  <w:style w:type="character" w:customStyle="1" w:styleId="HTMLAdresseZchn">
    <w:name w:val="HTML Adresse Zchn"/>
    <w:basedOn w:val="Absatz-Standardschriftart"/>
    <w:link w:val="HTMLAdresse"/>
    <w:uiPriority w:val="99"/>
    <w:semiHidden/>
    <w:locked/>
    <w:rPr>
      <w:rFonts w:ascii="Lucida Sans Unicode" w:hAnsi="Lucida Sans Unicode" w:cs="Times New Roman"/>
      <w:i/>
      <w:iCs/>
      <w:position w:val="-2"/>
      <w:sz w:val="24"/>
      <w:szCs w:val="24"/>
    </w:rPr>
  </w:style>
  <w:style w:type="character" w:styleId="HTMLAkronym">
    <w:name w:val="HTML Acronym"/>
    <w:basedOn w:val="Absatz-Standardschriftart"/>
    <w:uiPriority w:val="99"/>
    <w:semiHidden/>
    <w:rPr>
      <w:rFonts w:cs="Times New Roman"/>
    </w:rPr>
  </w:style>
  <w:style w:type="character" w:styleId="HTMLBeispiel">
    <w:name w:val="HTML Sample"/>
    <w:basedOn w:val="Absatz-Standardschriftart"/>
    <w:uiPriority w:val="99"/>
    <w:semiHidden/>
    <w:rPr>
      <w:rFonts w:ascii="Courier New" w:hAnsi="Courier New" w:cs="Times New Roman"/>
    </w:rPr>
  </w:style>
  <w:style w:type="character" w:styleId="HTMLCode">
    <w:name w:val="HTML Code"/>
    <w:basedOn w:val="Absatz-Standardschriftart"/>
    <w:uiPriority w:val="99"/>
    <w:semiHidden/>
    <w:rPr>
      <w:rFonts w:ascii="Courier New" w:hAnsi="Courier New" w:cs="Times New Roman"/>
      <w:sz w:val="20"/>
    </w:rPr>
  </w:style>
  <w:style w:type="character" w:styleId="HTMLDefinition">
    <w:name w:val="HTML Definition"/>
    <w:basedOn w:val="Absatz-Standardschriftart"/>
    <w:uiPriority w:val="99"/>
    <w:semiHidden/>
    <w:rPr>
      <w:rFonts w:cs="Times New Roman"/>
      <w:i/>
    </w:rPr>
  </w:style>
  <w:style w:type="character" w:styleId="HTMLSchreibmaschine">
    <w:name w:val="HTML Typewriter"/>
    <w:basedOn w:val="Absatz-Standardschriftart"/>
    <w:uiPriority w:val="99"/>
    <w:semiHidden/>
    <w:rPr>
      <w:rFonts w:ascii="Courier New" w:hAnsi="Courier New" w:cs="Times New Roman"/>
      <w:sz w:val="20"/>
    </w:rPr>
  </w:style>
  <w:style w:type="character" w:styleId="HTMLTastatur">
    <w:name w:val="HTML Keyboard"/>
    <w:basedOn w:val="Absatz-Standardschriftart"/>
    <w:uiPriority w:val="99"/>
    <w:semiHidden/>
    <w:rPr>
      <w:rFonts w:ascii="Courier New" w:hAnsi="Courier New" w:cs="Times New Roman"/>
      <w:sz w:val="20"/>
    </w:rPr>
  </w:style>
  <w:style w:type="character" w:styleId="HTMLVariable">
    <w:name w:val="HTML Variable"/>
    <w:basedOn w:val="Absatz-Standardschriftart"/>
    <w:uiPriority w:val="99"/>
    <w:semiHidden/>
    <w:rPr>
      <w:rFonts w:cs="Times New Roman"/>
      <w:i/>
    </w:rPr>
  </w:style>
  <w:style w:type="paragraph" w:styleId="HTMLVorformatiert">
    <w:name w:val="HTML Preformatted"/>
    <w:basedOn w:val="Standard"/>
    <w:link w:val="HTMLVorformatiertZchn"/>
    <w:uiPriority w:val="99"/>
    <w:semiHidden/>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locked/>
    <w:rPr>
      <w:rFonts w:ascii="Courier New" w:hAnsi="Courier New" w:cs="Courier New"/>
      <w:position w:val="-2"/>
      <w:sz w:val="20"/>
      <w:szCs w:val="20"/>
    </w:rPr>
  </w:style>
  <w:style w:type="character" w:styleId="HTMLZitat">
    <w:name w:val="HTML Cite"/>
    <w:basedOn w:val="Absatz-Standardschriftart"/>
    <w:uiPriority w:val="99"/>
    <w:semiHidden/>
    <w:rPr>
      <w:rFonts w:cs="Times New Roman"/>
      <w:i/>
    </w:rPr>
  </w:style>
  <w:style w:type="character" w:styleId="Hyperlink">
    <w:name w:val="Hyperlink"/>
    <w:basedOn w:val="Absatz-Standardschriftart"/>
    <w:uiPriority w:val="99"/>
    <w:semiHidden/>
    <w:rPr>
      <w:rFonts w:cs="Times New Roman"/>
      <w:color w:val="0000FF"/>
      <w:u w:val="single"/>
    </w:rPr>
  </w:style>
  <w:style w:type="paragraph" w:styleId="Liste">
    <w:name w:val="List"/>
    <w:basedOn w:val="Standard"/>
    <w:uiPriority w:val="99"/>
    <w:semiHidden/>
    <w:pPr>
      <w:ind w:left="283" w:hanging="283"/>
    </w:pPr>
  </w:style>
  <w:style w:type="paragraph" w:styleId="Liste2">
    <w:name w:val="List 2"/>
    <w:basedOn w:val="Standard"/>
    <w:uiPriority w:val="99"/>
    <w:semiHidden/>
    <w:pPr>
      <w:ind w:left="566" w:hanging="283"/>
    </w:pPr>
  </w:style>
  <w:style w:type="paragraph" w:styleId="Liste3">
    <w:name w:val="List 3"/>
    <w:basedOn w:val="Standard"/>
    <w:uiPriority w:val="99"/>
    <w:semiHidden/>
    <w:pPr>
      <w:ind w:left="849" w:hanging="283"/>
    </w:pPr>
  </w:style>
  <w:style w:type="paragraph" w:styleId="Liste4">
    <w:name w:val="List 4"/>
    <w:basedOn w:val="Standard"/>
    <w:uiPriority w:val="99"/>
    <w:semiHidden/>
    <w:pPr>
      <w:ind w:left="1132" w:hanging="283"/>
    </w:pPr>
  </w:style>
  <w:style w:type="paragraph" w:styleId="Liste5">
    <w:name w:val="List 5"/>
    <w:basedOn w:val="Standard"/>
    <w:uiPriority w:val="99"/>
    <w:semiHidden/>
    <w:pPr>
      <w:ind w:left="1415" w:hanging="283"/>
    </w:pPr>
  </w:style>
  <w:style w:type="paragraph" w:styleId="Listenfortsetzung">
    <w:name w:val="List Continue"/>
    <w:basedOn w:val="Standard"/>
    <w:uiPriority w:val="99"/>
    <w:semiHidden/>
    <w:pPr>
      <w:spacing w:after="120"/>
      <w:ind w:left="283"/>
    </w:pPr>
  </w:style>
  <w:style w:type="paragraph" w:styleId="Listenfortsetzung2">
    <w:name w:val="List Continue 2"/>
    <w:basedOn w:val="Standard"/>
    <w:uiPriority w:val="99"/>
    <w:semiHidden/>
    <w:pPr>
      <w:spacing w:after="120"/>
      <w:ind w:left="566"/>
    </w:pPr>
  </w:style>
  <w:style w:type="paragraph" w:styleId="Listenfortsetzung3">
    <w:name w:val="List Continue 3"/>
    <w:basedOn w:val="Standard"/>
    <w:uiPriority w:val="99"/>
    <w:semiHidden/>
    <w:pPr>
      <w:spacing w:after="120"/>
      <w:ind w:left="849"/>
    </w:pPr>
  </w:style>
  <w:style w:type="paragraph" w:styleId="Listenfortsetzung4">
    <w:name w:val="List Continue 4"/>
    <w:basedOn w:val="Standard"/>
    <w:uiPriority w:val="99"/>
    <w:semiHidden/>
    <w:pPr>
      <w:spacing w:after="120"/>
      <w:ind w:left="1132"/>
    </w:pPr>
  </w:style>
  <w:style w:type="paragraph" w:styleId="Listenfortsetzung5">
    <w:name w:val="List Continue 5"/>
    <w:basedOn w:val="Standard"/>
    <w:uiPriority w:val="99"/>
    <w:semiHidden/>
    <w:pPr>
      <w:spacing w:after="120"/>
      <w:ind w:left="1415"/>
    </w:pPr>
  </w:style>
  <w:style w:type="paragraph" w:styleId="Listennummer">
    <w:name w:val="List Number"/>
    <w:basedOn w:val="Standard"/>
    <w:uiPriority w:val="99"/>
    <w:semiHidden/>
    <w:pPr>
      <w:numPr>
        <w:numId w:val="6"/>
      </w:numPr>
    </w:pPr>
  </w:style>
  <w:style w:type="paragraph" w:styleId="Listennummer2">
    <w:name w:val="List Number 2"/>
    <w:basedOn w:val="Standard"/>
    <w:uiPriority w:val="99"/>
    <w:semiHidden/>
    <w:pPr>
      <w:numPr>
        <w:numId w:val="7"/>
      </w:numPr>
    </w:pPr>
  </w:style>
  <w:style w:type="paragraph" w:styleId="Listennummer3">
    <w:name w:val="List Number 3"/>
    <w:basedOn w:val="Standard"/>
    <w:uiPriority w:val="99"/>
    <w:semiHidden/>
    <w:pPr>
      <w:numPr>
        <w:numId w:val="8"/>
      </w:numPr>
    </w:pPr>
  </w:style>
  <w:style w:type="paragraph" w:styleId="Listennummer4">
    <w:name w:val="List Number 4"/>
    <w:basedOn w:val="Standard"/>
    <w:uiPriority w:val="99"/>
    <w:semiHidden/>
    <w:pPr>
      <w:numPr>
        <w:numId w:val="9"/>
      </w:numPr>
    </w:pPr>
  </w:style>
  <w:style w:type="paragraph" w:styleId="Listennummer5">
    <w:name w:val="List Number 5"/>
    <w:basedOn w:val="Standard"/>
    <w:uiPriority w:val="99"/>
    <w:semiHidden/>
    <w:pPr>
      <w:numPr>
        <w:numId w:val="10"/>
      </w:numPr>
    </w:pPr>
  </w:style>
  <w:style w:type="paragraph" w:styleId="Nachrichtenkopf">
    <w:name w:val="Message Header"/>
    <w:basedOn w:val="Standard"/>
    <w:link w:val="NachrichtenkopfZchn"/>
    <w:uiPriority w:val="99"/>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NachrichtenkopfZchn">
    <w:name w:val="Nachrichtenkopf Zchn"/>
    <w:basedOn w:val="Absatz-Standardschriftart"/>
    <w:link w:val="Nachrichtenkopf"/>
    <w:uiPriority w:val="99"/>
    <w:semiHidden/>
    <w:locked/>
    <w:rPr>
      <w:rFonts w:ascii="Cambria" w:hAnsi="Cambria" w:cs="Times New Roman"/>
      <w:position w:val="-2"/>
      <w:sz w:val="24"/>
      <w:szCs w:val="24"/>
      <w:shd w:val="pct20" w:color="auto" w:fill="auto"/>
    </w:rPr>
  </w:style>
  <w:style w:type="paragraph" w:styleId="NurText">
    <w:name w:val="Plain Text"/>
    <w:basedOn w:val="Standard"/>
    <w:link w:val="NurTextZchn"/>
    <w:uiPriority w:val="99"/>
    <w:semiHidden/>
    <w:rPr>
      <w:rFonts w:ascii="Courier New" w:hAnsi="Courier New" w:cs="Courier New"/>
      <w:sz w:val="20"/>
      <w:szCs w:val="20"/>
    </w:rPr>
  </w:style>
  <w:style w:type="character" w:customStyle="1" w:styleId="NurTextZchn">
    <w:name w:val="Nur Text Zchn"/>
    <w:basedOn w:val="Absatz-Standardschriftart"/>
    <w:link w:val="NurText"/>
    <w:uiPriority w:val="99"/>
    <w:semiHidden/>
    <w:locked/>
    <w:rPr>
      <w:rFonts w:ascii="Courier New" w:hAnsi="Courier New" w:cs="Courier New"/>
      <w:position w:val="-2"/>
      <w:sz w:val="20"/>
      <w:szCs w:val="20"/>
    </w:rPr>
  </w:style>
  <w:style w:type="character" w:styleId="Seitenzahl">
    <w:name w:val="page number"/>
    <w:basedOn w:val="Absatz-Standardschriftart"/>
    <w:uiPriority w:val="99"/>
    <w:semiHidden/>
    <w:rPr>
      <w:rFonts w:cs="Times New Roman"/>
    </w:rPr>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uiPriority w:val="99"/>
    <w:semiHidden/>
    <w:pPr>
      <w:ind w:left="708"/>
    </w:pPr>
  </w:style>
  <w:style w:type="table" w:styleId="Tabelle3D-Effekt1">
    <w:name w:val="Table 3D effects 1"/>
    <w:basedOn w:val="NormaleTabelle"/>
    <w:uiPriority w:val="99"/>
    <w:semiHidden/>
    <w:pPr>
      <w:spacing w:line="240" w:lineRule="exact"/>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pPr>
      <w:spacing w:line="240" w:lineRule="exact"/>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pPr>
      <w:spacing w:line="240" w:lineRule="exact"/>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pPr>
      <w:spacing w:line="240" w:lineRule="exact"/>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pPr>
      <w:spacing w:line="240" w:lineRule="exact"/>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pPr>
      <w:spacing w:line="240" w:lineRule="exact"/>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pPr>
      <w:spacing w:line="240" w:lineRule="exact"/>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pPr>
      <w:spacing w:line="240" w:lineRule="exact"/>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pPr>
      <w:spacing w:line="240" w:lineRule="exact"/>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pPr>
      <w:spacing w:line="240" w:lineRule="exact"/>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pPr>
      <w:spacing w:line="240" w:lineRule="exact"/>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pPr>
      <w:spacing w:line="240" w:lineRule="exact"/>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pPr>
      <w:spacing w:line="240" w:lineRule="exact"/>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pPr>
      <w:spacing w:line="240" w:lineRule="exact"/>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pPr>
      <w:spacing w:line="240" w:lineRule="exact"/>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pPr>
      <w:spacing w:line="240" w:lineRule="exact"/>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pPr>
      <w:spacing w:line="240" w:lineRule="exact"/>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pPr>
      <w:spacing w:line="240" w:lineRule="exact"/>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pPr>
      <w:spacing w:line="240" w:lineRule="exact"/>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pPr>
      <w:spacing w:line="240" w:lineRule="exact"/>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pPr>
      <w:spacing w:line="240" w:lineRule="exact"/>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pPr>
      <w:spacing w:line="240" w:lineRule="exact"/>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pPr>
      <w:spacing w:line="240" w:lineRule="exact"/>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pPr>
      <w:spacing w:line="240" w:lineRule="exact"/>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pPr>
      <w:spacing w:line="240" w:lineRule="exact"/>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pPr>
      <w:spacing w:line="240" w:lineRule="exact"/>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pPr>
      <w:spacing w:line="240" w:lineRule="exact"/>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pPr>
      <w:spacing w:line="240" w:lineRule="exact"/>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pPr>
      <w:spacing w:line="240" w:lineRule="exact"/>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pPr>
      <w:spacing w:line="240" w:lineRule="exact"/>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pPr>
      <w:spacing w:line="240" w:lineRule="exact"/>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pPr>
      <w:spacing w:line="240" w:lineRule="exac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link w:val="TextkrperZchn"/>
    <w:uiPriority w:val="99"/>
    <w:semiHidden/>
    <w:pPr>
      <w:spacing w:after="120"/>
    </w:pPr>
  </w:style>
  <w:style w:type="character" w:customStyle="1" w:styleId="TextkrperZchn">
    <w:name w:val="Textkörper Zchn"/>
    <w:basedOn w:val="Absatz-Standardschriftart"/>
    <w:link w:val="Textkrper"/>
    <w:uiPriority w:val="99"/>
    <w:semiHidden/>
    <w:locked/>
    <w:rPr>
      <w:rFonts w:ascii="Lucida Sans Unicode" w:hAnsi="Lucida Sans Unicode" w:cs="Times New Roman"/>
      <w:position w:val="-2"/>
      <w:sz w:val="24"/>
      <w:szCs w:val="24"/>
    </w:rPr>
  </w:style>
  <w:style w:type="paragraph" w:styleId="Textkrper2">
    <w:name w:val="Body Text 2"/>
    <w:basedOn w:val="Standard"/>
    <w:link w:val="Textkrper2Zchn"/>
    <w:uiPriority w:val="99"/>
    <w:semiHidden/>
    <w:pPr>
      <w:spacing w:after="120" w:line="480" w:lineRule="auto"/>
    </w:pPr>
  </w:style>
  <w:style w:type="character" w:customStyle="1" w:styleId="Textkrper2Zchn">
    <w:name w:val="Textkörper 2 Zchn"/>
    <w:basedOn w:val="Absatz-Standardschriftart"/>
    <w:link w:val="Textkrper2"/>
    <w:uiPriority w:val="99"/>
    <w:semiHidden/>
    <w:locked/>
    <w:rPr>
      <w:rFonts w:ascii="Lucida Sans Unicode" w:hAnsi="Lucida Sans Unicode" w:cs="Times New Roman"/>
      <w:position w:val="-2"/>
      <w:sz w:val="24"/>
      <w:szCs w:val="24"/>
    </w:rPr>
  </w:style>
  <w:style w:type="paragraph" w:styleId="Textkrper3">
    <w:name w:val="Body Text 3"/>
    <w:basedOn w:val="Standard"/>
    <w:link w:val="Textkrper3Zchn"/>
    <w:uiPriority w:val="99"/>
    <w:semiHidden/>
    <w:pPr>
      <w:spacing w:after="120"/>
    </w:pPr>
    <w:rPr>
      <w:sz w:val="16"/>
      <w:szCs w:val="16"/>
    </w:rPr>
  </w:style>
  <w:style w:type="character" w:customStyle="1" w:styleId="Textkrper3Zchn">
    <w:name w:val="Textkörper 3 Zchn"/>
    <w:basedOn w:val="Absatz-Standardschriftart"/>
    <w:link w:val="Textkrper3"/>
    <w:uiPriority w:val="99"/>
    <w:semiHidden/>
    <w:locked/>
    <w:rPr>
      <w:rFonts w:ascii="Lucida Sans Unicode" w:hAnsi="Lucida Sans Unicode" w:cs="Times New Roman"/>
      <w:position w:val="-2"/>
      <w:sz w:val="16"/>
      <w:szCs w:val="16"/>
    </w:rPr>
  </w:style>
  <w:style w:type="paragraph" w:styleId="Textkrper-Einzug2">
    <w:name w:val="Body Text Indent 2"/>
    <w:basedOn w:val="Standard"/>
    <w:link w:val="Textkrper-Einzug2Zchn"/>
    <w:uiPriority w:val="99"/>
    <w:semiHidden/>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Pr>
      <w:rFonts w:ascii="Lucida Sans Unicode" w:hAnsi="Lucida Sans Unicode" w:cs="Times New Roman"/>
      <w:position w:val="-2"/>
      <w:sz w:val="24"/>
      <w:szCs w:val="24"/>
    </w:rPr>
  </w:style>
  <w:style w:type="paragraph" w:styleId="Textkrper-Einzug3">
    <w:name w:val="Body Text Indent 3"/>
    <w:basedOn w:val="Standard"/>
    <w:link w:val="Textkrper-Einzug3Zchn"/>
    <w:uiPriority w:val="99"/>
    <w:semiHidden/>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locked/>
    <w:rPr>
      <w:rFonts w:ascii="Lucida Sans Unicode" w:hAnsi="Lucida Sans Unicode" w:cs="Times New Roman"/>
      <w:position w:val="-2"/>
      <w:sz w:val="16"/>
      <w:szCs w:val="16"/>
    </w:rPr>
  </w:style>
  <w:style w:type="paragraph" w:styleId="Textkrper-Erstzeileneinzug">
    <w:name w:val="Body Text First Indent"/>
    <w:basedOn w:val="Textkrper"/>
    <w:link w:val="Textkrper-ErstzeileneinzugZchn"/>
    <w:uiPriority w:val="99"/>
    <w:semiHidden/>
    <w:pPr>
      <w:ind w:firstLine="210"/>
    </w:pPr>
  </w:style>
  <w:style w:type="character" w:customStyle="1" w:styleId="Textkrper-ErstzeileneinzugZchn">
    <w:name w:val="Textkörper-Erstzeileneinzug Zchn"/>
    <w:basedOn w:val="TextkrperZchn"/>
    <w:link w:val="Textkrper-Erstzeileneinzug"/>
    <w:uiPriority w:val="99"/>
    <w:semiHidden/>
    <w:locked/>
    <w:rPr>
      <w:rFonts w:ascii="Lucida Sans Unicode" w:hAnsi="Lucida Sans Unicode" w:cs="Times New Roman"/>
      <w:position w:val="-2"/>
      <w:sz w:val="24"/>
      <w:szCs w:val="24"/>
    </w:rPr>
  </w:style>
  <w:style w:type="paragraph" w:styleId="Textkrper-Zeileneinzug">
    <w:name w:val="Body Text Indent"/>
    <w:basedOn w:val="Standard"/>
    <w:link w:val="Textkrper-ZeileneinzugZchn"/>
    <w:uiPriority w:val="99"/>
    <w:semiHidden/>
    <w:pPr>
      <w:spacing w:after="120"/>
      <w:ind w:left="283"/>
    </w:pPr>
  </w:style>
  <w:style w:type="character" w:customStyle="1" w:styleId="Textkrper-ZeileneinzugZchn">
    <w:name w:val="Textkörper-Zeileneinzug Zchn"/>
    <w:basedOn w:val="Absatz-Standardschriftart"/>
    <w:link w:val="Textkrper-Zeileneinzug"/>
    <w:uiPriority w:val="99"/>
    <w:semiHidden/>
    <w:locked/>
    <w:rPr>
      <w:rFonts w:ascii="Lucida Sans Unicode" w:hAnsi="Lucida Sans Unicode" w:cs="Times New Roman"/>
      <w:position w:val="-2"/>
      <w:sz w:val="24"/>
      <w:szCs w:val="24"/>
    </w:rPr>
  </w:style>
  <w:style w:type="paragraph" w:styleId="Textkrper-Erstzeileneinzug2">
    <w:name w:val="Body Text First Indent 2"/>
    <w:basedOn w:val="Textkrper-Zeileneinzug"/>
    <w:link w:val="Textkrper-Erstzeileneinzug2Zchn"/>
    <w:uiPriority w:val="99"/>
    <w:semiHidden/>
    <w:pPr>
      <w:ind w:firstLine="210"/>
    </w:pPr>
  </w:style>
  <w:style w:type="character" w:customStyle="1" w:styleId="Textkrper-Erstzeileneinzug2Zchn">
    <w:name w:val="Textkörper-Erstzeileneinzug 2 Zchn"/>
    <w:basedOn w:val="Textkrper-ZeileneinzugZchn"/>
    <w:link w:val="Textkrper-Erstzeileneinzug2"/>
    <w:uiPriority w:val="99"/>
    <w:semiHidden/>
    <w:locked/>
    <w:rPr>
      <w:rFonts w:ascii="Lucida Sans Unicode" w:hAnsi="Lucida Sans Unicode" w:cs="Times New Roman"/>
      <w:position w:val="-2"/>
      <w:sz w:val="24"/>
      <w:szCs w:val="24"/>
    </w:rPr>
  </w:style>
  <w:style w:type="paragraph" w:styleId="Umschlagabsenderadresse">
    <w:name w:val="envelope return"/>
    <w:basedOn w:val="Standard"/>
    <w:uiPriority w:val="99"/>
    <w:semiHidden/>
    <w:rPr>
      <w:rFonts w:ascii="Arial" w:hAnsi="Arial" w:cs="Arial"/>
      <w:sz w:val="20"/>
      <w:szCs w:val="20"/>
    </w:rPr>
  </w:style>
  <w:style w:type="paragraph" w:styleId="Umschlagadresse">
    <w:name w:val="envelope address"/>
    <w:basedOn w:val="Standard"/>
    <w:uiPriority w:val="99"/>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link w:val="UnterschriftZchn"/>
    <w:uiPriority w:val="99"/>
    <w:semiHidden/>
    <w:pPr>
      <w:ind w:left="4252"/>
    </w:pPr>
  </w:style>
  <w:style w:type="character" w:customStyle="1" w:styleId="UnterschriftZchn">
    <w:name w:val="Unterschrift Zchn"/>
    <w:basedOn w:val="Absatz-Standardschriftart"/>
    <w:link w:val="Unterschrift"/>
    <w:uiPriority w:val="99"/>
    <w:semiHidden/>
    <w:locked/>
    <w:rPr>
      <w:rFonts w:ascii="Lucida Sans Unicode" w:hAnsi="Lucida Sans Unicode" w:cs="Times New Roman"/>
      <w:position w:val="-2"/>
      <w:sz w:val="24"/>
      <w:szCs w:val="24"/>
    </w:rPr>
  </w:style>
  <w:style w:type="paragraph" w:styleId="Untertitel">
    <w:name w:val="Subtitle"/>
    <w:basedOn w:val="Standard"/>
    <w:link w:val="UntertitelZchn"/>
    <w:uiPriority w:val="99"/>
    <w:qFormat/>
    <w:pPr>
      <w:spacing w:after="60"/>
      <w:jc w:val="center"/>
      <w:outlineLvl w:val="1"/>
    </w:pPr>
    <w:rPr>
      <w:rFonts w:ascii="Arial" w:hAnsi="Arial" w:cs="Arial"/>
      <w:sz w:val="24"/>
    </w:rPr>
  </w:style>
  <w:style w:type="character" w:customStyle="1" w:styleId="UntertitelZchn">
    <w:name w:val="Untertitel Zchn"/>
    <w:basedOn w:val="Absatz-Standardschriftart"/>
    <w:link w:val="Untertitel"/>
    <w:uiPriority w:val="99"/>
    <w:locked/>
    <w:rPr>
      <w:rFonts w:ascii="Cambria" w:hAnsi="Cambria" w:cs="Times New Roman"/>
      <w:position w:val="-2"/>
      <w:sz w:val="24"/>
      <w:szCs w:val="24"/>
    </w:rPr>
  </w:style>
  <w:style w:type="character" w:styleId="Zeilennummer">
    <w:name w:val="line number"/>
    <w:basedOn w:val="Absatz-Standardschriftart"/>
    <w:uiPriority w:val="99"/>
    <w:semiHidden/>
    <w:rPr>
      <w:rFonts w:cs="Times New Roman"/>
    </w:rPr>
  </w:style>
  <w:style w:type="paragraph" w:styleId="Titel">
    <w:name w:val="Title"/>
    <w:basedOn w:val="Standard"/>
    <w:link w:val="TitelZchn"/>
    <w:uiPriority w:val="99"/>
    <w:qFormat/>
    <w:pPr>
      <w:spacing w:line="360" w:lineRule="exact"/>
      <w:ind w:left="0" w:right="0"/>
      <w:outlineLvl w:val="0"/>
    </w:pPr>
    <w:rPr>
      <w:rFonts w:cs="Arial"/>
      <w:bCs/>
      <w:position w:val="0"/>
      <w:sz w:val="32"/>
      <w:szCs w:val="32"/>
    </w:rPr>
  </w:style>
  <w:style w:type="character" w:customStyle="1" w:styleId="TitelZchn">
    <w:name w:val="Titel Zchn"/>
    <w:basedOn w:val="Absatz-Standardschriftart"/>
    <w:link w:val="Titel"/>
    <w:uiPriority w:val="99"/>
    <w:locked/>
    <w:rPr>
      <w:rFonts w:ascii="Cambria" w:hAnsi="Cambria" w:cs="Times New Roman"/>
      <w:b/>
      <w:bCs/>
      <w:kern w:val="28"/>
      <w:position w:val="-2"/>
      <w:sz w:val="32"/>
      <w:szCs w:val="32"/>
    </w:rPr>
  </w:style>
  <w:style w:type="paragraph" w:customStyle="1" w:styleId="Zahl">
    <w:name w:val="Zahl"/>
    <w:basedOn w:val="Standard"/>
    <w:uiPriority w:val="99"/>
    <w:pPr>
      <w:ind w:left="74" w:right="-170"/>
    </w:pPr>
    <w:rPr>
      <w:rFonts w:ascii="Lucida Sans Typewriter" w:hAnsi="Lucida Sans Typewriter"/>
      <w:spacing w:val="146"/>
    </w:rPr>
  </w:style>
  <w:style w:type="paragraph" w:customStyle="1" w:styleId="Marginalie">
    <w:name w:val="Marginalie"/>
    <w:basedOn w:val="Standard"/>
    <w:uiPriority w:val="99"/>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cs="Times New Roman"/>
      <w:position w:val="-2"/>
      <w:sz w:val="2"/>
    </w:rPr>
  </w:style>
  <w:style w:type="paragraph" w:customStyle="1" w:styleId="E-Datum">
    <w:name w:val="E-Datum"/>
    <w:basedOn w:val="Standard"/>
    <w:uiPriority w:val="99"/>
    <w:pPr>
      <w:framePr w:wrap="around" w:vAnchor="page" w:hAnchor="page" w:x="8971" w:y="3222"/>
      <w:spacing w:line="180" w:lineRule="exact"/>
      <w:ind w:left="0"/>
      <w:suppressOverlap/>
    </w:pPr>
  </w:style>
  <w:style w:type="paragraph" w:customStyle="1" w:styleId="M1">
    <w:name w:val="M1"/>
    <w:basedOn w:val="Standard"/>
    <w:uiPriority w:val="99"/>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uiPriority w:val="99"/>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uiPriority w:val="99"/>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uiPriority w:val="99"/>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uiPriority w:val="99"/>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uiPriority w:val="99"/>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uiPriority w:val="99"/>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uiPriority w:val="99"/>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uiPriority w:val="99"/>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uiPriority w:val="99"/>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uiPriority w:val="99"/>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uiPriority w:val="99"/>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uiPriority w:val="99"/>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uiPriority w:val="99"/>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uiPriority w:val="99"/>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uiPriority w:val="99"/>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uiPriority w:val="99"/>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uiPriority w:val="99"/>
    <w:pPr>
      <w:framePr w:wrap="auto" w:vAnchor="page" w:hAnchor="page" w:x="8971" w:y="3222"/>
      <w:tabs>
        <w:tab w:val="left" w:pos="518"/>
      </w:tabs>
      <w:spacing w:line="180" w:lineRule="exact"/>
      <w:ind w:left="0" w:right="0"/>
      <w:suppressOverlap/>
    </w:pPr>
    <w:rPr>
      <w:position w:val="0"/>
      <w:sz w:val="13"/>
    </w:rPr>
  </w:style>
  <w:style w:type="paragraph" w:customStyle="1" w:styleId="AONormal">
    <w:name w:val="AONormal"/>
    <w:uiPriority w:val="99"/>
    <w:pPr>
      <w:spacing w:line="260" w:lineRule="atLeast"/>
    </w:pPr>
    <w:rPr>
      <w:rFonts w:eastAsia="SimSun"/>
      <w:lang w:eastAsia="en-US"/>
    </w:rPr>
  </w:style>
  <w:style w:type="numbering" w:styleId="ArtikelAbschnitt">
    <w:name w:val="Outline List 3"/>
    <w:basedOn w:val="KeineListe"/>
    <w:uiPriority w:val="99"/>
    <w:semiHidden/>
    <w:unhideWhenUsed/>
    <w:pPr>
      <w:numPr>
        <w:numId w:val="23"/>
      </w:numPr>
    </w:pPr>
  </w:style>
  <w:style w:type="numbering" w:styleId="1ai">
    <w:name w:val="Outline List 1"/>
    <w:basedOn w:val="KeineListe"/>
    <w:uiPriority w:val="99"/>
    <w:semiHidden/>
    <w:unhideWhenUsed/>
    <w:pPr>
      <w:numPr>
        <w:numId w:val="22"/>
      </w:numPr>
    </w:pPr>
  </w:style>
  <w:style w:type="numbering" w:styleId="111111">
    <w:name w:val="Outline List 2"/>
    <w:basedOn w:val="KeineListe"/>
    <w:uiPriority w:val="99"/>
    <w:semiHidden/>
    <w:unhideWhenUsed/>
    <w:pPr>
      <w:numPr>
        <w:numId w:val="21"/>
      </w:numPr>
    </w:pPr>
  </w:style>
  <w:style w:type="character" w:styleId="Kommentarzeichen">
    <w:name w:val="annotation reference"/>
    <w:basedOn w:val="Absatz-Standardschriftart"/>
    <w:uiPriority w:val="99"/>
    <w:semiHidden/>
    <w:unhideWhenUsed/>
    <w:rsid w:val="00B51B77"/>
    <w:rPr>
      <w:sz w:val="16"/>
      <w:szCs w:val="16"/>
    </w:rPr>
  </w:style>
  <w:style w:type="paragraph" w:styleId="Kommentartext">
    <w:name w:val="annotation text"/>
    <w:basedOn w:val="Standard"/>
    <w:link w:val="KommentartextZchn"/>
    <w:uiPriority w:val="99"/>
    <w:semiHidden/>
    <w:unhideWhenUsed/>
    <w:rsid w:val="00B51B7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51B77"/>
    <w:rPr>
      <w:rFonts w:ascii="Lucida Sans Unicode" w:hAnsi="Lucida Sans Unicode"/>
      <w:position w:val="-2"/>
      <w:sz w:val="20"/>
      <w:szCs w:val="20"/>
    </w:rPr>
  </w:style>
  <w:style w:type="paragraph" w:styleId="Kommentarthema">
    <w:name w:val="annotation subject"/>
    <w:basedOn w:val="Kommentartext"/>
    <w:next w:val="Kommentartext"/>
    <w:link w:val="KommentarthemaZchn"/>
    <w:uiPriority w:val="99"/>
    <w:semiHidden/>
    <w:unhideWhenUsed/>
    <w:rsid w:val="00B51B77"/>
    <w:rPr>
      <w:b/>
      <w:bCs/>
    </w:rPr>
  </w:style>
  <w:style w:type="character" w:customStyle="1" w:styleId="KommentarthemaZchn">
    <w:name w:val="Kommentarthema Zchn"/>
    <w:basedOn w:val="KommentartextZchn"/>
    <w:link w:val="Kommentarthema"/>
    <w:uiPriority w:val="99"/>
    <w:semiHidden/>
    <w:rsid w:val="00B51B77"/>
    <w:rPr>
      <w:rFonts w:ascii="Lucida Sans Unicode" w:hAnsi="Lucida Sans Unicode"/>
      <w:b/>
      <w:bCs/>
      <w:positio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1AADB-DC5B-4BE0-9868-95430EAAA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5C7B2AE6</Template>
  <TotalTime>0</TotalTime>
  <Pages>10</Pages>
  <Words>2998</Words>
  <Characters>17091</Characters>
  <Application>Microsoft Office Word</Application>
  <DocSecurity>0</DocSecurity>
  <Lines>142</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_</vt:lpstr>
      <vt:lpstr>s</vt:lpstr>
    </vt:vector>
  </TitlesOfParts>
  <LinksUpToDate>false</LinksUpToDate>
  <CharactersWithSpaces>20049</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Financial Data: January 1 to December 31, 2012 / Q4 2012</dc:title>
  <dc:creator/>
  <cp:lastModifiedBy/>
  <cp:revision>1</cp:revision>
  <cp:lastPrinted>2013-03-07T14:31:00Z</cp:lastPrinted>
  <dcterms:created xsi:type="dcterms:W3CDTF">2013-04-22T12:30:00Z</dcterms:created>
  <dcterms:modified xsi:type="dcterms:W3CDTF">2013-04-22T12:30:00Z</dcterms:modified>
</cp:coreProperties>
</file>