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8F" w:rsidRPr="00777798" w:rsidRDefault="002A3B8F">
      <w:pPr>
        <w:spacing w:line="300" w:lineRule="exact"/>
        <w:ind w:left="0"/>
        <w:rPr>
          <w:b/>
          <w:szCs w:val="18"/>
          <w:u w:val="single"/>
          <w:lang w:val="en-US"/>
        </w:rPr>
      </w:pPr>
      <w:bookmarkStart w:id="0" w:name="_GoBack"/>
      <w:bookmarkEnd w:id="0"/>
      <w:r w:rsidRPr="00777798">
        <w:rPr>
          <w:b/>
          <w:szCs w:val="18"/>
          <w:u w:val="single"/>
          <w:lang w:val="en-US"/>
        </w:rPr>
        <w:t>Embargoed until: May 8, 2013 – 7.15 am</w:t>
      </w:r>
    </w:p>
    <w:p w:rsidR="002A3B8F" w:rsidRPr="00777798" w:rsidRDefault="002A3B8F">
      <w:pPr>
        <w:spacing w:line="300" w:lineRule="exact"/>
        <w:ind w:left="0"/>
        <w:rPr>
          <w:b/>
          <w:sz w:val="20"/>
          <w:szCs w:val="20"/>
          <w:u w:val="single"/>
          <w:lang w:val="en-US"/>
        </w:rPr>
        <w:sectPr w:rsidR="002A3B8F" w:rsidRPr="007777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2A3B8F" w:rsidRPr="00712788">
        <w:trPr>
          <w:trHeight w:hRule="exact" w:val="174"/>
        </w:trPr>
        <w:tc>
          <w:tcPr>
            <w:tcW w:w="2271" w:type="dxa"/>
          </w:tcPr>
          <w:p w:rsidR="002A3B8F" w:rsidRPr="00712788" w:rsidRDefault="002A3B8F">
            <w:pPr>
              <w:pStyle w:val="E-Datum"/>
              <w:framePr w:wrap="auto" w:vAnchor="margin" w:hAnchor="text" w:xAlign="left" w:yAlign="inline"/>
              <w:suppressOverlap w:val="0"/>
              <w:rPr>
                <w:lang w:val="en-US"/>
              </w:rPr>
            </w:pPr>
            <w:r w:rsidRPr="00712788">
              <w:rPr>
                <w:lang w:val="en-US"/>
              </w:rPr>
              <w:t>May 8, 2013</w:t>
            </w:r>
          </w:p>
          <w:p w:rsidR="002A3B8F" w:rsidRPr="00712788" w:rsidRDefault="002A3B8F">
            <w:pPr>
              <w:pStyle w:val="E-Datum"/>
              <w:framePr w:wrap="auto" w:vAnchor="margin" w:hAnchor="text" w:xAlign="left" w:yAlign="inline"/>
              <w:suppressOverlap w:val="0"/>
              <w:rPr>
                <w:lang w:val="en-US"/>
              </w:rPr>
            </w:pPr>
            <w:r w:rsidRPr="00712788">
              <w:rPr>
                <w:lang w:val="en-US"/>
              </w:rPr>
              <w:t>0812, 2013</w:t>
            </w:r>
          </w:p>
        </w:tc>
      </w:tr>
      <w:tr w:rsidR="002A3B8F" w:rsidRPr="00712788">
        <w:trPr>
          <w:trHeight w:hRule="exact" w:val="304"/>
        </w:trPr>
        <w:tc>
          <w:tcPr>
            <w:tcW w:w="2271" w:type="dxa"/>
          </w:tcPr>
          <w:p w:rsidR="002A3B8F" w:rsidRPr="00712788" w:rsidRDefault="002A3B8F">
            <w:pPr>
              <w:spacing w:line="180" w:lineRule="exact"/>
              <w:ind w:left="0"/>
              <w:rPr>
                <w:lang w:val="en-US"/>
              </w:rPr>
            </w:pPr>
          </w:p>
        </w:tc>
      </w:tr>
      <w:tr w:rsidR="002A3B8F" w:rsidRPr="00DC4E50">
        <w:trPr>
          <w:trHeight w:hRule="exact" w:val="1222"/>
        </w:trPr>
        <w:tc>
          <w:tcPr>
            <w:tcW w:w="2271" w:type="dxa"/>
          </w:tcPr>
          <w:p w:rsidR="002A3B8F" w:rsidRDefault="002A3B8F">
            <w:pPr>
              <w:pStyle w:val="M7"/>
              <w:framePr w:wrap="auto" w:vAnchor="margin" w:hAnchor="text" w:xAlign="left" w:yAlign="inline"/>
              <w:suppressOverlap w:val="0"/>
              <w:rPr>
                <w:lang w:val="en-US"/>
              </w:rPr>
            </w:pPr>
            <w:r>
              <w:rPr>
                <w:lang w:val="en-US"/>
              </w:rPr>
              <w:t>Barbara Müller</w:t>
            </w:r>
          </w:p>
          <w:p w:rsidR="002A3B8F" w:rsidRDefault="002A3B8F">
            <w:pPr>
              <w:pStyle w:val="M8"/>
              <w:framePr w:wrap="auto" w:vAnchor="margin" w:hAnchor="text" w:xAlign="left" w:yAlign="inline"/>
              <w:suppressOverlap w:val="0"/>
              <w:rPr>
                <w:lang w:val="en-US"/>
              </w:rPr>
            </w:pPr>
            <w:r>
              <w:rPr>
                <w:lang w:val="en-US"/>
              </w:rPr>
              <w:t>Head of Corporate Press</w:t>
            </w:r>
          </w:p>
          <w:p w:rsidR="002A3B8F" w:rsidRDefault="002A3B8F">
            <w:pPr>
              <w:pStyle w:val="M9"/>
              <w:framePr w:wrap="auto" w:vAnchor="margin" w:hAnchor="text" w:xAlign="left" w:yAlign="inline"/>
              <w:suppressOverlap w:val="0"/>
              <w:rPr>
                <w:lang w:val="en-US"/>
              </w:rPr>
            </w:pPr>
            <w:r>
              <w:rPr>
                <w:lang w:val="en-US"/>
              </w:rPr>
              <w:t>Phone +49</w:t>
            </w:r>
            <w:r>
              <w:rPr>
                <w:lang w:val="en-US"/>
              </w:rPr>
              <w:tab/>
              <w:t>201 177-3423</w:t>
            </w:r>
          </w:p>
          <w:p w:rsidR="002A3B8F" w:rsidRDefault="002A3B8F">
            <w:pPr>
              <w:pStyle w:val="M10"/>
              <w:framePr w:wrap="auto" w:vAnchor="margin" w:hAnchor="text" w:xAlign="left" w:yAlign="inline"/>
              <w:suppressOverlap w:val="0"/>
            </w:pPr>
            <w:r>
              <w:t>Fax +49</w:t>
            </w:r>
            <w:r>
              <w:tab/>
              <w:t>201 177-3030</w:t>
            </w:r>
          </w:p>
          <w:p w:rsidR="002A3B8F" w:rsidRDefault="002A3B8F">
            <w:pPr>
              <w:pStyle w:val="M10"/>
              <w:framePr w:wrap="auto" w:vAnchor="margin" w:hAnchor="text" w:xAlign="left" w:yAlign="inline"/>
              <w:suppressOverlap w:val="0"/>
            </w:pPr>
            <w:r>
              <w:t>barbara.mueller@evonik.com</w:t>
            </w:r>
            <w:r>
              <w:rPr>
                <w:lang w:val="sv-SE"/>
              </w:rPr>
              <w:t xml:space="preserve"> </w:t>
            </w:r>
          </w:p>
        </w:tc>
      </w:tr>
      <w:tr w:rsidR="002A3B8F" w:rsidRPr="00DC4E50">
        <w:trPr>
          <w:trHeight w:val="2609"/>
        </w:trPr>
        <w:tc>
          <w:tcPr>
            <w:tcW w:w="2271" w:type="dxa"/>
          </w:tcPr>
          <w:p w:rsidR="002A3B8F" w:rsidRPr="00777798" w:rsidRDefault="00777798">
            <w:pPr>
              <w:pStyle w:val="M12"/>
              <w:framePr w:wrap="auto" w:vAnchor="margin" w:hAnchor="text" w:xAlign="left" w:yAlign="inline"/>
              <w:suppressOverlap w:val="0"/>
              <w:rPr>
                <w:b/>
                <w:lang w:val="en-US"/>
              </w:rPr>
            </w:pPr>
            <w:r w:rsidRPr="00777798">
              <w:rPr>
                <w:b/>
                <w:lang w:val="en-US"/>
              </w:rPr>
              <w:t>Alexandra Boy</w:t>
            </w:r>
          </w:p>
          <w:p w:rsidR="00777798" w:rsidRDefault="00765964">
            <w:pPr>
              <w:pStyle w:val="M12"/>
              <w:framePr w:wrap="auto" w:vAnchor="margin" w:hAnchor="text" w:xAlign="left" w:yAlign="inline"/>
              <w:suppressOverlap w:val="0"/>
              <w:rPr>
                <w:lang w:val="en-US"/>
              </w:rPr>
            </w:pPr>
            <w:r>
              <w:rPr>
                <w:lang w:val="en-US"/>
              </w:rPr>
              <w:t xml:space="preserve">Deputy Head of </w:t>
            </w:r>
            <w:r w:rsidR="00777798">
              <w:rPr>
                <w:lang w:val="en-US"/>
              </w:rPr>
              <w:t xml:space="preserve">Corporate Press </w:t>
            </w:r>
            <w:r w:rsidR="00777798">
              <w:rPr>
                <w:lang w:val="en-US"/>
              </w:rPr>
              <w:br/>
              <w:t>Phone +49 201 177-3167</w:t>
            </w:r>
            <w:r w:rsidR="00777798">
              <w:rPr>
                <w:lang w:val="en-US"/>
              </w:rPr>
              <w:br/>
              <w:t>Fax +49 201 177-3030</w:t>
            </w:r>
            <w:r w:rsidR="00777798">
              <w:rPr>
                <w:lang w:val="en-US"/>
              </w:rPr>
              <w:br/>
              <w:t xml:space="preserve">alexandra.boy@evonik.com </w:t>
            </w:r>
          </w:p>
          <w:p w:rsidR="002A3B8F" w:rsidRDefault="002A3B8F">
            <w:pPr>
              <w:pStyle w:val="M1"/>
              <w:framePr w:wrap="auto" w:vAnchor="margin" w:hAnchor="text" w:xAlign="left" w:yAlign="inline"/>
              <w:suppressOverlap w:val="0"/>
              <w:rPr>
                <w:lang w:val="en-US"/>
              </w:rPr>
            </w:pPr>
            <w:r>
              <w:rPr>
                <w:lang w:val="en-US"/>
              </w:rPr>
              <w:br/>
            </w:r>
            <w:r>
              <w:rPr>
                <w:lang w:val="en-US"/>
              </w:rPr>
              <w:br/>
            </w:r>
            <w:r>
              <w:rPr>
                <w:lang w:val="en-US"/>
              </w:rPr>
              <w:br/>
            </w:r>
          </w:p>
        </w:tc>
      </w:tr>
      <w:tr w:rsidR="002A3B8F">
        <w:trPr>
          <w:trHeight w:hRule="exact" w:val="7880"/>
        </w:trPr>
        <w:tc>
          <w:tcPr>
            <w:tcW w:w="2271" w:type="dxa"/>
            <w:vAlign w:val="bottom"/>
          </w:tcPr>
          <w:p w:rsidR="002A3B8F" w:rsidRPr="00777798" w:rsidRDefault="002A3B8F">
            <w:pPr>
              <w:pStyle w:val="Marginalie"/>
              <w:framePr w:w="0" w:hSpace="0" w:wrap="auto" w:vAnchor="margin" w:hAnchor="text" w:xAlign="left" w:yAlign="inline"/>
              <w:rPr>
                <w:b/>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777798" w:rsidRDefault="002A3B8F">
            <w:pPr>
              <w:pStyle w:val="V1"/>
              <w:framePr w:wrap="auto" w:vAnchor="margin" w:hAnchor="text" w:xAlign="left" w:yAlign="inline"/>
              <w:suppressOverlap w:val="0"/>
              <w:rPr>
                <w:lang w:val="en-US"/>
              </w:rPr>
            </w:pPr>
          </w:p>
          <w:p w:rsidR="002A3B8F" w:rsidRPr="00F552A0" w:rsidRDefault="002A3B8F">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Pr="00F552A0">
              <w:instrText xml:space="preserve"> FORMTEXT </w:instrText>
            </w:r>
            <w:r>
              <w:fldChar w:fldCharType="separate"/>
            </w:r>
            <w:r w:rsidRPr="00F552A0">
              <w:rPr>
                <w:noProof/>
              </w:rPr>
              <w:t>Evonik Industries AG</w:t>
            </w:r>
            <w:r>
              <w:fldChar w:fldCharType="end"/>
            </w:r>
          </w:p>
          <w:p w:rsidR="002A3B8F" w:rsidRPr="00F552A0" w:rsidRDefault="002A3B8F">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F552A0">
              <w:instrText xml:space="preserve"> FORMTEXT </w:instrText>
            </w:r>
            <w:r>
              <w:fldChar w:fldCharType="separate"/>
            </w:r>
            <w:r w:rsidRPr="00F552A0">
              <w:rPr>
                <w:noProof/>
              </w:rPr>
              <w:t>Rellinghauser Straße 1-11</w:t>
            </w:r>
            <w:r>
              <w:fldChar w:fldCharType="end"/>
            </w:r>
          </w:p>
          <w:p w:rsidR="002A3B8F" w:rsidRDefault="002A3B8F">
            <w:pPr>
              <w:pStyle w:val="V3"/>
              <w:framePr w:wrap="auto" w:vAnchor="margin" w:hAnchor="text" w:xAlign="left" w:yAlign="inline"/>
              <w:suppressOverlap w:val="0"/>
              <w:rPr>
                <w:lang w:val="en-US"/>
              </w:rPr>
            </w:pPr>
            <w:r>
              <w:rPr>
                <w:lang w:val="en-US"/>
              </w:rPr>
              <w:fldChar w:fldCharType="begin">
                <w:ffData>
                  <w:name w:val=""/>
                  <w:enabled/>
                  <w:calcOnExit w:val="0"/>
                  <w:textInput>
                    <w:default w:val="45128 Essen"/>
                  </w:textInput>
                </w:ffData>
              </w:fldChar>
            </w:r>
            <w:r>
              <w:rPr>
                <w:lang w:val="en-US"/>
              </w:rPr>
              <w:instrText xml:space="preserve"> FORMTEXT </w:instrText>
            </w:r>
            <w:r>
              <w:rPr>
                <w:lang w:val="en-US"/>
              </w:rPr>
            </w:r>
            <w:r>
              <w:rPr>
                <w:lang w:val="en-US"/>
              </w:rPr>
              <w:fldChar w:fldCharType="separate"/>
            </w:r>
            <w:r>
              <w:rPr>
                <w:noProof/>
                <w:lang w:val="en-US"/>
              </w:rPr>
              <w:t>45128 Essen</w:t>
            </w:r>
            <w:r>
              <w:rPr>
                <w:lang w:val="en-US"/>
              </w:rPr>
              <w:fldChar w:fldCharType="end"/>
            </w:r>
          </w:p>
          <w:p w:rsidR="002A3B8F" w:rsidRDefault="002A3B8F">
            <w:pPr>
              <w:pStyle w:val="V3"/>
              <w:framePr w:wrap="auto" w:vAnchor="margin" w:hAnchor="text" w:xAlign="left" w:yAlign="inline"/>
              <w:suppressOverlap w:val="0"/>
              <w:rPr>
                <w:lang w:val="en-US"/>
              </w:rPr>
            </w:pPr>
            <w:smartTag w:uri="urn:schemas-microsoft-com:office:smarttags" w:element="place">
              <w:smartTag w:uri="urn:schemas-microsoft-com:office:smarttags" w:element="country-region">
                <w:r>
                  <w:rPr>
                    <w:lang w:val="en-US"/>
                  </w:rPr>
                  <w:t>Germany</w:t>
                </w:r>
              </w:smartTag>
            </w:smartTag>
          </w:p>
          <w:p w:rsidR="002A3B8F" w:rsidRDefault="002A3B8F">
            <w:pPr>
              <w:pStyle w:val="V4"/>
              <w:framePr w:wrap="auto" w:vAnchor="margin" w:hAnchor="text" w:xAlign="left" w:yAlign="inline"/>
              <w:suppressOverlap w:val="0"/>
              <w:rPr>
                <w:lang w:val="en-US"/>
              </w:rPr>
            </w:pPr>
            <w:r>
              <w:rPr>
                <w:lang w:val="en-US"/>
              </w:rPr>
              <w:fldChar w:fldCharType="begin">
                <w:ffData>
                  <w:name w:val=""/>
                  <w:enabled/>
                  <w:calcOnExit w:val="0"/>
                  <w:textInput>
                    <w:default w:val="Phone"/>
                  </w:textInput>
                </w:ffData>
              </w:fldChar>
            </w:r>
            <w:r>
              <w:rPr>
                <w:lang w:val="en-US"/>
              </w:rPr>
              <w:instrText xml:space="preserve"> FORMTEXT </w:instrText>
            </w:r>
            <w:r>
              <w:rPr>
                <w:lang w:val="en-US"/>
              </w:rPr>
            </w:r>
            <w:r>
              <w:rPr>
                <w:lang w:val="en-US"/>
              </w:rPr>
              <w:fldChar w:fldCharType="separate"/>
            </w:r>
            <w:r>
              <w:rPr>
                <w:noProof/>
                <w:lang w:val="en-US"/>
              </w:rPr>
              <w:t>Phone</w:t>
            </w:r>
            <w:r>
              <w:rPr>
                <w:lang w:val="en-US"/>
              </w:rPr>
              <w:fldChar w:fldCharType="end"/>
            </w:r>
            <w:r>
              <w:rPr>
                <w:lang w:val="en-US"/>
              </w:rPr>
              <w:t xml:space="preserve"> </w:t>
            </w:r>
            <w:r>
              <w:rPr>
                <w:lang w:val="en-US"/>
              </w:rPr>
              <w:fldChar w:fldCharType="begin">
                <w:ffData>
                  <w:name w:val=""/>
                  <w:enabled/>
                  <w:calcOnExit w:val="0"/>
                  <w:textInput>
                    <w:default w:val="+49"/>
                  </w:textInput>
                </w:ffData>
              </w:fldChar>
            </w:r>
            <w:r>
              <w:rPr>
                <w:lang w:val="en-US"/>
              </w:rPr>
              <w:instrText xml:space="preserve"> FORMTEXT </w:instrText>
            </w:r>
            <w:r>
              <w:rPr>
                <w:lang w:val="en-US"/>
              </w:rPr>
            </w:r>
            <w:r>
              <w:rPr>
                <w:lang w:val="en-US"/>
              </w:rPr>
              <w:fldChar w:fldCharType="separate"/>
            </w:r>
            <w:r>
              <w:rPr>
                <w:noProof/>
                <w:lang w:val="en-US"/>
              </w:rPr>
              <w:t>+49</w:t>
            </w:r>
            <w:r>
              <w:rPr>
                <w:lang w:val="en-US"/>
              </w:rPr>
              <w:fldChar w:fldCharType="end"/>
            </w:r>
            <w:r>
              <w:rPr>
                <w:lang w:val="en-US"/>
              </w:rPr>
              <w:tab/>
            </w:r>
            <w:r>
              <w:rPr>
                <w:lang w:val="en-US"/>
              </w:rPr>
              <w:tab/>
              <w:t>201 177</w:t>
            </w:r>
            <w:r>
              <w:rPr>
                <w:lang w:val="en-US"/>
              </w:rPr>
              <w:fldChar w:fldCharType="begin">
                <w:ffData>
                  <w:name w:val=""/>
                  <w:enabled/>
                  <w:calcOnExit w:val="0"/>
                  <w:textInput>
                    <w:default w:val="-"/>
                  </w:textInput>
                </w:ffData>
              </w:fldChar>
            </w:r>
            <w:r>
              <w:rPr>
                <w:lang w:val="en-US"/>
              </w:rPr>
              <w:instrText xml:space="preserve"> FORMTEXT </w:instrText>
            </w:r>
            <w:r>
              <w:rPr>
                <w:lang w:val="en-US"/>
              </w:rPr>
            </w:r>
            <w:r>
              <w:rPr>
                <w:lang w:val="en-US"/>
              </w:rPr>
              <w:fldChar w:fldCharType="separate"/>
            </w:r>
            <w:r>
              <w:rPr>
                <w:noProof/>
                <w:lang w:val="en-US"/>
              </w:rPr>
              <w:t>-</w:t>
            </w:r>
            <w:r>
              <w:rPr>
                <w:lang w:val="en-US"/>
              </w:rPr>
              <w:fldChar w:fldCharType="end"/>
            </w:r>
            <w:r>
              <w:rPr>
                <w:lang w:val="en-US"/>
              </w:rPr>
              <w:t>01</w:t>
            </w:r>
          </w:p>
          <w:p w:rsidR="002A3B8F" w:rsidRDefault="002A3B8F">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Pr>
                <w:noProof/>
              </w:rPr>
              <w:t>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2A3B8F" w:rsidRDefault="002A3B8F">
            <w:pPr>
              <w:pStyle w:val="V6"/>
              <w:framePr w:wrap="auto" w:vAnchor="margin" w:hAnchor="text" w:xAlign="left" w:yAlign="inline"/>
              <w:suppressOverlap w:val="0"/>
              <w:rPr>
                <w:lang w:val="en-US"/>
              </w:rPr>
            </w:pPr>
            <w:r>
              <w:rPr>
                <w:lang w:val="en-US"/>
              </w:rPr>
              <w:t>www.evonik.de</w:t>
            </w:r>
          </w:p>
          <w:p w:rsidR="002A3B8F" w:rsidRDefault="002A3B8F">
            <w:pPr>
              <w:pStyle w:val="Marginalie"/>
              <w:framePr w:w="0" w:hSpace="0" w:wrap="auto" w:vAnchor="margin" w:hAnchor="text" w:xAlign="left" w:yAlign="inline"/>
              <w:rPr>
                <w:lang w:val="en-US"/>
              </w:rPr>
            </w:pPr>
          </w:p>
          <w:p w:rsidR="002A3B8F" w:rsidRDefault="002A3B8F">
            <w:pPr>
              <w:pStyle w:val="Marginalie"/>
              <w:framePr w:w="0" w:hSpace="0" w:wrap="auto" w:vAnchor="margin" w:hAnchor="text" w:xAlign="left" w:yAlign="inline"/>
              <w:rPr>
                <w:b/>
                <w:bCs/>
                <w:lang w:val="en-US"/>
              </w:rPr>
            </w:pPr>
            <w:r>
              <w:rPr>
                <w:b/>
                <w:bCs/>
                <w:lang w:val="en-US"/>
              </w:rPr>
              <w:t>Supervisory Board</w:t>
            </w:r>
          </w:p>
          <w:p w:rsidR="002A3B8F" w:rsidRDefault="002A3B8F">
            <w:pPr>
              <w:pStyle w:val="Marginalie"/>
              <w:framePr w:w="0" w:hSpace="0" w:wrap="auto" w:vAnchor="margin" w:hAnchor="text" w:xAlign="left" w:yAlign="inline"/>
              <w:rPr>
                <w:lang w:val="en-US"/>
              </w:rPr>
            </w:pPr>
            <w:r>
              <w:rPr>
                <w:lang w:val="en-US"/>
              </w:rPr>
              <w:t>Dr. Werner Müller, Chairman</w:t>
            </w:r>
          </w:p>
          <w:p w:rsidR="002A3B8F" w:rsidRDefault="002A3B8F">
            <w:pPr>
              <w:pStyle w:val="Marginalie"/>
              <w:framePr w:w="0" w:hSpace="0" w:wrap="auto" w:vAnchor="margin" w:hAnchor="text" w:xAlign="left" w:yAlign="inline"/>
              <w:rPr>
                <w:lang w:val="en-US"/>
              </w:rPr>
            </w:pPr>
          </w:p>
          <w:p w:rsidR="002A3B8F" w:rsidRDefault="002A3B8F">
            <w:pPr>
              <w:pStyle w:val="V9"/>
              <w:framePr w:wrap="auto" w:vAnchor="margin" w:hAnchor="text" w:xAlign="left" w:yAlign="inline"/>
              <w:suppressOverlap w:val="0"/>
            </w:pPr>
            <w:r>
              <w:fldChar w:fldCharType="begin">
                <w:ffData>
                  <w:name w:val=""/>
                  <w:enabled/>
                  <w:calcOnExit w:val="0"/>
                  <w:textInput>
                    <w:default w:val="Executive Board"/>
                  </w:textInput>
                </w:ffData>
              </w:fldChar>
            </w:r>
            <w:r>
              <w:instrText xml:space="preserve"> FORMTEXT </w:instrText>
            </w:r>
            <w:r>
              <w:fldChar w:fldCharType="separate"/>
            </w:r>
            <w:r>
              <w:rPr>
                <w:noProof/>
              </w:rPr>
              <w:t>Executive Board</w:t>
            </w:r>
            <w:r>
              <w:fldChar w:fldCharType="end"/>
            </w:r>
          </w:p>
          <w:p w:rsidR="002A3B8F" w:rsidRDefault="002A3B8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2A3B8F" w:rsidRDefault="002A3B8F">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2A3B8F" w:rsidRDefault="002A3B8F">
            <w:pPr>
              <w:pStyle w:val="Marginalie"/>
              <w:framePr w:w="0" w:hSpace="0" w:wrap="auto" w:vAnchor="margin" w:hAnchor="text" w:xAlign="left" w:yAlign="inline"/>
            </w:pPr>
          </w:p>
          <w:p w:rsidR="002A3B8F" w:rsidRDefault="002A3B8F">
            <w:pPr>
              <w:pStyle w:val="V14"/>
              <w:framePr w:wrap="auto" w:vAnchor="margin" w:hAnchor="text" w:xAlign="left" w:yAlign="inline"/>
              <w:suppressOverlap w:val="0"/>
              <w:rPr>
                <w:lang w:val="en-US"/>
              </w:rPr>
            </w:pPr>
            <w:r>
              <w:rPr>
                <w:lang w:val="en-US"/>
              </w:rPr>
              <w:t xml:space="preserve">Registered office </w:t>
            </w:r>
            <w:r>
              <w:rPr>
                <w:lang w:val="en-US"/>
              </w:rPr>
              <w:fldChar w:fldCharType="begin">
                <w:ffData>
                  <w:name w:val=""/>
                  <w:enabled/>
                  <w:calcOnExit w:val="0"/>
                  <w:textInput>
                    <w:default w:val="Essen"/>
                  </w:textInput>
                </w:ffData>
              </w:fldChar>
            </w:r>
            <w:r>
              <w:rPr>
                <w:lang w:val="en-US"/>
              </w:rPr>
              <w:instrText xml:space="preserve"> FORMTEXT </w:instrText>
            </w:r>
            <w:r>
              <w:rPr>
                <w:lang w:val="en-US"/>
              </w:rPr>
            </w:r>
            <w:r>
              <w:rPr>
                <w:lang w:val="en-US"/>
              </w:rPr>
              <w:fldChar w:fldCharType="separate"/>
            </w:r>
            <w:r>
              <w:rPr>
                <w:noProof/>
                <w:lang w:val="en-US"/>
              </w:rPr>
              <w:t>Essen</w:t>
            </w:r>
            <w:r>
              <w:rPr>
                <w:lang w:val="en-US"/>
              </w:rPr>
              <w:fldChar w:fldCharType="end"/>
            </w:r>
          </w:p>
          <w:p w:rsidR="002A3B8F" w:rsidRDefault="002A3B8F">
            <w:pPr>
              <w:pStyle w:val="V15"/>
              <w:framePr w:wrap="auto" w:vAnchor="margin" w:hAnchor="text" w:xAlign="left" w:yAlign="inline"/>
              <w:suppressOverlap w:val="0"/>
              <w:rPr>
                <w:lang w:val="en-US"/>
              </w:rPr>
            </w:pPr>
            <w:r>
              <w:rPr>
                <w:lang w:val="en-US"/>
              </w:rPr>
              <w:t>Registered court</w:t>
            </w:r>
          </w:p>
          <w:p w:rsidR="002A3B8F" w:rsidRDefault="002A3B8F">
            <w:pPr>
              <w:pStyle w:val="V16"/>
              <w:framePr w:wrap="auto" w:vAnchor="margin" w:hAnchor="text" w:xAlign="left" w:yAlign="inline"/>
              <w:suppressOverlap w:val="0"/>
              <w:rPr>
                <w:lang w:val="en-US"/>
              </w:rPr>
            </w:pPr>
            <w:smartTag w:uri="urn:schemas-microsoft-com:office:smarttags" w:element="place">
              <w:smartTag w:uri="urn:schemas-microsoft-com:office:smarttags" w:element="City">
                <w:r>
                  <w:rPr>
                    <w:lang w:val="en-US"/>
                  </w:rPr>
                  <w:t>Essen</w:t>
                </w:r>
              </w:smartTag>
            </w:smartTag>
            <w:r>
              <w:rPr>
                <w:lang w:val="en-US"/>
              </w:rPr>
              <w:t xml:space="preserve"> local court</w:t>
            </w:r>
          </w:p>
          <w:p w:rsidR="002A3B8F" w:rsidRDefault="002A3B8F">
            <w:pPr>
              <w:pStyle w:val="V17"/>
              <w:framePr w:wrap="auto" w:vAnchor="margin" w:hAnchor="text" w:xAlign="left" w:yAlign="inline"/>
              <w:suppressOverlap w:val="0"/>
              <w:rPr>
                <w:lang w:val="en-US"/>
              </w:rPr>
            </w:pPr>
            <w:r>
              <w:rPr>
                <w:lang w:val="en-US"/>
              </w:rPr>
              <w:t xml:space="preserve">Commercial registry </w:t>
            </w:r>
            <w:r>
              <w:rPr>
                <w:lang w:val="en-US"/>
              </w:rPr>
              <w:fldChar w:fldCharType="begin">
                <w:ffData>
                  <w:name w:val=""/>
                  <w:enabled/>
                  <w:calcOnExit w:val="0"/>
                  <w:textInput>
                    <w:default w:val="B 19474"/>
                  </w:textInput>
                </w:ffData>
              </w:fldChar>
            </w:r>
            <w:r>
              <w:rPr>
                <w:lang w:val="en-US"/>
              </w:rPr>
              <w:instrText xml:space="preserve"> FORMTEXT </w:instrText>
            </w:r>
            <w:r>
              <w:rPr>
                <w:lang w:val="en-US"/>
              </w:rPr>
            </w:r>
            <w:r>
              <w:rPr>
                <w:lang w:val="en-US"/>
              </w:rPr>
              <w:fldChar w:fldCharType="separate"/>
            </w:r>
            <w:r>
              <w:rPr>
                <w:noProof/>
                <w:lang w:val="en-US"/>
              </w:rPr>
              <w:t>B 19474</w:t>
            </w:r>
            <w:r>
              <w:rPr>
                <w:lang w:val="en-US"/>
              </w:rPr>
              <w:fldChar w:fldCharType="end"/>
            </w:r>
          </w:p>
          <w:p w:rsidR="002A3B8F" w:rsidRDefault="002A3B8F">
            <w:pPr>
              <w:pStyle w:val="V17"/>
              <w:framePr w:wrap="auto" w:vAnchor="margin" w:hAnchor="text" w:xAlign="left" w:yAlign="inline"/>
              <w:suppressOverlap w:val="0"/>
            </w:pPr>
            <w:r>
              <w:rPr>
                <w:lang w:val="en-US"/>
              </w:rPr>
              <w:t xml:space="preserve">VAT ID no. </w:t>
            </w:r>
            <w:r>
              <w:t>DE 811160003</w:t>
            </w:r>
          </w:p>
          <w:p w:rsidR="002A3B8F" w:rsidRDefault="002A3B8F">
            <w:pPr>
              <w:pStyle w:val="V18"/>
              <w:framePr w:wrap="auto" w:vAnchor="margin" w:hAnchor="text" w:xAlign="left" w:yAlign="inline"/>
              <w:suppressOverlap w:val="0"/>
            </w:pPr>
          </w:p>
        </w:tc>
      </w:tr>
    </w:tbl>
    <w:p w:rsidR="002A3B8F" w:rsidRDefault="002A3B8F">
      <w:pPr>
        <w:ind w:left="0"/>
        <w:rPr>
          <w:u w:val="single"/>
        </w:rPr>
      </w:pPr>
    </w:p>
    <w:p w:rsidR="002A3B8F" w:rsidRDefault="007D4713">
      <w:pPr>
        <w:ind w:left="0"/>
        <w:rPr>
          <w:u w:val="single"/>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-102235</wp:posOffset>
                </wp:positionH>
                <wp:positionV relativeFrom="paragraph">
                  <wp:posOffset>45085</wp:posOffset>
                </wp:positionV>
                <wp:extent cx="4603750" cy="10668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066800"/>
                        </a:xfrm>
                        <a:prstGeom prst="rect">
                          <a:avLst/>
                        </a:prstGeom>
                        <a:noFill/>
                        <a:ln w="6350">
                          <a:noFill/>
                          <a:miter lim="800000"/>
                          <a:headEnd/>
                          <a:tailEnd/>
                        </a:ln>
                      </wps:spPr>
                      <wps:txbx>
                        <w:txbxContent>
                          <w:p w:rsidR="002A3B8F" w:rsidRPr="005F508D" w:rsidRDefault="002A3B8F" w:rsidP="007B2E7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6"/>
                                <w:szCs w:val="16"/>
                                <w:lang w:val="en-GB" w:eastAsia="en-GB"/>
                              </w:rPr>
                            </w:pPr>
                            <w:r w:rsidRPr="005F508D">
                              <w:rPr>
                                <w:rFonts w:ascii="Arial" w:hAnsi="Arial" w:cs="Arial"/>
                                <w:sz w:val="16"/>
                                <w:szCs w:val="16"/>
                                <w:lang w:val="en-GB" w:eastAsia="en-GB"/>
                              </w:rPr>
                              <w:t xml:space="preserve">NOT FOR DISTRIBUTION OR RELEASE, DIRECTLY OR INDIRECTLY, IN OR INTO THE UNITED </w:t>
                            </w:r>
                            <w:smartTag w:uri="urn:schemas-microsoft-com:office:smarttags" w:element="City">
                              <w:r w:rsidRPr="005F508D">
                                <w:rPr>
                                  <w:rFonts w:ascii="Arial" w:hAnsi="Arial" w:cs="Arial"/>
                                  <w:sz w:val="16"/>
                                  <w:szCs w:val="16"/>
                                  <w:lang w:val="en-GB" w:eastAsia="en-GB"/>
                                </w:rPr>
                                <w:t>STATES</w:t>
                              </w:r>
                            </w:smartTag>
                            <w:r w:rsidRPr="005F508D">
                              <w:rPr>
                                <w:rFonts w:ascii="Arial" w:hAnsi="Arial" w:cs="Arial"/>
                                <w:sz w:val="16"/>
                                <w:szCs w:val="16"/>
                                <w:lang w:val="en-GB" w:eastAsia="en-GB"/>
                              </w:rPr>
                              <w:t xml:space="preserve">, </w:t>
                            </w:r>
                            <w:smartTag w:uri="urn:schemas-microsoft-com:office:smarttags" w:element="country-region">
                              <w:r w:rsidRPr="005F508D">
                                <w:rPr>
                                  <w:rFonts w:ascii="Arial" w:hAnsi="Arial" w:cs="Arial"/>
                                  <w:sz w:val="16"/>
                                  <w:szCs w:val="16"/>
                                  <w:lang w:val="en-GB" w:eastAsia="en-GB"/>
                                </w:rPr>
                                <w:t>AUSTRALIA</w:t>
                              </w:r>
                            </w:smartTag>
                            <w:r w:rsidRPr="005F508D">
                              <w:rPr>
                                <w:rFonts w:ascii="Arial" w:hAnsi="Arial" w:cs="Arial"/>
                                <w:sz w:val="16"/>
                                <w:szCs w:val="16"/>
                                <w:lang w:val="en-GB" w:eastAsia="en-GB"/>
                              </w:rPr>
                              <w:t xml:space="preserve">, </w:t>
                            </w:r>
                            <w:smartTag w:uri="urn:schemas-microsoft-com:office:smarttags" w:element="country-region">
                              <w:r w:rsidRPr="005F508D">
                                <w:rPr>
                                  <w:rFonts w:ascii="Arial" w:hAnsi="Arial" w:cs="Arial"/>
                                  <w:sz w:val="16"/>
                                  <w:szCs w:val="16"/>
                                  <w:lang w:val="en-GB" w:eastAsia="en-GB"/>
                                </w:rPr>
                                <w:t>CANADA</w:t>
                              </w:r>
                            </w:smartTag>
                            <w:r w:rsidRPr="005F508D">
                              <w:rPr>
                                <w:rFonts w:ascii="Arial" w:hAnsi="Arial" w:cs="Arial"/>
                                <w:sz w:val="16"/>
                                <w:szCs w:val="16"/>
                                <w:lang w:val="en-GB" w:eastAsia="en-GB"/>
                              </w:rPr>
                              <w:t xml:space="preserve"> OR </w:t>
                            </w:r>
                            <w:smartTag w:uri="urn:schemas-microsoft-com:office:smarttags" w:element="place">
                              <w:smartTag w:uri="urn:schemas-microsoft-com:office:smarttags" w:element="country-region">
                                <w:r w:rsidRPr="005F508D">
                                  <w:rPr>
                                    <w:rFonts w:ascii="Arial" w:hAnsi="Arial" w:cs="Arial"/>
                                    <w:sz w:val="16"/>
                                    <w:szCs w:val="16"/>
                                    <w:lang w:val="en-GB" w:eastAsia="en-GB"/>
                                  </w:rPr>
                                  <w:t>JAPAN</w:t>
                                </w:r>
                              </w:smartTag>
                            </w:smartTag>
                            <w:r w:rsidRPr="005F508D">
                              <w:rPr>
                                <w:rFonts w:ascii="Arial" w:hAnsi="Arial" w:cs="Arial"/>
                                <w:sz w:val="16"/>
                                <w:szCs w:val="16"/>
                                <w:lang w:val="en-GB" w:eastAsia="en-GB"/>
                              </w:rPr>
                              <w:t xml:space="preserve"> OR ANY OTHER JURISDICTION IN WHICH THE DISTRIBUTION OR RELEASE WOULD BE UNLAWFUL. OTHER RESTRICTIONS ARE APPLICABLE.</w:t>
                            </w:r>
                            <w:r>
                              <w:rPr>
                                <w:rFonts w:ascii="Arial" w:hAnsi="Arial" w:cs="Arial"/>
                                <w:sz w:val="16"/>
                                <w:szCs w:val="16"/>
                                <w:lang w:val="en-GB" w:eastAsia="en-GB"/>
                              </w:rPr>
                              <w:t xml:space="preserve"> </w:t>
                            </w:r>
                            <w:r w:rsidRPr="005F508D">
                              <w:rPr>
                                <w:rFonts w:ascii="Arial" w:hAnsi="Arial" w:cs="Arial"/>
                                <w:b/>
                                <w:sz w:val="16"/>
                                <w:szCs w:val="16"/>
                                <w:lang w:val="en-GB" w:eastAsia="en-GB"/>
                              </w:rPr>
                              <w:t>PLEASE SEE THE IMPORTANT NOTICE AT THE END OF THE PRESS RELEASE.</w:t>
                            </w:r>
                          </w:p>
                          <w:p w:rsidR="002A3B8F" w:rsidRPr="007B2E75" w:rsidRDefault="002A3B8F">
                            <w:pPr>
                              <w:ind w:left="0"/>
                              <w:rPr>
                                <w:rFonts w:ascii="Arial" w:hAnsi="Arial" w:cs="Arial"/>
                                <w:b/>
                                <w:sz w:val="16"/>
                                <w:szCs w:val="16"/>
                                <w:lang w:val="en-GB"/>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8.05pt;margin-top:3.55pt;width:362.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" filled="f" stroked="f" strokeweight=".5pt">
                <v:textbox>
                  <w:txbxContent>
                    <w:p w:rsidR="002A3B8F" w:rsidRPr="005F508D" w:rsidRDefault="002A3B8F" w:rsidP="007B2E75">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6"/>
                          <w:szCs w:val="16"/>
                          <w:lang w:val="en-GB" w:eastAsia="en-GB"/>
                        </w:rPr>
                      </w:pPr>
                      <w:r w:rsidRPr="005F508D">
                        <w:rPr>
                          <w:rFonts w:ascii="Arial" w:hAnsi="Arial" w:cs="Arial"/>
                          <w:sz w:val="16"/>
                          <w:szCs w:val="16"/>
                          <w:lang w:val="en-GB" w:eastAsia="en-GB"/>
                        </w:rPr>
                        <w:t xml:space="preserve">NOT FOR DISTRIBUTION OR RELEASE, DIRECTLY OR INDIRECTLY, IN OR INTO THE UNITED </w:t>
                      </w:r>
                      <w:smartTag w:uri="urn:schemas-microsoft-com:office:smarttags" w:element="City">
                        <w:r w:rsidRPr="005F508D">
                          <w:rPr>
                            <w:rFonts w:ascii="Arial" w:hAnsi="Arial" w:cs="Arial"/>
                            <w:sz w:val="16"/>
                            <w:szCs w:val="16"/>
                            <w:lang w:val="en-GB" w:eastAsia="en-GB"/>
                          </w:rPr>
                          <w:t>STATES</w:t>
                        </w:r>
                      </w:smartTag>
                      <w:r w:rsidRPr="005F508D">
                        <w:rPr>
                          <w:rFonts w:ascii="Arial" w:hAnsi="Arial" w:cs="Arial"/>
                          <w:sz w:val="16"/>
                          <w:szCs w:val="16"/>
                          <w:lang w:val="en-GB" w:eastAsia="en-GB"/>
                        </w:rPr>
                        <w:t xml:space="preserve">, </w:t>
                      </w:r>
                      <w:smartTag w:uri="urn:schemas-microsoft-com:office:smarttags" w:element="country-region">
                        <w:r w:rsidRPr="005F508D">
                          <w:rPr>
                            <w:rFonts w:ascii="Arial" w:hAnsi="Arial" w:cs="Arial"/>
                            <w:sz w:val="16"/>
                            <w:szCs w:val="16"/>
                            <w:lang w:val="en-GB" w:eastAsia="en-GB"/>
                          </w:rPr>
                          <w:t>AUSTRALIA</w:t>
                        </w:r>
                      </w:smartTag>
                      <w:r w:rsidRPr="005F508D">
                        <w:rPr>
                          <w:rFonts w:ascii="Arial" w:hAnsi="Arial" w:cs="Arial"/>
                          <w:sz w:val="16"/>
                          <w:szCs w:val="16"/>
                          <w:lang w:val="en-GB" w:eastAsia="en-GB"/>
                        </w:rPr>
                        <w:t xml:space="preserve">, </w:t>
                      </w:r>
                      <w:smartTag w:uri="urn:schemas-microsoft-com:office:smarttags" w:element="country-region">
                        <w:r w:rsidRPr="005F508D">
                          <w:rPr>
                            <w:rFonts w:ascii="Arial" w:hAnsi="Arial" w:cs="Arial"/>
                            <w:sz w:val="16"/>
                            <w:szCs w:val="16"/>
                            <w:lang w:val="en-GB" w:eastAsia="en-GB"/>
                          </w:rPr>
                          <w:t>CANADA</w:t>
                        </w:r>
                      </w:smartTag>
                      <w:r w:rsidRPr="005F508D">
                        <w:rPr>
                          <w:rFonts w:ascii="Arial" w:hAnsi="Arial" w:cs="Arial"/>
                          <w:sz w:val="16"/>
                          <w:szCs w:val="16"/>
                          <w:lang w:val="en-GB" w:eastAsia="en-GB"/>
                        </w:rPr>
                        <w:t xml:space="preserve"> OR </w:t>
                      </w:r>
                      <w:smartTag w:uri="urn:schemas-microsoft-com:office:smarttags" w:element="place">
                        <w:smartTag w:uri="urn:schemas-microsoft-com:office:smarttags" w:element="country-region">
                          <w:r w:rsidRPr="005F508D">
                            <w:rPr>
                              <w:rFonts w:ascii="Arial" w:hAnsi="Arial" w:cs="Arial"/>
                              <w:sz w:val="16"/>
                              <w:szCs w:val="16"/>
                              <w:lang w:val="en-GB" w:eastAsia="en-GB"/>
                            </w:rPr>
                            <w:t>JAPAN</w:t>
                          </w:r>
                        </w:smartTag>
                      </w:smartTag>
                      <w:r w:rsidRPr="005F508D">
                        <w:rPr>
                          <w:rFonts w:ascii="Arial" w:hAnsi="Arial" w:cs="Arial"/>
                          <w:sz w:val="16"/>
                          <w:szCs w:val="16"/>
                          <w:lang w:val="en-GB" w:eastAsia="en-GB"/>
                        </w:rPr>
                        <w:t xml:space="preserve"> OR ANY OTHER JURISDICTION IN WHICH THE DISTRIBUTION OR RELEASE WOULD BE UNLAWFUL. OTHER RESTRICTIONS ARE APPLICABLE.</w:t>
                      </w:r>
                      <w:r>
                        <w:rPr>
                          <w:rFonts w:ascii="Arial" w:hAnsi="Arial" w:cs="Arial"/>
                          <w:sz w:val="16"/>
                          <w:szCs w:val="16"/>
                          <w:lang w:val="en-GB" w:eastAsia="en-GB"/>
                        </w:rPr>
                        <w:t xml:space="preserve"> </w:t>
                      </w:r>
                      <w:r w:rsidRPr="005F508D">
                        <w:rPr>
                          <w:rFonts w:ascii="Arial" w:hAnsi="Arial" w:cs="Arial"/>
                          <w:b/>
                          <w:sz w:val="16"/>
                          <w:szCs w:val="16"/>
                          <w:lang w:val="en-GB" w:eastAsia="en-GB"/>
                        </w:rPr>
                        <w:t>PLEASE SEE THE IMPORTANT NOTICE AT THE END OF THE PRESS RELEASE.</w:t>
                      </w:r>
                    </w:p>
                    <w:p w:rsidR="002A3B8F" w:rsidRPr="007B2E75" w:rsidRDefault="002A3B8F">
                      <w:pPr>
                        <w:ind w:left="0"/>
                        <w:rPr>
                          <w:rFonts w:ascii="Arial" w:hAnsi="Arial" w:cs="Arial"/>
                          <w:b/>
                          <w:sz w:val="16"/>
                          <w:szCs w:val="16"/>
                          <w:lang w:val="en-GB"/>
                        </w:rPr>
                      </w:pPr>
                    </w:p>
                  </w:txbxContent>
                </v:textbox>
              </v:shape>
            </w:pict>
          </mc:Fallback>
        </mc:AlternateContent>
      </w:r>
    </w:p>
    <w:p w:rsidR="002A3B8F" w:rsidRDefault="002A3B8F">
      <w:pPr>
        <w:ind w:left="0"/>
        <w:rPr>
          <w:u w:val="single"/>
        </w:rPr>
      </w:pPr>
    </w:p>
    <w:p w:rsidR="002A3B8F" w:rsidRDefault="002A3B8F">
      <w:pPr>
        <w:ind w:left="0"/>
        <w:rPr>
          <w:u w:val="single"/>
        </w:rPr>
      </w:pPr>
    </w:p>
    <w:p w:rsidR="002A3B8F" w:rsidRDefault="002A3B8F">
      <w:pPr>
        <w:ind w:left="0"/>
        <w:rPr>
          <w:u w:val="single"/>
        </w:rPr>
      </w:pPr>
    </w:p>
    <w:p w:rsidR="002A3B8F" w:rsidRDefault="002A3B8F">
      <w:pPr>
        <w:ind w:left="0"/>
        <w:rPr>
          <w:u w:val="single"/>
        </w:rPr>
      </w:pPr>
    </w:p>
    <w:p w:rsidR="002A3B8F" w:rsidRDefault="002A3B8F">
      <w:pPr>
        <w:ind w:left="0"/>
        <w:rPr>
          <w:u w:val="single"/>
        </w:rPr>
      </w:pPr>
    </w:p>
    <w:p w:rsidR="002A3B8F" w:rsidRDefault="002A3B8F">
      <w:pPr>
        <w:ind w:left="0"/>
        <w:rPr>
          <w:u w:val="single"/>
        </w:rPr>
      </w:pPr>
    </w:p>
    <w:p w:rsidR="002A3B8F" w:rsidRDefault="002A3B8F">
      <w:pPr>
        <w:ind w:left="0"/>
        <w:rPr>
          <w:u w:val="single"/>
        </w:rPr>
      </w:pPr>
    </w:p>
    <w:p w:rsidR="002A3B8F" w:rsidRPr="00E91429" w:rsidRDefault="002A3B8F" w:rsidP="008D5580">
      <w:pPr>
        <w:rPr>
          <w:u w:val="single"/>
          <w:lang w:val="en-US"/>
        </w:rPr>
      </w:pPr>
      <w:r w:rsidRPr="00E91429">
        <w:rPr>
          <w:u w:val="single"/>
          <w:lang w:val="en-US"/>
        </w:rPr>
        <w:t>Key Financial Data</w:t>
      </w:r>
    </w:p>
    <w:p w:rsidR="002A3B8F" w:rsidRPr="00E91429" w:rsidRDefault="002A3B8F" w:rsidP="008D5580">
      <w:pPr>
        <w:rPr>
          <w:u w:val="single"/>
          <w:lang w:val="en-US"/>
        </w:rPr>
      </w:pPr>
      <w:r w:rsidRPr="00E91429">
        <w:rPr>
          <w:u w:val="single"/>
          <w:lang w:val="en-US"/>
        </w:rPr>
        <w:t>January 1 to March 31, 2013 / Q1 2013</w:t>
      </w:r>
    </w:p>
    <w:p w:rsidR="002A3B8F" w:rsidRPr="00E91429" w:rsidRDefault="002A3B8F" w:rsidP="008D5580">
      <w:pPr>
        <w:spacing w:line="300" w:lineRule="exact"/>
        <w:rPr>
          <w:u w:val="single"/>
          <w:lang w:val="en-US"/>
        </w:rPr>
      </w:pPr>
    </w:p>
    <w:p w:rsidR="002A3B8F" w:rsidRPr="00E91429" w:rsidRDefault="002A3B8F" w:rsidP="008D5580">
      <w:pPr>
        <w:rPr>
          <w:b/>
          <w:bCs/>
          <w:sz w:val="22"/>
          <w:szCs w:val="22"/>
          <w:lang w:val="en-US"/>
        </w:rPr>
      </w:pPr>
      <w:r>
        <w:rPr>
          <w:b/>
          <w:sz w:val="22"/>
          <w:lang w:val="en-US"/>
        </w:rPr>
        <w:t>Moderate</w:t>
      </w:r>
      <w:r w:rsidRPr="00E91429">
        <w:rPr>
          <w:b/>
          <w:sz w:val="22"/>
          <w:lang w:val="en-US"/>
        </w:rPr>
        <w:t xml:space="preserve"> start to 2013—Outlook for full year confirmed</w:t>
      </w:r>
    </w:p>
    <w:p w:rsidR="002A3B8F" w:rsidRPr="00E91429" w:rsidRDefault="002A3B8F" w:rsidP="008D5580">
      <w:pPr>
        <w:rPr>
          <w:bCs/>
          <w:lang w:val="en-US"/>
        </w:rPr>
      </w:pPr>
    </w:p>
    <w:p w:rsidR="002A3B8F" w:rsidRPr="00E91429" w:rsidRDefault="002A3B8F" w:rsidP="00777798">
      <w:pPr>
        <w:numPr>
          <w:ilvl w:val="0"/>
          <w:numId w:val="24"/>
        </w:numPr>
        <w:tabs>
          <w:tab w:val="clear" w:pos="1425"/>
          <w:tab w:val="num" w:pos="340"/>
        </w:tabs>
        <w:spacing w:line="300" w:lineRule="exact"/>
        <w:ind w:left="340" w:hanging="340"/>
        <w:rPr>
          <w:rFonts w:cs="Lucida Sans Unicode"/>
          <w:b/>
          <w:bCs/>
          <w:sz w:val="20"/>
          <w:szCs w:val="20"/>
          <w:lang w:val="en-US"/>
        </w:rPr>
      </w:pPr>
      <w:r w:rsidRPr="00E91429">
        <w:rPr>
          <w:b/>
          <w:sz w:val="20"/>
          <w:lang w:val="en-US"/>
        </w:rPr>
        <w:t>Klaus Engel, Chairman of the Executive Board: "Evonik remains on course although the environment is still challenging."</w:t>
      </w:r>
    </w:p>
    <w:p w:rsidR="002A3B8F" w:rsidRPr="00E91429" w:rsidRDefault="002A3B8F" w:rsidP="00777798">
      <w:pPr>
        <w:numPr>
          <w:ilvl w:val="0"/>
          <w:numId w:val="24"/>
        </w:numPr>
        <w:tabs>
          <w:tab w:val="clear" w:pos="1425"/>
          <w:tab w:val="num" w:pos="340"/>
        </w:tabs>
        <w:spacing w:line="300" w:lineRule="exact"/>
        <w:ind w:left="340" w:hanging="340"/>
        <w:rPr>
          <w:rFonts w:cs="Lucida Sans Unicode"/>
          <w:b/>
          <w:bCs/>
          <w:sz w:val="20"/>
          <w:szCs w:val="20"/>
          <w:lang w:val="en-US"/>
        </w:rPr>
      </w:pPr>
      <w:r w:rsidRPr="00E91429">
        <w:rPr>
          <w:b/>
          <w:sz w:val="20"/>
          <w:lang w:val="en-US"/>
        </w:rPr>
        <w:t xml:space="preserve">Operating performance lower than in strong prior-year quarter: </w:t>
      </w:r>
    </w:p>
    <w:p w:rsidR="002A3B8F" w:rsidRPr="00E91429" w:rsidRDefault="002A3B8F" w:rsidP="00777798">
      <w:pPr>
        <w:numPr>
          <w:ilvl w:val="0"/>
          <w:numId w:val="24"/>
        </w:numPr>
        <w:tabs>
          <w:tab w:val="num" w:pos="851"/>
        </w:tabs>
        <w:spacing w:line="300" w:lineRule="exact"/>
        <w:ind w:left="851" w:hanging="425"/>
        <w:rPr>
          <w:rFonts w:cs="Lucida Sans Unicode"/>
          <w:b/>
          <w:bCs/>
          <w:sz w:val="20"/>
          <w:szCs w:val="20"/>
          <w:lang w:val="en-US"/>
        </w:rPr>
      </w:pPr>
      <w:r w:rsidRPr="00E91429">
        <w:rPr>
          <w:b/>
          <w:sz w:val="20"/>
          <w:lang w:val="en-US"/>
        </w:rPr>
        <w:t xml:space="preserve">Organically, Group sales </w:t>
      </w:r>
      <w:r>
        <w:rPr>
          <w:b/>
          <w:sz w:val="20"/>
          <w:lang w:val="en-US"/>
        </w:rPr>
        <w:t>declined</w:t>
      </w:r>
      <w:r w:rsidRPr="00E91429">
        <w:rPr>
          <w:b/>
          <w:sz w:val="20"/>
          <w:lang w:val="en-US"/>
        </w:rPr>
        <w:t xml:space="preserve"> slightly to €3.3 billion</w:t>
      </w:r>
    </w:p>
    <w:p w:rsidR="002A3B8F" w:rsidRPr="00E91429" w:rsidRDefault="002A3B8F" w:rsidP="00777798">
      <w:pPr>
        <w:numPr>
          <w:ilvl w:val="0"/>
          <w:numId w:val="24"/>
        </w:numPr>
        <w:tabs>
          <w:tab w:val="num" w:pos="851"/>
        </w:tabs>
        <w:spacing w:line="300" w:lineRule="exact"/>
        <w:ind w:left="851" w:hanging="425"/>
        <w:rPr>
          <w:rFonts w:cs="Lucida Sans Unicode"/>
          <w:b/>
          <w:bCs/>
          <w:sz w:val="20"/>
          <w:szCs w:val="20"/>
          <w:lang w:val="en-US"/>
        </w:rPr>
      </w:pPr>
      <w:r w:rsidRPr="00E91429">
        <w:rPr>
          <w:b/>
          <w:sz w:val="20"/>
          <w:lang w:val="en-US"/>
        </w:rPr>
        <w:t>Adjusted EBITDA and adjusted EBIT below the high levels</w:t>
      </w:r>
      <w:r>
        <w:rPr>
          <w:b/>
          <w:sz w:val="20"/>
          <w:lang w:val="en-US"/>
        </w:rPr>
        <w:t xml:space="preserve"> </w:t>
      </w:r>
      <w:r w:rsidR="00F552A0">
        <w:rPr>
          <w:b/>
          <w:sz w:val="20"/>
          <w:lang w:val="en-US"/>
        </w:rPr>
        <w:br/>
      </w:r>
      <w:r>
        <w:rPr>
          <w:b/>
          <w:sz w:val="20"/>
          <w:lang w:val="en-US"/>
        </w:rPr>
        <w:t>in Q1 2012</w:t>
      </w:r>
    </w:p>
    <w:p w:rsidR="002A3B8F" w:rsidRPr="00E91429" w:rsidRDefault="002A3B8F" w:rsidP="00777798">
      <w:pPr>
        <w:numPr>
          <w:ilvl w:val="0"/>
          <w:numId w:val="24"/>
        </w:numPr>
        <w:tabs>
          <w:tab w:val="num" w:pos="851"/>
        </w:tabs>
        <w:spacing w:line="300" w:lineRule="exact"/>
        <w:ind w:left="851" w:hanging="425"/>
        <w:rPr>
          <w:rFonts w:cs="Lucida Sans Unicode"/>
          <w:b/>
          <w:bCs/>
          <w:sz w:val="20"/>
          <w:szCs w:val="20"/>
          <w:lang w:val="en-US"/>
        </w:rPr>
      </w:pPr>
      <w:r w:rsidRPr="00E91429">
        <w:rPr>
          <w:b/>
          <w:sz w:val="20"/>
          <w:lang w:val="en-US"/>
        </w:rPr>
        <w:t xml:space="preserve">Adjusted EBITDA margin </w:t>
      </w:r>
      <w:r>
        <w:rPr>
          <w:b/>
          <w:sz w:val="20"/>
          <w:lang w:val="en-US"/>
        </w:rPr>
        <w:t xml:space="preserve">still </w:t>
      </w:r>
      <w:r w:rsidRPr="00E91429">
        <w:rPr>
          <w:b/>
          <w:sz w:val="20"/>
          <w:lang w:val="en-US"/>
        </w:rPr>
        <w:t>good at 18.1 percent</w:t>
      </w:r>
    </w:p>
    <w:p w:rsidR="002A3B8F" w:rsidRPr="00E91429" w:rsidRDefault="002A3B8F" w:rsidP="00777798">
      <w:pPr>
        <w:numPr>
          <w:ilvl w:val="0"/>
          <w:numId w:val="24"/>
        </w:numPr>
        <w:tabs>
          <w:tab w:val="clear" w:pos="1425"/>
          <w:tab w:val="num" w:pos="340"/>
        </w:tabs>
        <w:spacing w:line="300" w:lineRule="exact"/>
        <w:ind w:left="340" w:hanging="340"/>
        <w:rPr>
          <w:rFonts w:cs="Lucida Sans Unicode"/>
          <w:b/>
          <w:bCs/>
          <w:sz w:val="20"/>
          <w:szCs w:val="20"/>
          <w:lang w:val="en-US"/>
        </w:rPr>
      </w:pPr>
      <w:r w:rsidRPr="00E91429">
        <w:rPr>
          <w:b/>
          <w:sz w:val="20"/>
          <w:lang w:val="en-US"/>
        </w:rPr>
        <w:t>Net income</w:t>
      </w:r>
      <w:r w:rsidR="00DC4E50">
        <w:rPr>
          <w:b/>
          <w:sz w:val="20"/>
          <w:lang w:val="en-US"/>
        </w:rPr>
        <w:t xml:space="preserve"> rose 7 percent to €289 million</w:t>
      </w:r>
    </w:p>
    <w:p w:rsidR="002A3B8F" w:rsidRPr="00E91429" w:rsidRDefault="002A3B8F" w:rsidP="00777798">
      <w:pPr>
        <w:numPr>
          <w:ilvl w:val="0"/>
          <w:numId w:val="24"/>
        </w:numPr>
        <w:tabs>
          <w:tab w:val="clear" w:pos="1425"/>
          <w:tab w:val="num" w:pos="340"/>
        </w:tabs>
        <w:spacing w:line="300" w:lineRule="exact"/>
        <w:ind w:left="340" w:hanging="340"/>
        <w:rPr>
          <w:rFonts w:cs="Lucida Sans Unicode"/>
          <w:b/>
          <w:bCs/>
          <w:sz w:val="20"/>
          <w:szCs w:val="20"/>
          <w:lang w:val="en-US"/>
        </w:rPr>
      </w:pPr>
      <w:r>
        <w:rPr>
          <w:b/>
          <w:sz w:val="20"/>
          <w:lang w:val="en-US"/>
        </w:rPr>
        <w:t>Step</w:t>
      </w:r>
      <w:r w:rsidRPr="00E91429">
        <w:rPr>
          <w:b/>
          <w:sz w:val="20"/>
          <w:lang w:val="en-US"/>
        </w:rPr>
        <w:t xml:space="preserve"> plan to exit real estate business</w:t>
      </w:r>
    </w:p>
    <w:p w:rsidR="002A3B8F" w:rsidRPr="00E91429" w:rsidRDefault="002A3B8F" w:rsidP="00777798">
      <w:pPr>
        <w:numPr>
          <w:ilvl w:val="0"/>
          <w:numId w:val="24"/>
        </w:numPr>
        <w:tabs>
          <w:tab w:val="clear" w:pos="1425"/>
          <w:tab w:val="num" w:pos="340"/>
        </w:tabs>
        <w:spacing w:line="300" w:lineRule="exact"/>
        <w:ind w:left="340" w:hanging="340"/>
        <w:rPr>
          <w:rFonts w:cs="Lucida Sans Unicode"/>
          <w:b/>
          <w:bCs/>
          <w:sz w:val="20"/>
          <w:szCs w:val="20"/>
          <w:lang w:val="en-US"/>
        </w:rPr>
      </w:pPr>
      <w:r w:rsidRPr="00E91429">
        <w:rPr>
          <w:b/>
          <w:sz w:val="20"/>
          <w:lang w:val="en-US"/>
        </w:rPr>
        <w:t xml:space="preserve">Evonik shares listed on the stock market </w:t>
      </w:r>
      <w:r>
        <w:rPr>
          <w:b/>
          <w:sz w:val="20"/>
          <w:lang w:val="en-US"/>
        </w:rPr>
        <w:t>since</w:t>
      </w:r>
      <w:r w:rsidRPr="00E91429">
        <w:rPr>
          <w:b/>
          <w:sz w:val="20"/>
          <w:lang w:val="en-US"/>
        </w:rPr>
        <w:t xml:space="preserve"> April 25, 2013 </w:t>
      </w:r>
    </w:p>
    <w:p w:rsidR="002A3B8F" w:rsidRPr="00E91429" w:rsidRDefault="002A3B8F" w:rsidP="00777798">
      <w:pPr>
        <w:numPr>
          <w:ilvl w:val="0"/>
          <w:numId w:val="24"/>
        </w:numPr>
        <w:tabs>
          <w:tab w:val="clear" w:pos="1425"/>
          <w:tab w:val="num" w:pos="340"/>
        </w:tabs>
        <w:spacing w:line="300" w:lineRule="exact"/>
        <w:ind w:left="340" w:hanging="340"/>
        <w:rPr>
          <w:rFonts w:cs="Lucida Sans Unicode"/>
          <w:b/>
          <w:bCs/>
          <w:sz w:val="20"/>
          <w:szCs w:val="20"/>
          <w:lang w:val="en-US"/>
        </w:rPr>
      </w:pPr>
      <w:r w:rsidRPr="00E91429">
        <w:rPr>
          <w:b/>
          <w:sz w:val="20"/>
          <w:lang w:val="en-US"/>
        </w:rPr>
        <w:t>Outlook for 2013 reiterated: sales expected to be higher, while the operating results are expected to remain at the very good 2012 level</w:t>
      </w:r>
      <w:r w:rsidRPr="00E91429">
        <w:rPr>
          <w:lang w:val="en-US"/>
        </w:rPr>
        <w:br/>
      </w:r>
    </w:p>
    <w:p w:rsidR="002A3B8F" w:rsidRPr="00E91429" w:rsidRDefault="002A3B8F" w:rsidP="009079B3">
      <w:pPr>
        <w:spacing w:line="300" w:lineRule="atLeast"/>
        <w:rPr>
          <w:rFonts w:cs="Lucida Sans Unicode"/>
          <w:sz w:val="20"/>
          <w:szCs w:val="20"/>
          <w:lang w:val="en-US"/>
        </w:rPr>
      </w:pPr>
      <w:smartTag w:uri="urn:schemas-microsoft-com:office:smarttags" w:element="place">
        <w:smartTag w:uri="urn:schemas-microsoft-com:office:smarttags" w:element="City">
          <w:r w:rsidRPr="00E91429">
            <w:rPr>
              <w:sz w:val="20"/>
              <w:lang w:val="en-US"/>
            </w:rPr>
            <w:t>Essen</w:t>
          </w:r>
        </w:smartTag>
      </w:smartTag>
      <w:r w:rsidRPr="00E91429">
        <w:rPr>
          <w:sz w:val="20"/>
          <w:lang w:val="en-US"/>
        </w:rPr>
        <w:t xml:space="preserve">. "Since the economic environment remains challenging, Evonik got off to a </w:t>
      </w:r>
      <w:r>
        <w:rPr>
          <w:sz w:val="20"/>
          <w:lang w:val="en-US"/>
        </w:rPr>
        <w:t>somewhat moderate</w:t>
      </w:r>
      <w:r w:rsidRPr="00E91429">
        <w:rPr>
          <w:sz w:val="20"/>
          <w:lang w:val="en-US"/>
        </w:rPr>
        <w:t xml:space="preserve"> start to 2013 compared with the very strong first quarter of 2012. However, we expect business to pick up perceptibly in the second half of the year, partly because of a recovery in the global economy and partly because new production capacities will </w:t>
      </w:r>
      <w:r>
        <w:rPr>
          <w:sz w:val="20"/>
          <w:lang w:val="en-US"/>
        </w:rPr>
        <w:t>come on stream</w:t>
      </w:r>
      <w:r w:rsidRPr="00E91429">
        <w:rPr>
          <w:sz w:val="20"/>
          <w:lang w:val="en-US"/>
        </w:rPr>
        <w:t>," said Klaus Engel, Chairman of the Executive Board of Evonik Industries AG today, when the Group published its key financial data for the first quarter of 2013. "We remain confident about 2013 as a whole and have therefore confirmed our guidance."</w:t>
      </w:r>
    </w:p>
    <w:p w:rsidR="002A3B8F" w:rsidRPr="00E91429" w:rsidRDefault="002A3B8F" w:rsidP="008D5580">
      <w:pPr>
        <w:spacing w:line="300" w:lineRule="atLeast"/>
        <w:rPr>
          <w:sz w:val="20"/>
          <w:szCs w:val="20"/>
          <w:lang w:val="en-US"/>
        </w:rPr>
      </w:pPr>
    </w:p>
    <w:p w:rsidR="002A3B8F" w:rsidRPr="00E91429" w:rsidRDefault="002A3B8F" w:rsidP="008D5580">
      <w:pPr>
        <w:spacing w:line="300" w:lineRule="atLeast"/>
        <w:rPr>
          <w:rFonts w:cs="Lucida Sans Unicode"/>
          <w:b/>
          <w:sz w:val="20"/>
          <w:szCs w:val="20"/>
          <w:lang w:val="en-US"/>
        </w:rPr>
      </w:pPr>
      <w:r w:rsidRPr="00E91429">
        <w:rPr>
          <w:b/>
          <w:sz w:val="20"/>
          <w:lang w:val="en-US"/>
        </w:rPr>
        <w:t>Business performance in Q1 2013</w:t>
      </w:r>
    </w:p>
    <w:p w:rsidR="002A3B8F" w:rsidRPr="00E91429" w:rsidRDefault="002A3B8F" w:rsidP="008D5580">
      <w:pPr>
        <w:rPr>
          <w:b/>
          <w:bCs/>
          <w:sz w:val="22"/>
          <w:szCs w:val="22"/>
          <w:lang w:val="en-US"/>
        </w:rPr>
      </w:pPr>
    </w:p>
    <w:p w:rsidR="002A3B8F" w:rsidRPr="00E91429" w:rsidRDefault="002A3B8F" w:rsidP="009079B3">
      <w:pPr>
        <w:spacing w:line="300" w:lineRule="atLeast"/>
        <w:rPr>
          <w:rFonts w:cs="Lucida Sans Unicode"/>
          <w:sz w:val="20"/>
          <w:szCs w:val="20"/>
          <w:lang w:val="en-US"/>
        </w:rPr>
      </w:pPr>
      <w:r w:rsidRPr="00E91429">
        <w:rPr>
          <w:sz w:val="20"/>
          <w:lang w:val="en-US"/>
        </w:rPr>
        <w:t xml:space="preserve">In accordance with its focus on specialty chemicals, Evonik intends to withdraw completely from the activities bundled in its Real Estate segment. In March 2013 a </w:t>
      </w:r>
      <w:r>
        <w:rPr>
          <w:sz w:val="20"/>
          <w:lang w:val="en-US"/>
        </w:rPr>
        <w:t>step</w:t>
      </w:r>
      <w:r w:rsidRPr="00E91429">
        <w:rPr>
          <w:sz w:val="20"/>
          <w:lang w:val="en-US"/>
        </w:rPr>
        <w:t xml:space="preserve"> plan to divest the majority of this business was adopted and the Real Estate segment was reclassified to </w:t>
      </w:r>
      <w:r w:rsidRPr="00E91429">
        <w:rPr>
          <w:sz w:val="20"/>
          <w:lang w:val="en-US"/>
        </w:rPr>
        <w:lastRenderedPageBreak/>
        <w:t>discontinued operations. The prior-year figures have been restated accordingly.</w:t>
      </w:r>
    </w:p>
    <w:p w:rsidR="002A3B8F" w:rsidRPr="00E91429" w:rsidRDefault="002A3B8F" w:rsidP="008D5580">
      <w:pPr>
        <w:rPr>
          <w:lang w:val="en-US"/>
        </w:rPr>
      </w:pPr>
    </w:p>
    <w:p w:rsidR="002A3B8F" w:rsidRPr="00E91429" w:rsidRDefault="002A3B8F" w:rsidP="008D5580">
      <w:pPr>
        <w:keepNext/>
        <w:keepLines/>
        <w:spacing w:line="300" w:lineRule="exact"/>
        <w:ind w:left="57"/>
        <w:rPr>
          <w:rFonts w:cs="Lucida Sans Unicode"/>
          <w:bCs/>
          <w:sz w:val="20"/>
          <w:szCs w:val="20"/>
          <w:lang w:val="en-US"/>
        </w:rPr>
      </w:pPr>
      <w:r w:rsidRPr="00E91429">
        <w:rPr>
          <w:sz w:val="20"/>
          <w:lang w:val="en-US"/>
        </w:rPr>
        <w:t xml:space="preserve">The Evonik Group's </w:t>
      </w:r>
      <w:r w:rsidRPr="00777798">
        <w:rPr>
          <w:b/>
          <w:sz w:val="20"/>
          <w:lang w:val="en-US"/>
        </w:rPr>
        <w:t>organic sales</w:t>
      </w:r>
      <w:r w:rsidRPr="00E91429">
        <w:rPr>
          <w:sz w:val="20"/>
          <w:lang w:val="en-US"/>
        </w:rPr>
        <w:t xml:space="preserve"> trend slipped 2 percent due to lower prices (-2 percent), while volumes remained stable. Overall, Group sales dropped 4 percent to €3,263 million (Q1 2012: €3,407 million) due to the divestment of two small businesses in 2012. </w:t>
      </w:r>
    </w:p>
    <w:p w:rsidR="002A3B8F" w:rsidRPr="00E91429" w:rsidRDefault="002A3B8F" w:rsidP="008D5580">
      <w:pPr>
        <w:rPr>
          <w:bCs/>
          <w:lang w:val="en-US"/>
        </w:rPr>
      </w:pPr>
    </w:p>
    <w:p w:rsidR="002A3B8F" w:rsidRPr="00E91429" w:rsidRDefault="002A3B8F" w:rsidP="008D5580">
      <w:pPr>
        <w:rPr>
          <w:bCs/>
          <w:lang w:val="en-US"/>
        </w:rPr>
      </w:pPr>
    </w:p>
    <w:p w:rsidR="002A3B8F" w:rsidRPr="00E91429" w:rsidRDefault="002A3B8F" w:rsidP="008D5580">
      <w:pPr>
        <w:keepNext/>
        <w:keepLines/>
        <w:spacing w:line="300" w:lineRule="exact"/>
        <w:ind w:left="57"/>
        <w:rPr>
          <w:rFonts w:cs="Lucida Sans Unicode"/>
          <w:b/>
          <w:bCs/>
          <w:sz w:val="20"/>
          <w:szCs w:val="20"/>
          <w:lang w:val="en-US"/>
        </w:rPr>
      </w:pPr>
      <w:r w:rsidRPr="00E91429">
        <w:rPr>
          <w:sz w:val="20"/>
          <w:lang w:val="en-US"/>
        </w:rPr>
        <w:t xml:space="preserve">In the first quarter of 2013, operating earnings fell short of the very good levels reported for Q1 2012, mainly as a result of lower selling prices and, in some cases, higher raw material costs. The application of </w:t>
      </w:r>
      <w:r>
        <w:rPr>
          <w:sz w:val="20"/>
          <w:lang w:val="en-US"/>
        </w:rPr>
        <w:t xml:space="preserve">the revised version </w:t>
      </w:r>
      <w:r w:rsidRPr="00E91429">
        <w:rPr>
          <w:sz w:val="20"/>
          <w:lang w:val="en-US"/>
        </w:rPr>
        <w:t>IAS 19, which addresses the recognition of employee benefits (including pensions), caused a retrospective increase of €22 million in 2012 operating earnings, €6 million of which related to the first quarter. Overall,</w:t>
      </w:r>
      <w:r w:rsidRPr="00E91429">
        <w:rPr>
          <w:lang w:val="en-US"/>
        </w:rPr>
        <w:t xml:space="preserve"> </w:t>
      </w:r>
      <w:r w:rsidRPr="00777798">
        <w:rPr>
          <w:sz w:val="20"/>
          <w:lang w:val="en-US"/>
        </w:rPr>
        <w:t>adjusted</w:t>
      </w:r>
      <w:r w:rsidRPr="00E91429">
        <w:rPr>
          <w:b/>
          <w:sz w:val="20"/>
          <w:lang w:val="en-US"/>
        </w:rPr>
        <w:t xml:space="preserve"> EBITDA</w:t>
      </w:r>
      <w:r w:rsidRPr="00E91429">
        <w:rPr>
          <w:sz w:val="20"/>
          <w:lang w:val="en-US"/>
        </w:rPr>
        <w:t xml:space="preserve"> declined by 10 percent to €589 million in the first quarter of 2013 (Q1 2012: €656 million) while </w:t>
      </w:r>
      <w:r w:rsidRPr="00777798">
        <w:rPr>
          <w:sz w:val="20"/>
          <w:lang w:val="en-US"/>
        </w:rPr>
        <w:t>adjusted</w:t>
      </w:r>
      <w:r w:rsidRPr="00E91429">
        <w:rPr>
          <w:b/>
          <w:sz w:val="20"/>
          <w:lang w:val="en-US"/>
        </w:rPr>
        <w:t xml:space="preserve"> EBIT</w:t>
      </w:r>
      <w:r w:rsidRPr="00E91429">
        <w:rPr>
          <w:sz w:val="20"/>
          <w:lang w:val="en-US"/>
        </w:rPr>
        <w:t xml:space="preserve"> dropped 13 percent to €445 million (Q1 2012: €509 million). The </w:t>
      </w:r>
      <w:r w:rsidRPr="00777798">
        <w:rPr>
          <w:sz w:val="20"/>
          <w:lang w:val="en-US"/>
        </w:rPr>
        <w:t>adjusted</w:t>
      </w:r>
      <w:r w:rsidRPr="00E91429">
        <w:rPr>
          <w:b/>
          <w:sz w:val="20"/>
          <w:lang w:val="en-US"/>
        </w:rPr>
        <w:t xml:space="preserve"> EBITDA margin </w:t>
      </w:r>
      <w:r w:rsidRPr="00E91429">
        <w:rPr>
          <w:sz w:val="20"/>
          <w:lang w:val="en-US"/>
        </w:rPr>
        <w:t xml:space="preserve">was 18.1 </w:t>
      </w:r>
      <w:r>
        <w:rPr>
          <w:sz w:val="20"/>
          <w:lang w:val="en-US"/>
        </w:rPr>
        <w:t xml:space="preserve">percent </w:t>
      </w:r>
      <w:r w:rsidRPr="00E91429">
        <w:rPr>
          <w:sz w:val="20"/>
          <w:lang w:val="en-US"/>
        </w:rPr>
        <w:t xml:space="preserve">and thus remained at a good level (Q1 2012: 19.3 percent). </w:t>
      </w:r>
    </w:p>
    <w:p w:rsidR="002A3B8F" w:rsidRPr="00E91429" w:rsidRDefault="002A3B8F" w:rsidP="008D5580">
      <w:pPr>
        <w:spacing w:line="300" w:lineRule="atLeast"/>
        <w:ind w:left="142"/>
        <w:rPr>
          <w:rFonts w:cs="Lucida Sans Unicode"/>
          <w:bCs/>
          <w:lang w:val="en-US"/>
        </w:rPr>
      </w:pPr>
    </w:p>
    <w:p w:rsidR="002A3B8F" w:rsidRPr="00E91429" w:rsidRDefault="002A3B8F" w:rsidP="009079B3">
      <w:pPr>
        <w:keepNext/>
        <w:keepLines/>
        <w:spacing w:line="300" w:lineRule="exact"/>
        <w:ind w:left="57"/>
        <w:rPr>
          <w:rFonts w:cs="Lucida Sans Unicode"/>
          <w:b/>
          <w:bCs/>
          <w:sz w:val="20"/>
          <w:szCs w:val="20"/>
          <w:lang w:val="en-US"/>
        </w:rPr>
      </w:pPr>
      <w:r w:rsidRPr="00E91429">
        <w:rPr>
          <w:sz w:val="20"/>
          <w:lang w:val="en-US"/>
        </w:rPr>
        <w:t xml:space="preserve">The </w:t>
      </w:r>
      <w:r w:rsidRPr="00E91429">
        <w:rPr>
          <w:b/>
          <w:sz w:val="20"/>
          <w:lang w:val="en-US"/>
        </w:rPr>
        <w:t>adjustments</w:t>
      </w:r>
      <w:r w:rsidRPr="00E91429">
        <w:rPr>
          <w:sz w:val="20"/>
          <w:lang w:val="en-US"/>
        </w:rPr>
        <w:t xml:space="preserve"> of minus €30 million mainly comprised expenses in connection with recognition of the put and call options for the remaining shares in STEAG GmbH, and the adjustment of provisions for the German phased retirement program in accordance with IAS 19. The prior-year figure mainly comprised impairment losses on production plants in the Resource Efficiency segment and income in connection with the recognition of the STEAG options.</w:t>
      </w:r>
    </w:p>
    <w:p w:rsidR="002A3B8F" w:rsidRPr="00E91429" w:rsidRDefault="002A3B8F" w:rsidP="008D5580">
      <w:pPr>
        <w:rPr>
          <w:bCs/>
          <w:lang w:val="en-US"/>
        </w:rPr>
      </w:pPr>
    </w:p>
    <w:p w:rsidR="002A3B8F" w:rsidRPr="00E91429" w:rsidRDefault="002A3B8F" w:rsidP="008D5580">
      <w:pPr>
        <w:spacing w:line="300" w:lineRule="atLeast"/>
        <w:rPr>
          <w:rFonts w:cs="Lucida Sans Unicode"/>
          <w:bCs/>
          <w:sz w:val="20"/>
          <w:szCs w:val="20"/>
          <w:lang w:val="en-US"/>
        </w:rPr>
      </w:pPr>
      <w:r w:rsidRPr="00E91429">
        <w:rPr>
          <w:b/>
          <w:sz w:val="20"/>
          <w:lang w:val="en-US"/>
        </w:rPr>
        <w:t>Income after income taxes, continuing operations</w:t>
      </w:r>
      <w:r w:rsidRPr="00E91429">
        <w:rPr>
          <w:sz w:val="20"/>
          <w:lang w:val="en-US"/>
        </w:rPr>
        <w:t xml:space="preserve"> increased by 8 percent to €266 million (Q1 2012: €246 million), mainly as a result of lower interest and tax expense. The income after taxes from the discontinued operations</w:t>
      </w:r>
      <w:r>
        <w:rPr>
          <w:sz w:val="20"/>
          <w:lang w:val="en-US"/>
        </w:rPr>
        <w:t xml:space="preserve"> was €20 million, as in Q1 2012. In Q1 2013 this </w:t>
      </w:r>
      <w:r w:rsidRPr="00E91429">
        <w:rPr>
          <w:sz w:val="20"/>
          <w:lang w:val="en-US"/>
        </w:rPr>
        <w:t>mainly related to the Real Estate segment.</w:t>
      </w:r>
    </w:p>
    <w:p w:rsidR="002A3B8F" w:rsidRPr="00E91429" w:rsidRDefault="002A3B8F" w:rsidP="008D5580">
      <w:pPr>
        <w:rPr>
          <w:bCs/>
          <w:lang w:val="en-US"/>
        </w:rPr>
      </w:pPr>
    </w:p>
    <w:p w:rsidR="002A3B8F" w:rsidRPr="00E91429" w:rsidRDefault="002A3B8F" w:rsidP="008D5580">
      <w:pPr>
        <w:spacing w:line="300" w:lineRule="atLeast"/>
        <w:rPr>
          <w:rFonts w:cs="Lucida Sans Unicode"/>
          <w:bCs/>
          <w:sz w:val="20"/>
          <w:szCs w:val="20"/>
          <w:lang w:val="en-US"/>
        </w:rPr>
      </w:pPr>
      <w:r w:rsidRPr="00E91429">
        <w:rPr>
          <w:b/>
          <w:sz w:val="20"/>
          <w:lang w:val="en-US"/>
        </w:rPr>
        <w:t>Net income</w:t>
      </w:r>
      <w:r w:rsidRPr="00E91429">
        <w:rPr>
          <w:sz w:val="20"/>
          <w:lang w:val="en-US"/>
        </w:rPr>
        <w:t xml:space="preserve"> rose 7 percent to €289 million (Q1 2012: €269 million). </w:t>
      </w:r>
      <w:r w:rsidRPr="00E91429">
        <w:rPr>
          <w:b/>
          <w:sz w:val="20"/>
          <w:lang w:val="en-US"/>
        </w:rPr>
        <w:t>Earnings per share</w:t>
      </w:r>
      <w:r w:rsidRPr="00E91429">
        <w:rPr>
          <w:sz w:val="20"/>
          <w:lang w:val="en-US"/>
        </w:rPr>
        <w:t xml:space="preserve"> improved from €0</w:t>
      </w:r>
      <w:r w:rsidR="00DC4E50">
        <w:rPr>
          <w:sz w:val="20"/>
          <w:lang w:val="en-US"/>
        </w:rPr>
        <w:t>.</w:t>
      </w:r>
      <w:r w:rsidRPr="00E91429">
        <w:rPr>
          <w:sz w:val="20"/>
          <w:lang w:val="en-US"/>
        </w:rPr>
        <w:t xml:space="preserve">58 to €0.62. </w:t>
      </w:r>
    </w:p>
    <w:p w:rsidR="002A3B8F" w:rsidRPr="00E91429" w:rsidRDefault="002A3B8F" w:rsidP="008D5580">
      <w:pPr>
        <w:spacing w:line="300" w:lineRule="atLeast"/>
        <w:rPr>
          <w:rFonts w:cs="Lucida Sans Unicode"/>
          <w:bCs/>
          <w:sz w:val="20"/>
          <w:szCs w:val="20"/>
          <w:lang w:val="en-US"/>
        </w:rPr>
      </w:pPr>
    </w:p>
    <w:p w:rsidR="002A3B8F" w:rsidRPr="00E91429" w:rsidRDefault="002A3B8F" w:rsidP="008D5580">
      <w:pPr>
        <w:spacing w:line="300" w:lineRule="atLeast"/>
        <w:rPr>
          <w:rFonts w:cs="Lucida Sans Unicode"/>
          <w:bCs/>
          <w:sz w:val="20"/>
          <w:szCs w:val="20"/>
          <w:lang w:val="en-US"/>
        </w:rPr>
      </w:pPr>
      <w:r w:rsidRPr="00E91429">
        <w:rPr>
          <w:sz w:val="20"/>
          <w:lang w:val="en-US"/>
        </w:rPr>
        <w:t xml:space="preserve">The </w:t>
      </w:r>
      <w:r w:rsidRPr="00E91429">
        <w:rPr>
          <w:b/>
          <w:sz w:val="20"/>
          <w:lang w:val="en-US"/>
        </w:rPr>
        <w:t>cash flow from operating activities, continuing operations</w:t>
      </w:r>
      <w:r w:rsidRPr="00E91429">
        <w:rPr>
          <w:sz w:val="20"/>
          <w:lang w:val="en-US"/>
        </w:rPr>
        <w:t xml:space="preserve"> declined by €172 million to €192 million in the first quarter of 2013. The main reasons for this were lower earnings before depreciation</w:t>
      </w:r>
      <w:r>
        <w:rPr>
          <w:sz w:val="20"/>
          <w:lang w:val="en-US"/>
        </w:rPr>
        <w:t xml:space="preserve"> and</w:t>
      </w:r>
      <w:r w:rsidRPr="00E91429">
        <w:rPr>
          <w:sz w:val="20"/>
          <w:lang w:val="en-US"/>
        </w:rPr>
        <w:t xml:space="preserve"> amortization, </w:t>
      </w:r>
      <w:r>
        <w:rPr>
          <w:sz w:val="20"/>
          <w:lang w:val="en-US"/>
        </w:rPr>
        <w:t xml:space="preserve">lower income before </w:t>
      </w:r>
      <w:r w:rsidRPr="00E91429">
        <w:rPr>
          <w:sz w:val="20"/>
          <w:lang w:val="en-US"/>
        </w:rPr>
        <w:t xml:space="preserve">the financial result and taxes, and the </w:t>
      </w:r>
      <w:r w:rsidRPr="00E91429">
        <w:rPr>
          <w:sz w:val="20"/>
          <w:lang w:val="en-US"/>
        </w:rPr>
        <w:lastRenderedPageBreak/>
        <w:t xml:space="preserve">increase in net working capital, partly in connection with upcoming overhauls of production plants. Including the cash flow from discontinued operations, the </w:t>
      </w:r>
      <w:r w:rsidRPr="00E91429">
        <w:rPr>
          <w:b/>
          <w:sz w:val="20"/>
          <w:lang w:val="en-US"/>
        </w:rPr>
        <w:t>cash flow from operating activities</w:t>
      </w:r>
      <w:r w:rsidRPr="00E91429">
        <w:rPr>
          <w:sz w:val="20"/>
          <w:lang w:val="en-US"/>
        </w:rPr>
        <w:t xml:space="preserve"> declined by €170 million to €213 million.</w:t>
      </w:r>
    </w:p>
    <w:p w:rsidR="002A3B8F" w:rsidRPr="00E91429" w:rsidRDefault="002A3B8F" w:rsidP="008D5580">
      <w:pPr>
        <w:rPr>
          <w:bCs/>
          <w:lang w:val="en-US"/>
        </w:rPr>
      </w:pPr>
    </w:p>
    <w:p w:rsidR="002A3B8F" w:rsidRPr="00E91429" w:rsidRDefault="002A3B8F" w:rsidP="008D5580">
      <w:pPr>
        <w:spacing w:line="300" w:lineRule="exact"/>
        <w:rPr>
          <w:rFonts w:cs="Lucida Sans Unicode"/>
          <w:bCs/>
          <w:sz w:val="20"/>
          <w:szCs w:val="20"/>
          <w:lang w:val="en-US"/>
        </w:rPr>
      </w:pPr>
      <w:r w:rsidRPr="00E91429">
        <w:rPr>
          <w:sz w:val="20"/>
          <w:lang w:val="en-US"/>
        </w:rPr>
        <w:t xml:space="preserve">In line with </w:t>
      </w:r>
      <w:r w:rsidR="00777798">
        <w:rPr>
          <w:sz w:val="20"/>
          <w:lang w:val="en-US"/>
        </w:rPr>
        <w:t>Evonik’s</w:t>
      </w:r>
      <w:r w:rsidRPr="00E91429">
        <w:rPr>
          <w:sz w:val="20"/>
          <w:lang w:val="en-US"/>
        </w:rPr>
        <w:t xml:space="preserve"> ambitious investment program, </w:t>
      </w:r>
      <w:r w:rsidRPr="00E91429">
        <w:rPr>
          <w:b/>
          <w:sz w:val="20"/>
          <w:lang w:val="en-US"/>
        </w:rPr>
        <w:t>capital expenditures</w:t>
      </w:r>
      <w:r w:rsidRPr="00E91429">
        <w:rPr>
          <w:sz w:val="20"/>
          <w:lang w:val="en-US"/>
        </w:rPr>
        <w:t xml:space="preserve"> increased by 14 percent to €183 million (Q1 2012: €161 million). 33 percent of capital expenditures were allocated to the Consumer, Health &amp; Nutrition segment, 27 percent to the Specialty Materials segment and 20 percent to the Resource Efficiency segment. </w:t>
      </w:r>
    </w:p>
    <w:p w:rsidR="002A3B8F" w:rsidRPr="00E91429" w:rsidRDefault="002A3B8F" w:rsidP="008D5580">
      <w:pPr>
        <w:spacing w:line="300" w:lineRule="exact"/>
        <w:rPr>
          <w:rFonts w:cs="Lucida Sans Unicode"/>
          <w:bCs/>
          <w:sz w:val="20"/>
          <w:szCs w:val="20"/>
          <w:lang w:val="en-US"/>
        </w:rPr>
      </w:pPr>
    </w:p>
    <w:p w:rsidR="002A3B8F" w:rsidRPr="00E91429" w:rsidRDefault="002A3B8F" w:rsidP="008D5580">
      <w:pPr>
        <w:spacing w:line="300" w:lineRule="exact"/>
        <w:rPr>
          <w:rFonts w:cs="Lucida Sans Unicode"/>
          <w:bCs/>
          <w:sz w:val="20"/>
          <w:szCs w:val="20"/>
          <w:lang w:val="en-US"/>
        </w:rPr>
      </w:pPr>
      <w:r w:rsidRPr="00E91429">
        <w:rPr>
          <w:sz w:val="20"/>
          <w:lang w:val="en-US"/>
        </w:rPr>
        <w:t xml:space="preserve">At the end of March 2013 </w:t>
      </w:r>
      <w:r w:rsidRPr="00E91429">
        <w:rPr>
          <w:b/>
          <w:sz w:val="20"/>
          <w:lang w:val="en-US"/>
        </w:rPr>
        <w:t>net financial debt</w:t>
      </w:r>
      <w:r w:rsidRPr="00E91429">
        <w:rPr>
          <w:sz w:val="20"/>
          <w:lang w:val="en-US"/>
        </w:rPr>
        <w:t xml:space="preserve"> was €1,137 million, slightly lower than at year-end 2012 (€1,163 million). This was attributable to two factors: Firstly, the reclassification of the Real Estate segment to discontinued operations and secondly the dividend of €429 million for fiscal 2012, which was paid in March 2013. In 2012, the dividend for fiscal 2011 was only paid in the second quarter.</w:t>
      </w:r>
    </w:p>
    <w:p w:rsidR="002A3B8F" w:rsidRPr="00E91429" w:rsidRDefault="002A3B8F" w:rsidP="008D5580">
      <w:pPr>
        <w:spacing w:line="300" w:lineRule="exact"/>
        <w:rPr>
          <w:rFonts w:cs="Lucida Sans Unicode"/>
          <w:bCs/>
          <w:sz w:val="20"/>
          <w:szCs w:val="20"/>
          <w:lang w:val="en-US"/>
        </w:rPr>
      </w:pPr>
    </w:p>
    <w:p w:rsidR="002A3B8F" w:rsidRPr="00E91429" w:rsidRDefault="002A3B8F" w:rsidP="008D5580">
      <w:pPr>
        <w:spacing w:line="300" w:lineRule="exact"/>
        <w:rPr>
          <w:rFonts w:cs="Lucida Sans Unicode"/>
          <w:b/>
          <w:bCs/>
          <w:sz w:val="20"/>
          <w:szCs w:val="20"/>
          <w:lang w:val="en-US"/>
        </w:rPr>
      </w:pPr>
      <w:r w:rsidRPr="00E91429">
        <w:rPr>
          <w:b/>
          <w:sz w:val="20"/>
          <w:lang w:val="en-US"/>
        </w:rPr>
        <w:t>Shares listed on the stock market</w:t>
      </w:r>
    </w:p>
    <w:p w:rsidR="002A3B8F" w:rsidRPr="00E91429" w:rsidRDefault="002A3B8F" w:rsidP="008D5580">
      <w:pPr>
        <w:spacing w:line="300" w:lineRule="exact"/>
        <w:rPr>
          <w:rFonts w:cs="Lucida Sans Unicode"/>
          <w:bCs/>
          <w:sz w:val="20"/>
          <w:szCs w:val="20"/>
          <w:lang w:val="en-US"/>
        </w:rPr>
      </w:pPr>
    </w:p>
    <w:p w:rsidR="002A3B8F" w:rsidRPr="00E91429" w:rsidRDefault="002A3B8F" w:rsidP="009079B3">
      <w:pPr>
        <w:spacing w:line="300" w:lineRule="exact"/>
        <w:rPr>
          <w:rFonts w:cs="Lucida Sans Unicode"/>
          <w:bCs/>
          <w:sz w:val="20"/>
          <w:szCs w:val="20"/>
          <w:lang w:val="en-US"/>
        </w:rPr>
      </w:pPr>
      <w:r w:rsidRPr="00E91429">
        <w:rPr>
          <w:sz w:val="20"/>
          <w:lang w:val="en-US"/>
        </w:rPr>
        <w:t>At the start of 2013, the previous sole owners of Evonik Industries AG—RAG-</w:t>
      </w:r>
      <w:proofErr w:type="spellStart"/>
      <w:r w:rsidRPr="00E91429">
        <w:rPr>
          <w:sz w:val="20"/>
          <w:lang w:val="en-US"/>
        </w:rPr>
        <w:t>Stiftung</w:t>
      </w:r>
      <w:proofErr w:type="spellEnd"/>
      <w:r w:rsidRPr="00E91429">
        <w:rPr>
          <w:sz w:val="20"/>
          <w:lang w:val="en-US"/>
        </w:rPr>
        <w:t xml:space="preserve"> and funds advised by CVC Capital Partners—sold some of their shares to institutional investors in </w:t>
      </w:r>
      <w:smartTag w:uri="urn:schemas-microsoft-com:office:smarttags" w:element="place">
        <w:smartTag w:uri="urn:schemas-microsoft-com:office:smarttags" w:element="country-region">
          <w:r w:rsidRPr="00E91429">
            <w:rPr>
              <w:sz w:val="20"/>
              <w:lang w:val="en-US"/>
            </w:rPr>
            <w:t>Germany</w:t>
          </w:r>
        </w:smartTag>
      </w:smartTag>
      <w:r w:rsidRPr="00E91429">
        <w:rPr>
          <w:sz w:val="20"/>
          <w:lang w:val="en-US"/>
        </w:rPr>
        <w:t xml:space="preserve"> and abroad through private placements in preparation for Evonik's stock exchange listing. Shares in Evonik were admitted to trading on the regulated market of the stock exchanges in Frankfurt am Main</w:t>
      </w:r>
      <w:r>
        <w:rPr>
          <w:sz w:val="20"/>
          <w:lang w:val="en-US"/>
        </w:rPr>
        <w:t xml:space="preserve"> (</w:t>
      </w:r>
      <w:smartTag w:uri="urn:schemas-microsoft-com:office:smarttags" w:element="country-region">
        <w:r>
          <w:rPr>
            <w:sz w:val="20"/>
            <w:lang w:val="en-US"/>
          </w:rPr>
          <w:t>Germany</w:t>
        </w:r>
      </w:smartTag>
      <w:r>
        <w:rPr>
          <w:sz w:val="20"/>
          <w:lang w:val="en-US"/>
        </w:rPr>
        <w:t>)</w:t>
      </w:r>
      <w:r w:rsidRPr="00E91429">
        <w:rPr>
          <w:sz w:val="20"/>
          <w:lang w:val="en-US"/>
        </w:rPr>
        <w:t xml:space="preserve"> and </w:t>
      </w:r>
      <w:smartTag w:uri="urn:schemas-microsoft-com:office:smarttags" w:element="place">
        <w:smartTag w:uri="urn:schemas-microsoft-com:office:smarttags" w:element="country-region">
          <w:r w:rsidRPr="00E91429">
            <w:rPr>
              <w:sz w:val="20"/>
              <w:lang w:val="en-US"/>
            </w:rPr>
            <w:t>Luxembourg</w:t>
          </w:r>
        </w:smartTag>
      </w:smartTag>
      <w:r w:rsidRPr="00E91429">
        <w:rPr>
          <w:sz w:val="20"/>
          <w:lang w:val="en-US"/>
        </w:rPr>
        <w:t xml:space="preserve"> on April 24, 2013. Trading started on April 25, 2013. Around 14.5 percent of the capital stock was placed before the </w:t>
      </w:r>
      <w:r>
        <w:rPr>
          <w:sz w:val="20"/>
          <w:lang w:val="en-US"/>
        </w:rPr>
        <w:t>commencement</w:t>
      </w:r>
      <w:r w:rsidRPr="00E91429">
        <w:rPr>
          <w:sz w:val="20"/>
          <w:lang w:val="en-US"/>
        </w:rPr>
        <w:t xml:space="preserve"> of trading. </w:t>
      </w:r>
    </w:p>
    <w:p w:rsidR="002A3B8F" w:rsidRPr="00E91429" w:rsidRDefault="002A3B8F" w:rsidP="008D5580">
      <w:pPr>
        <w:spacing w:line="300" w:lineRule="exact"/>
        <w:rPr>
          <w:rFonts w:cs="Lucida Sans Unicode"/>
          <w:bCs/>
          <w:sz w:val="20"/>
          <w:szCs w:val="20"/>
          <w:lang w:val="en-US"/>
        </w:rPr>
      </w:pPr>
      <w:r w:rsidRPr="00E91429">
        <w:rPr>
          <w:sz w:val="20"/>
          <w:lang w:val="en-US"/>
        </w:rPr>
        <w:t xml:space="preserve"> </w:t>
      </w:r>
    </w:p>
    <w:p w:rsidR="002A3B8F" w:rsidRPr="00E91429" w:rsidRDefault="002A3B8F" w:rsidP="008D5580">
      <w:pPr>
        <w:rPr>
          <w:b/>
          <w:lang w:val="en-US"/>
        </w:rPr>
      </w:pPr>
    </w:p>
    <w:p w:rsidR="002A3B8F" w:rsidRPr="00E91429" w:rsidRDefault="002A3B8F" w:rsidP="008D5580">
      <w:pPr>
        <w:spacing w:line="300" w:lineRule="exact"/>
        <w:rPr>
          <w:b/>
          <w:sz w:val="20"/>
          <w:szCs w:val="20"/>
          <w:lang w:val="en-US"/>
        </w:rPr>
      </w:pPr>
      <w:r>
        <w:rPr>
          <w:b/>
          <w:sz w:val="20"/>
          <w:lang w:val="en-US"/>
        </w:rPr>
        <w:br w:type="page"/>
      </w:r>
      <w:r w:rsidRPr="00E91429">
        <w:rPr>
          <w:b/>
          <w:sz w:val="20"/>
          <w:lang w:val="en-US"/>
        </w:rPr>
        <w:lastRenderedPageBreak/>
        <w:t>Performance of the segments in the first quarter of 2013</w:t>
      </w:r>
    </w:p>
    <w:p w:rsidR="002A3B8F" w:rsidRPr="00E91429" w:rsidRDefault="002A3B8F" w:rsidP="008D5580">
      <w:pPr>
        <w:spacing w:line="300" w:lineRule="exact"/>
        <w:rPr>
          <w:rFonts w:cs="Lucida Sans Unicode"/>
          <w:b/>
          <w:sz w:val="20"/>
          <w:szCs w:val="20"/>
          <w:lang w:val="en-US"/>
        </w:rPr>
      </w:pPr>
    </w:p>
    <w:p w:rsidR="002A3B8F" w:rsidRPr="00E91429" w:rsidRDefault="002A3B8F" w:rsidP="008D5580">
      <w:pPr>
        <w:spacing w:line="300" w:lineRule="exact"/>
        <w:rPr>
          <w:rFonts w:cs="Lucida Sans Unicode"/>
          <w:b/>
          <w:sz w:val="20"/>
          <w:szCs w:val="20"/>
          <w:lang w:val="en-US"/>
        </w:rPr>
      </w:pPr>
    </w:p>
    <w:p w:rsidR="002A3B8F" w:rsidRPr="00E91429" w:rsidRDefault="002A3B8F" w:rsidP="008D5580">
      <w:pPr>
        <w:keepNext/>
        <w:keepLines/>
        <w:spacing w:line="300" w:lineRule="exact"/>
        <w:rPr>
          <w:rFonts w:cs="Lucida Sans Unicode"/>
          <w:b/>
          <w:sz w:val="20"/>
          <w:szCs w:val="20"/>
          <w:lang w:val="en-US"/>
        </w:rPr>
      </w:pPr>
      <w:r w:rsidRPr="00E91429">
        <w:rPr>
          <w:b/>
          <w:sz w:val="20"/>
          <w:lang w:val="en-US"/>
        </w:rPr>
        <w:t>Consumer, Health &amp; Nutrition</w:t>
      </w:r>
    </w:p>
    <w:p w:rsidR="002A3B8F" w:rsidRPr="00E91429" w:rsidRDefault="002A3B8F" w:rsidP="008D5580">
      <w:pPr>
        <w:spacing w:line="300" w:lineRule="exact"/>
        <w:ind w:left="142"/>
        <w:rPr>
          <w:rFonts w:cs="Lucida Sans Unicode"/>
          <w:bCs/>
          <w:sz w:val="20"/>
          <w:szCs w:val="20"/>
          <w:lang w:val="en-US"/>
        </w:rPr>
      </w:pPr>
    </w:p>
    <w:p w:rsidR="002A3B8F" w:rsidRPr="00E91429" w:rsidRDefault="002A3B8F" w:rsidP="008D5580">
      <w:pPr>
        <w:keepNext/>
        <w:keepLines/>
        <w:spacing w:line="300" w:lineRule="exact"/>
        <w:ind w:left="57"/>
        <w:rPr>
          <w:rFonts w:cs="Lucida Sans Unicode"/>
          <w:bCs/>
          <w:sz w:val="20"/>
          <w:szCs w:val="20"/>
          <w:lang w:val="en-US"/>
        </w:rPr>
      </w:pPr>
      <w:r w:rsidRPr="00E91429">
        <w:rPr>
          <w:sz w:val="20"/>
          <w:lang w:val="en-US"/>
        </w:rPr>
        <w:t>The Consumer, Health &amp; Nutrition segment produces specialty chemicals, principally for applications in the consumer goods, animal nutrition and healthcare sectors. It comprises the Consumer Specialties and Health &amp; Nutrition Business Units.</w:t>
      </w:r>
    </w:p>
    <w:p w:rsidR="002A3B8F" w:rsidRPr="00E91429" w:rsidRDefault="002A3B8F" w:rsidP="008D5580">
      <w:pPr>
        <w:rPr>
          <w:lang w:val="en-US"/>
        </w:rPr>
      </w:pPr>
    </w:p>
    <w:p w:rsidR="002A3B8F" w:rsidRPr="00E91429" w:rsidRDefault="002A3B8F" w:rsidP="009079B3">
      <w:pPr>
        <w:spacing w:line="300" w:lineRule="exact"/>
        <w:rPr>
          <w:rFonts w:cs="Lucida Sans Unicode"/>
          <w:bCs/>
          <w:sz w:val="20"/>
          <w:szCs w:val="20"/>
          <w:lang w:val="en-US"/>
        </w:rPr>
      </w:pPr>
      <w:r w:rsidRPr="00777798">
        <w:rPr>
          <w:b/>
          <w:sz w:val="20"/>
          <w:lang w:val="en-US"/>
        </w:rPr>
        <w:t>Sales</w:t>
      </w:r>
      <w:r w:rsidRPr="00E91429">
        <w:rPr>
          <w:sz w:val="20"/>
          <w:lang w:val="en-US"/>
        </w:rPr>
        <w:t xml:space="preserve"> </w:t>
      </w:r>
      <w:r>
        <w:rPr>
          <w:sz w:val="20"/>
          <w:lang w:val="en-US"/>
        </w:rPr>
        <w:t>decreased</w:t>
      </w:r>
      <w:r w:rsidRPr="00E91429">
        <w:rPr>
          <w:sz w:val="20"/>
          <w:lang w:val="en-US"/>
        </w:rPr>
        <w:t xml:space="preserve"> by 2 percent to €1,035 million (Q1 2012: €1,055 million). This was mainly attributable to an organic sales</w:t>
      </w:r>
      <w:r>
        <w:rPr>
          <w:sz w:val="20"/>
          <w:lang w:val="en-US"/>
        </w:rPr>
        <w:t xml:space="preserve"> reduction</w:t>
      </w:r>
      <w:r w:rsidRPr="00E91429">
        <w:rPr>
          <w:sz w:val="20"/>
          <w:lang w:val="en-US"/>
        </w:rPr>
        <w:t xml:space="preserve">, caused by lower selling prices, while volumes increased slightly. The operating results fell short of the previous year's very high levels, mainly due to declining prices. Adjusted </w:t>
      </w:r>
      <w:r w:rsidRPr="00777798">
        <w:rPr>
          <w:b/>
          <w:sz w:val="20"/>
          <w:lang w:val="en-US"/>
        </w:rPr>
        <w:t>EBITDA</w:t>
      </w:r>
      <w:r w:rsidRPr="00E91429">
        <w:rPr>
          <w:sz w:val="20"/>
          <w:lang w:val="en-US"/>
        </w:rPr>
        <w:t xml:space="preserve"> slipped 5 percent to €274 million (Q1 2012: €287 million) and adjusted </w:t>
      </w:r>
      <w:r w:rsidRPr="00777798">
        <w:rPr>
          <w:b/>
          <w:sz w:val="20"/>
          <w:lang w:val="en-US"/>
        </w:rPr>
        <w:t>EBIT</w:t>
      </w:r>
      <w:r w:rsidRPr="00E91429">
        <w:rPr>
          <w:sz w:val="20"/>
          <w:lang w:val="en-US"/>
        </w:rPr>
        <w:t xml:space="preserve"> fell 6 percent to €240 million (Q1 2012: €254 million). The adjusted </w:t>
      </w:r>
      <w:r w:rsidRPr="00777798">
        <w:rPr>
          <w:b/>
          <w:sz w:val="20"/>
          <w:lang w:val="en-US"/>
        </w:rPr>
        <w:t>EBITDA</w:t>
      </w:r>
      <w:r w:rsidRPr="00E91429">
        <w:rPr>
          <w:sz w:val="20"/>
          <w:lang w:val="en-US"/>
        </w:rPr>
        <w:t xml:space="preserve"> </w:t>
      </w:r>
      <w:r w:rsidRPr="00777798">
        <w:rPr>
          <w:b/>
          <w:sz w:val="20"/>
          <w:lang w:val="en-US"/>
        </w:rPr>
        <w:t>margin</w:t>
      </w:r>
      <w:r w:rsidRPr="00E91429">
        <w:rPr>
          <w:b/>
          <w:sz w:val="20"/>
          <w:lang w:val="en-US"/>
        </w:rPr>
        <w:t xml:space="preserve"> </w:t>
      </w:r>
      <w:r w:rsidRPr="00E91429">
        <w:rPr>
          <w:sz w:val="20"/>
          <w:lang w:val="en-US"/>
        </w:rPr>
        <w:t>remained very good at 26.5 percent (Q1 2012: 27.2 percent).</w:t>
      </w:r>
    </w:p>
    <w:p w:rsidR="002A3B8F" w:rsidRPr="00E91429" w:rsidRDefault="002A3B8F" w:rsidP="008D5580">
      <w:pPr>
        <w:spacing w:line="300" w:lineRule="exact"/>
        <w:rPr>
          <w:rFonts w:cs="Lucida Sans Unicode"/>
          <w:bCs/>
          <w:sz w:val="20"/>
          <w:szCs w:val="20"/>
          <w:lang w:val="en-US"/>
        </w:rPr>
      </w:pPr>
    </w:p>
    <w:p w:rsidR="002A3B8F" w:rsidRPr="00E91429" w:rsidRDefault="002A3B8F" w:rsidP="008D5580">
      <w:pPr>
        <w:spacing w:line="300" w:lineRule="exact"/>
        <w:rPr>
          <w:rFonts w:cs="Lucida Sans Unicode"/>
          <w:b/>
          <w:sz w:val="20"/>
          <w:szCs w:val="20"/>
          <w:lang w:val="en-US"/>
        </w:rPr>
      </w:pPr>
      <w:r w:rsidRPr="00E91429">
        <w:rPr>
          <w:b/>
          <w:sz w:val="20"/>
          <w:lang w:val="en-US"/>
        </w:rPr>
        <w:t>Resource Efficiency</w:t>
      </w:r>
    </w:p>
    <w:p w:rsidR="002A3B8F" w:rsidRPr="00E91429" w:rsidRDefault="002A3B8F" w:rsidP="008D5580">
      <w:pPr>
        <w:spacing w:line="300" w:lineRule="exact"/>
        <w:rPr>
          <w:rFonts w:cs="Lucida Sans Unicode"/>
          <w:b/>
          <w:sz w:val="20"/>
          <w:szCs w:val="20"/>
          <w:lang w:val="en-US"/>
        </w:rPr>
      </w:pPr>
    </w:p>
    <w:p w:rsidR="002A3B8F" w:rsidRPr="00E91429" w:rsidRDefault="002A3B8F" w:rsidP="008D5580">
      <w:pPr>
        <w:spacing w:line="300" w:lineRule="exact"/>
        <w:rPr>
          <w:rFonts w:cs="Lucida Sans Unicode"/>
          <w:bCs/>
          <w:sz w:val="20"/>
          <w:szCs w:val="20"/>
          <w:lang w:val="en-US"/>
        </w:rPr>
      </w:pPr>
      <w:r w:rsidRPr="00E91429">
        <w:rPr>
          <w:sz w:val="20"/>
          <w:lang w:val="en-US"/>
        </w:rPr>
        <w:t>The Resource Efficiency segment provides environment-friendly and energy-efficient system solutions. This segment comprises the Inorganic Materials and Coatings &amp; Additives Business Units.</w:t>
      </w:r>
    </w:p>
    <w:p w:rsidR="002A3B8F" w:rsidRDefault="002A3B8F" w:rsidP="008D5580">
      <w:pPr>
        <w:keepNext/>
        <w:keepLines/>
        <w:spacing w:line="300" w:lineRule="exact"/>
        <w:ind w:left="57"/>
        <w:rPr>
          <w:sz w:val="20"/>
          <w:lang w:val="en-US"/>
        </w:rPr>
      </w:pPr>
    </w:p>
    <w:p w:rsidR="002A3B8F" w:rsidRPr="00E91429" w:rsidRDefault="002A3B8F" w:rsidP="00417B69">
      <w:pPr>
        <w:keepNext/>
        <w:keepLines/>
        <w:spacing w:line="300" w:lineRule="exact"/>
        <w:ind w:left="57"/>
        <w:rPr>
          <w:rFonts w:cs="Lucida Sans Unicode"/>
          <w:b/>
          <w:bCs/>
          <w:sz w:val="20"/>
          <w:szCs w:val="20"/>
          <w:lang w:val="en-US"/>
        </w:rPr>
      </w:pPr>
      <w:r w:rsidRPr="00777798">
        <w:rPr>
          <w:b/>
          <w:sz w:val="20"/>
          <w:lang w:val="en-US"/>
        </w:rPr>
        <w:t>Sales</w:t>
      </w:r>
      <w:r w:rsidRPr="00E91429">
        <w:rPr>
          <w:sz w:val="20"/>
          <w:lang w:val="en-US"/>
        </w:rPr>
        <w:t xml:space="preserve"> </w:t>
      </w:r>
      <w:r>
        <w:rPr>
          <w:sz w:val="20"/>
          <w:lang w:val="en-US"/>
        </w:rPr>
        <w:t>declined</w:t>
      </w:r>
      <w:r w:rsidRPr="00E91429">
        <w:rPr>
          <w:sz w:val="20"/>
          <w:lang w:val="en-US"/>
        </w:rPr>
        <w:t xml:space="preserve"> 6 percent to €771 million (Q1 2012: €818 million). The main factor in this was the colorants business, which was divested at the end of April 2012.</w:t>
      </w:r>
      <w:r w:rsidR="00777798">
        <w:rPr>
          <w:sz w:val="20"/>
          <w:lang w:val="en-US"/>
        </w:rPr>
        <w:t xml:space="preserve"> </w:t>
      </w:r>
      <w:r w:rsidRPr="00E91429">
        <w:rPr>
          <w:sz w:val="20"/>
          <w:lang w:val="en-US"/>
        </w:rPr>
        <w:t>Lower volumes resulted in a slight organic sales</w:t>
      </w:r>
      <w:r>
        <w:rPr>
          <w:sz w:val="20"/>
          <w:lang w:val="en-US"/>
        </w:rPr>
        <w:t xml:space="preserve"> drop</w:t>
      </w:r>
      <w:r w:rsidRPr="00E91429">
        <w:rPr>
          <w:sz w:val="20"/>
          <w:lang w:val="en-US"/>
        </w:rPr>
        <w:t xml:space="preserve">. The operating results increased, mainly because fixed costs were reduced by the shutdown of one production plant and the divestment of another in the fourth quarter of 2012. Adjusted </w:t>
      </w:r>
      <w:r w:rsidRPr="00777798">
        <w:rPr>
          <w:b/>
          <w:sz w:val="20"/>
          <w:lang w:val="en-US"/>
        </w:rPr>
        <w:t>EBITDA</w:t>
      </w:r>
      <w:r w:rsidRPr="00E91429">
        <w:rPr>
          <w:sz w:val="20"/>
          <w:lang w:val="en-US"/>
        </w:rPr>
        <w:t xml:space="preserve"> rose 2 percent to €172 million (Q1 2012: €168 million) </w:t>
      </w:r>
      <w:r>
        <w:rPr>
          <w:sz w:val="20"/>
          <w:lang w:val="en-US"/>
        </w:rPr>
        <w:t xml:space="preserve">while adjusted </w:t>
      </w:r>
      <w:r w:rsidRPr="00777798">
        <w:rPr>
          <w:b/>
          <w:sz w:val="20"/>
          <w:lang w:val="en-US"/>
        </w:rPr>
        <w:t>EBIT</w:t>
      </w:r>
      <w:r>
        <w:rPr>
          <w:sz w:val="20"/>
          <w:lang w:val="en-US"/>
        </w:rPr>
        <w:t xml:space="preserve"> increased 9 </w:t>
      </w:r>
      <w:r w:rsidRPr="00E91429">
        <w:rPr>
          <w:sz w:val="20"/>
          <w:lang w:val="en-US"/>
        </w:rPr>
        <w:t xml:space="preserve">percent to €143 million (Q1 2012: €131 million). The adjusted </w:t>
      </w:r>
      <w:r w:rsidRPr="00777798">
        <w:rPr>
          <w:b/>
          <w:sz w:val="20"/>
          <w:lang w:val="en-US"/>
        </w:rPr>
        <w:t>EBITDA margin</w:t>
      </w:r>
      <w:r w:rsidRPr="00E91429">
        <w:rPr>
          <w:sz w:val="20"/>
          <w:lang w:val="en-US"/>
        </w:rPr>
        <w:t xml:space="preserve"> was 22.3 percent, up from 20.5 percent in the first quarter of 2012. </w:t>
      </w:r>
    </w:p>
    <w:p w:rsidR="002A3B8F" w:rsidRPr="00E91429" w:rsidRDefault="002A3B8F" w:rsidP="008D5580">
      <w:pPr>
        <w:keepNext/>
        <w:keepLines/>
        <w:spacing w:line="300" w:lineRule="exact"/>
        <w:rPr>
          <w:bCs/>
          <w:lang w:val="en-US"/>
        </w:rPr>
      </w:pPr>
    </w:p>
    <w:p w:rsidR="002A3B8F" w:rsidRPr="00E91429" w:rsidRDefault="002A3B8F" w:rsidP="008D5580">
      <w:pPr>
        <w:rPr>
          <w:bCs/>
          <w:lang w:val="en-US"/>
        </w:rPr>
      </w:pPr>
    </w:p>
    <w:p w:rsidR="002A3B8F" w:rsidRPr="00E91429" w:rsidRDefault="002A3B8F" w:rsidP="008D5580">
      <w:pPr>
        <w:spacing w:line="300" w:lineRule="exact"/>
        <w:rPr>
          <w:b/>
          <w:sz w:val="20"/>
          <w:szCs w:val="20"/>
          <w:lang w:val="en-US"/>
        </w:rPr>
      </w:pPr>
      <w:r>
        <w:rPr>
          <w:b/>
          <w:sz w:val="20"/>
          <w:lang w:val="en-US"/>
        </w:rPr>
        <w:br w:type="page"/>
      </w:r>
      <w:r w:rsidRPr="00E91429">
        <w:rPr>
          <w:b/>
          <w:sz w:val="20"/>
          <w:lang w:val="en-US"/>
        </w:rPr>
        <w:lastRenderedPageBreak/>
        <w:t>Specialty Materials</w:t>
      </w:r>
    </w:p>
    <w:p w:rsidR="002A3B8F" w:rsidRPr="00E91429" w:rsidRDefault="002A3B8F" w:rsidP="008D5580">
      <w:pPr>
        <w:rPr>
          <w:bCs/>
          <w:lang w:val="en-US"/>
        </w:rPr>
      </w:pPr>
    </w:p>
    <w:p w:rsidR="002A3B8F" w:rsidRPr="00E91429" w:rsidRDefault="002A3B8F" w:rsidP="008D5580">
      <w:pPr>
        <w:keepNext/>
        <w:keepLines/>
        <w:spacing w:line="300" w:lineRule="exact"/>
        <w:ind w:left="57"/>
        <w:rPr>
          <w:rFonts w:cs="Lucida Sans Unicode"/>
          <w:b/>
          <w:bCs/>
          <w:sz w:val="20"/>
          <w:szCs w:val="20"/>
          <w:lang w:val="en-US"/>
        </w:rPr>
      </w:pPr>
      <w:r w:rsidRPr="00E91429">
        <w:rPr>
          <w:sz w:val="20"/>
          <w:lang w:val="en-US"/>
        </w:rPr>
        <w:t>The heart of the Specialty Materials segment is the production of polymer materials and intermediates, mainly for the rubber and plastics industries. It comprises the Performance Polymers and Advanced Intermediates Business Units.</w:t>
      </w:r>
    </w:p>
    <w:p w:rsidR="002A3B8F" w:rsidRPr="00E91429" w:rsidRDefault="002A3B8F" w:rsidP="008D5580">
      <w:pPr>
        <w:rPr>
          <w:bCs/>
          <w:lang w:val="en-US"/>
        </w:rPr>
      </w:pPr>
    </w:p>
    <w:p w:rsidR="002A3B8F" w:rsidRPr="00E91429" w:rsidRDefault="002A3B8F" w:rsidP="00417B69">
      <w:pPr>
        <w:keepNext/>
        <w:keepLines/>
        <w:spacing w:line="300" w:lineRule="exact"/>
        <w:rPr>
          <w:rFonts w:cs="Lucida Sans Unicode"/>
          <w:bCs/>
          <w:sz w:val="20"/>
          <w:szCs w:val="20"/>
          <w:lang w:val="en-US"/>
        </w:rPr>
      </w:pPr>
      <w:r w:rsidRPr="00AC057C">
        <w:rPr>
          <w:b/>
          <w:sz w:val="20"/>
          <w:lang w:val="en-US"/>
        </w:rPr>
        <w:t>Sales</w:t>
      </w:r>
      <w:r w:rsidRPr="00E91429">
        <w:rPr>
          <w:sz w:val="20"/>
          <w:lang w:val="en-US"/>
        </w:rPr>
        <w:t xml:space="preserve"> </w:t>
      </w:r>
      <w:r>
        <w:rPr>
          <w:sz w:val="20"/>
          <w:lang w:val="en-US"/>
        </w:rPr>
        <w:t>declined</w:t>
      </w:r>
      <w:r w:rsidRPr="00E91429">
        <w:rPr>
          <w:sz w:val="20"/>
          <w:lang w:val="en-US"/>
        </w:rPr>
        <w:t xml:space="preserve"> 5 percent to €1,170 million (Q1 2012: €1,234 million). The reasons for this included the divestment of a business operation and lower selling prices. The operating results were below the very good results for the first quarter of 2012 due to lower selling prices and, in some cases, higher raw material costs. </w:t>
      </w:r>
      <w:r>
        <w:rPr>
          <w:sz w:val="20"/>
          <w:lang w:val="en-US"/>
        </w:rPr>
        <w:t xml:space="preserve">Adjusted </w:t>
      </w:r>
      <w:r w:rsidRPr="00AC057C">
        <w:rPr>
          <w:b/>
          <w:sz w:val="20"/>
          <w:lang w:val="en-US"/>
        </w:rPr>
        <w:t>EBITDA</w:t>
      </w:r>
      <w:r>
        <w:rPr>
          <w:sz w:val="20"/>
          <w:lang w:val="en-US"/>
        </w:rPr>
        <w:t xml:space="preserve"> decreased by 15 </w:t>
      </w:r>
      <w:r w:rsidRPr="00E91429">
        <w:rPr>
          <w:sz w:val="20"/>
          <w:lang w:val="en-US"/>
        </w:rPr>
        <w:t xml:space="preserve">percent to €182 million (Q1 2012: €215 million) while adjusted </w:t>
      </w:r>
      <w:r w:rsidRPr="00AC057C">
        <w:rPr>
          <w:b/>
          <w:sz w:val="20"/>
          <w:lang w:val="en-US"/>
        </w:rPr>
        <w:t>EBIT</w:t>
      </w:r>
      <w:r w:rsidRPr="00E91429">
        <w:rPr>
          <w:sz w:val="20"/>
          <w:lang w:val="en-US"/>
        </w:rPr>
        <w:t xml:space="preserve"> fell 19 percent to €145 million (Q1 2012: €178 million). The adjusted </w:t>
      </w:r>
      <w:r w:rsidRPr="00AC057C">
        <w:rPr>
          <w:b/>
          <w:sz w:val="20"/>
          <w:lang w:val="en-US"/>
        </w:rPr>
        <w:t>EBITDA margin</w:t>
      </w:r>
      <w:r w:rsidRPr="00E91429">
        <w:rPr>
          <w:sz w:val="20"/>
          <w:lang w:val="en-US"/>
        </w:rPr>
        <w:t xml:space="preserve"> thus dropped from 17.4 percent in the first quarter of 2012 to 15.6 percent in the first quarter of 2013. </w:t>
      </w:r>
    </w:p>
    <w:p w:rsidR="002A3B8F" w:rsidRPr="00E91429" w:rsidRDefault="002A3B8F" w:rsidP="008D5580">
      <w:pPr>
        <w:spacing w:line="300" w:lineRule="exact"/>
        <w:rPr>
          <w:b/>
          <w:sz w:val="20"/>
          <w:szCs w:val="20"/>
          <w:lang w:val="en-US"/>
        </w:rPr>
      </w:pPr>
    </w:p>
    <w:p w:rsidR="002A3B8F" w:rsidRPr="00E91429" w:rsidRDefault="002A3B8F" w:rsidP="008D5580">
      <w:pPr>
        <w:spacing w:line="300" w:lineRule="exact"/>
        <w:rPr>
          <w:b/>
          <w:sz w:val="20"/>
          <w:szCs w:val="20"/>
          <w:lang w:val="en-US"/>
        </w:rPr>
      </w:pPr>
      <w:r w:rsidRPr="00E91429">
        <w:rPr>
          <w:b/>
          <w:sz w:val="20"/>
          <w:lang w:val="en-US"/>
        </w:rPr>
        <w:t>Services</w:t>
      </w:r>
    </w:p>
    <w:p w:rsidR="002A3B8F" w:rsidRPr="00E91429" w:rsidRDefault="002A3B8F" w:rsidP="008D5580">
      <w:pPr>
        <w:spacing w:line="300" w:lineRule="atLeast"/>
        <w:rPr>
          <w:bCs/>
          <w:lang w:val="en-US"/>
        </w:rPr>
      </w:pPr>
    </w:p>
    <w:p w:rsidR="002A3B8F" w:rsidRPr="00E91429" w:rsidRDefault="002A3B8F" w:rsidP="008D5580">
      <w:pPr>
        <w:keepNext/>
        <w:keepLines/>
        <w:spacing w:line="300" w:lineRule="exact"/>
        <w:rPr>
          <w:rFonts w:cs="Lucida Sans Unicode"/>
          <w:bCs/>
          <w:sz w:val="20"/>
          <w:szCs w:val="20"/>
          <w:lang w:val="en-US"/>
        </w:rPr>
      </w:pPr>
      <w:r w:rsidRPr="00E91429">
        <w:rPr>
          <w:sz w:val="20"/>
          <w:lang w:val="en-US"/>
        </w:rPr>
        <w:t xml:space="preserve">This segment principally comprises Site Services and Evonik Business Services. It mainly provides services for the specialty chemicals segments and the </w:t>
      </w:r>
      <w:smartTag w:uri="urn:schemas-microsoft-com:office:smarttags" w:element="place">
        <w:smartTag w:uri="urn:schemas-microsoft-com:office:smarttags" w:element="PlaceName">
          <w:r w:rsidRPr="00E91429">
            <w:rPr>
              <w:sz w:val="20"/>
              <w:lang w:val="en-US"/>
            </w:rPr>
            <w:t>Corporate</w:t>
          </w:r>
        </w:smartTag>
        <w:r w:rsidRPr="00E91429">
          <w:rPr>
            <w:sz w:val="20"/>
            <w:lang w:val="en-US"/>
          </w:rPr>
          <w:t xml:space="preserve"> </w:t>
        </w:r>
        <w:smartTag w:uri="urn:schemas-microsoft-com:office:smarttags" w:element="PlaceType">
          <w:r w:rsidRPr="00E91429">
            <w:rPr>
              <w:sz w:val="20"/>
              <w:lang w:val="en-US"/>
            </w:rPr>
            <w:t>Center</w:t>
          </w:r>
        </w:smartTag>
      </w:smartTag>
      <w:r w:rsidRPr="00E91429">
        <w:rPr>
          <w:sz w:val="20"/>
          <w:lang w:val="en-US"/>
        </w:rPr>
        <w:t>.</w:t>
      </w:r>
    </w:p>
    <w:p w:rsidR="002A3B8F" w:rsidRPr="00E91429" w:rsidRDefault="002A3B8F" w:rsidP="008D5580">
      <w:pPr>
        <w:keepNext/>
        <w:keepLines/>
        <w:spacing w:line="300" w:lineRule="exact"/>
        <w:rPr>
          <w:rFonts w:cs="Lucida Sans Unicode"/>
          <w:bCs/>
          <w:sz w:val="20"/>
          <w:szCs w:val="20"/>
          <w:lang w:val="en-US"/>
        </w:rPr>
      </w:pPr>
    </w:p>
    <w:p w:rsidR="002A3B8F" w:rsidRPr="00E91429" w:rsidRDefault="002A3B8F" w:rsidP="00417B69">
      <w:pPr>
        <w:keepNext/>
        <w:keepLines/>
        <w:spacing w:line="300" w:lineRule="exact"/>
        <w:rPr>
          <w:rFonts w:cs="Lucida Sans Unicode"/>
          <w:bCs/>
          <w:sz w:val="20"/>
          <w:szCs w:val="20"/>
          <w:lang w:val="en-US"/>
        </w:rPr>
      </w:pPr>
      <w:r w:rsidRPr="00AC057C">
        <w:rPr>
          <w:b/>
          <w:sz w:val="20"/>
          <w:lang w:val="en-US"/>
        </w:rPr>
        <w:t>Total sales</w:t>
      </w:r>
      <w:r w:rsidRPr="00E91429">
        <w:rPr>
          <w:sz w:val="20"/>
          <w:lang w:val="en-US"/>
        </w:rPr>
        <w:t xml:space="preserve"> were €647 million. Internal sales accounted for €411 million of the total. External sales slipped 8 percent to €236 million. Adjusted </w:t>
      </w:r>
      <w:r w:rsidRPr="00AC057C">
        <w:rPr>
          <w:b/>
          <w:sz w:val="20"/>
          <w:lang w:val="en-US"/>
        </w:rPr>
        <w:t>EBITDA</w:t>
      </w:r>
      <w:r w:rsidRPr="00E91429">
        <w:rPr>
          <w:sz w:val="20"/>
          <w:lang w:val="en-US"/>
        </w:rPr>
        <w:t xml:space="preserve"> increased slightly to €54 million. Adjusted </w:t>
      </w:r>
      <w:r w:rsidRPr="00AC057C">
        <w:rPr>
          <w:b/>
          <w:sz w:val="20"/>
          <w:lang w:val="en-US"/>
        </w:rPr>
        <w:t>EBIT</w:t>
      </w:r>
      <w:r w:rsidRPr="00E91429">
        <w:rPr>
          <w:sz w:val="20"/>
          <w:lang w:val="en-US"/>
        </w:rPr>
        <w:t xml:space="preserve"> was unchanged year-on-year at €32 million.</w:t>
      </w:r>
    </w:p>
    <w:p w:rsidR="002A3B8F" w:rsidRPr="00E91429" w:rsidRDefault="002A3B8F" w:rsidP="008D5580">
      <w:pPr>
        <w:spacing w:line="300" w:lineRule="atLeast"/>
        <w:rPr>
          <w:bCs/>
          <w:lang w:val="en-US"/>
        </w:rPr>
      </w:pPr>
    </w:p>
    <w:p w:rsidR="002A3B8F" w:rsidRPr="00E91429" w:rsidRDefault="002A3B8F" w:rsidP="008D5580">
      <w:pPr>
        <w:spacing w:line="300" w:lineRule="exact"/>
        <w:rPr>
          <w:b/>
          <w:sz w:val="20"/>
          <w:szCs w:val="20"/>
          <w:lang w:val="en-US"/>
        </w:rPr>
      </w:pPr>
      <w:r w:rsidRPr="00E91429">
        <w:rPr>
          <w:b/>
          <w:sz w:val="20"/>
          <w:lang w:val="en-US"/>
        </w:rPr>
        <w:t>Outlook for 2013 confirmed</w:t>
      </w:r>
    </w:p>
    <w:p w:rsidR="002A3B8F" w:rsidRPr="00E91429" w:rsidRDefault="002A3B8F" w:rsidP="008D5580">
      <w:pPr>
        <w:rPr>
          <w:bCs/>
          <w:lang w:val="en-US"/>
        </w:rPr>
      </w:pPr>
    </w:p>
    <w:p w:rsidR="002A3B8F" w:rsidRPr="00E91429" w:rsidRDefault="002A3B8F" w:rsidP="008D5580">
      <w:pPr>
        <w:keepNext/>
        <w:keepLines/>
        <w:spacing w:line="300" w:lineRule="exact"/>
        <w:rPr>
          <w:rFonts w:cs="Lucida Sans Unicode"/>
          <w:bCs/>
          <w:sz w:val="20"/>
          <w:szCs w:val="20"/>
          <w:lang w:val="en-US"/>
        </w:rPr>
      </w:pPr>
      <w:r w:rsidRPr="00E91429">
        <w:rPr>
          <w:sz w:val="20"/>
          <w:lang w:val="en-US"/>
        </w:rPr>
        <w:t xml:space="preserve">Global economic conditions will remain very challenging, especially in the coming months, but the global economy is expected to pick up perceptibly in the second half of the year. Consequently, Evonik assumes that the forecast for the global economic environment made at year-end 2012 remains applicable for 2013. Nevertheless, there is still considerable uncertainty, especially in connection with the sovereign debt crisis in Europe and the economic development of </w:t>
      </w:r>
      <w:smartTag w:uri="urn:schemas-microsoft-com:office:smarttags" w:element="place">
        <w:smartTag w:uri="urn:schemas-microsoft-com:office:smarttags" w:element="country-region">
          <w:r w:rsidRPr="00E91429">
            <w:rPr>
              <w:sz w:val="20"/>
              <w:lang w:val="en-US"/>
            </w:rPr>
            <w:t>China</w:t>
          </w:r>
        </w:smartTag>
      </w:smartTag>
      <w:r w:rsidRPr="00E91429">
        <w:rPr>
          <w:sz w:val="20"/>
          <w:lang w:val="en-US"/>
        </w:rPr>
        <w:t xml:space="preserve">. This could impair economic development. </w:t>
      </w:r>
    </w:p>
    <w:p w:rsidR="002A3B8F" w:rsidRPr="00E91429" w:rsidRDefault="002A3B8F" w:rsidP="008D5580">
      <w:pPr>
        <w:spacing w:line="300" w:lineRule="atLeast"/>
        <w:rPr>
          <w:bCs/>
          <w:lang w:val="en-US"/>
        </w:rPr>
      </w:pPr>
    </w:p>
    <w:p w:rsidR="002A3B8F" w:rsidRPr="00E91429" w:rsidRDefault="002A3B8F" w:rsidP="008D5580">
      <w:pPr>
        <w:spacing w:line="300" w:lineRule="atLeast"/>
        <w:rPr>
          <w:rFonts w:cs="Lucida Sans Unicode"/>
          <w:bCs/>
          <w:sz w:val="20"/>
          <w:szCs w:val="20"/>
          <w:lang w:val="en-US"/>
        </w:rPr>
      </w:pPr>
      <w:r w:rsidRPr="00E91429">
        <w:rPr>
          <w:sz w:val="20"/>
          <w:lang w:val="en-US"/>
        </w:rPr>
        <w:t xml:space="preserve">In view of the reclassification of the Real Estate segment to discontinued operations in March 2013 and the planned deconsolidation of these operations in the course of 2013, the following comments only refer to </w:t>
      </w:r>
      <w:r w:rsidRPr="00E91429">
        <w:rPr>
          <w:sz w:val="20"/>
          <w:lang w:val="en-US"/>
        </w:rPr>
        <w:lastRenderedPageBreak/>
        <w:t>the continuing operations. The corresponding figures for 2012 have been restated.</w:t>
      </w:r>
    </w:p>
    <w:p w:rsidR="002A3B8F" w:rsidRPr="00E91429" w:rsidRDefault="002A3B8F" w:rsidP="008D5580">
      <w:pPr>
        <w:spacing w:line="300" w:lineRule="atLeast"/>
        <w:ind w:firstLine="567"/>
        <w:rPr>
          <w:bCs/>
          <w:lang w:val="en-US"/>
        </w:rPr>
      </w:pPr>
    </w:p>
    <w:p w:rsidR="002A3B8F" w:rsidRPr="00E91429" w:rsidRDefault="002A3B8F" w:rsidP="00417B69">
      <w:pPr>
        <w:spacing w:line="300" w:lineRule="atLeast"/>
        <w:rPr>
          <w:b/>
          <w:bCs/>
          <w:lang w:val="en-US"/>
        </w:rPr>
      </w:pPr>
      <w:r w:rsidRPr="00E91429">
        <w:rPr>
          <w:sz w:val="20"/>
          <w:lang w:val="en-US"/>
        </w:rPr>
        <w:t xml:space="preserve">Despite the </w:t>
      </w:r>
      <w:r>
        <w:rPr>
          <w:sz w:val="20"/>
          <w:lang w:val="en-US"/>
        </w:rPr>
        <w:t>moderate</w:t>
      </w:r>
      <w:r w:rsidRPr="00E91429">
        <w:rPr>
          <w:sz w:val="20"/>
          <w:lang w:val="en-US"/>
        </w:rPr>
        <w:t xml:space="preserve"> start to 2013, given the anticipated upturn in the second half of the year, Evonik is </w:t>
      </w:r>
      <w:r>
        <w:rPr>
          <w:sz w:val="20"/>
          <w:lang w:val="en-US"/>
        </w:rPr>
        <w:t>confirming</w:t>
      </w:r>
      <w:r w:rsidRPr="00E91429">
        <w:rPr>
          <w:sz w:val="20"/>
          <w:lang w:val="en-US"/>
        </w:rPr>
        <w:t xml:space="preserve"> its </w:t>
      </w:r>
      <w:r>
        <w:rPr>
          <w:sz w:val="20"/>
          <w:lang w:val="en-US"/>
        </w:rPr>
        <w:t>outlook</w:t>
      </w:r>
      <w:r w:rsidRPr="00E91429">
        <w:rPr>
          <w:sz w:val="20"/>
          <w:lang w:val="en-US"/>
        </w:rPr>
        <w:t xml:space="preserve"> for 2013. Assuming that the economic forecast for the year as a whole proves correct, the Group still expects to report a </w:t>
      </w:r>
      <w:r>
        <w:rPr>
          <w:sz w:val="20"/>
          <w:lang w:val="en-US"/>
        </w:rPr>
        <w:t>successful</w:t>
      </w:r>
      <w:r w:rsidRPr="00E91429">
        <w:rPr>
          <w:sz w:val="20"/>
          <w:lang w:val="en-US"/>
        </w:rPr>
        <w:t xml:space="preserve"> business performance in 2013. Evonik assumes that the new production capacit</w:t>
      </w:r>
      <w:r>
        <w:rPr>
          <w:sz w:val="20"/>
          <w:lang w:val="en-US"/>
        </w:rPr>
        <w:t>ies</w:t>
      </w:r>
      <w:r w:rsidRPr="00E91429">
        <w:rPr>
          <w:sz w:val="20"/>
          <w:lang w:val="en-US"/>
        </w:rPr>
        <w:t xml:space="preserve"> and higher selling prices in key product areas will have a positive impact. Overall, Evonik anticipates higher sales in 2013, while the operating results should be </w:t>
      </w:r>
      <w:r>
        <w:rPr>
          <w:sz w:val="20"/>
          <w:lang w:val="en-US"/>
        </w:rPr>
        <w:t>in line</w:t>
      </w:r>
      <w:r w:rsidR="00954C34">
        <w:rPr>
          <w:sz w:val="20"/>
          <w:lang w:val="en-US"/>
        </w:rPr>
        <w:t xml:space="preserve"> with</w:t>
      </w:r>
      <w:r>
        <w:rPr>
          <w:sz w:val="20"/>
          <w:lang w:val="en-US"/>
        </w:rPr>
        <w:t xml:space="preserve"> the very good level achieved in 2012.</w:t>
      </w:r>
      <w:r w:rsidRPr="00E91429">
        <w:rPr>
          <w:sz w:val="20"/>
          <w:lang w:val="en-US"/>
        </w:rPr>
        <w:t xml:space="preserve"> </w:t>
      </w:r>
      <w:r w:rsidRPr="00E91429">
        <w:rPr>
          <w:lang w:val="en-US"/>
        </w:rPr>
        <w:br w:type="page"/>
      </w:r>
      <w:r w:rsidRPr="00E91429">
        <w:rPr>
          <w:b/>
          <w:lang w:val="en-US"/>
        </w:rPr>
        <w:lastRenderedPageBreak/>
        <w:t>Evonik Group: Excerpt from the income statement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156"/>
        <w:gridCol w:w="1383"/>
      </w:tblGrid>
      <w:tr w:rsidR="002A3B8F" w:rsidRPr="00E91429" w:rsidTr="00CA615B">
        <w:trPr>
          <w:trHeight w:val="504"/>
        </w:trPr>
        <w:tc>
          <w:tcPr>
            <w:tcW w:w="5387" w:type="dxa"/>
          </w:tcPr>
          <w:p w:rsidR="002A3B8F" w:rsidRPr="00E91429" w:rsidRDefault="002A3B8F" w:rsidP="00CA615B">
            <w:pPr>
              <w:rPr>
                <w:b/>
                <w:bCs/>
                <w:lang w:val="en-US"/>
              </w:rPr>
            </w:pPr>
            <w:r w:rsidRPr="00E91429">
              <w:rPr>
                <w:b/>
                <w:lang w:val="en-US"/>
              </w:rPr>
              <w:t>(in € million)</w:t>
            </w:r>
          </w:p>
        </w:tc>
        <w:tc>
          <w:tcPr>
            <w:tcW w:w="1254" w:type="dxa"/>
            <w:shd w:val="clear" w:color="auto" w:fill="C0C0C0"/>
          </w:tcPr>
          <w:p w:rsidR="002A3B8F" w:rsidRPr="00E91429" w:rsidRDefault="002A3B8F" w:rsidP="00CA615B">
            <w:pPr>
              <w:jc w:val="center"/>
              <w:rPr>
                <w:b/>
                <w:bCs/>
                <w:lang w:val="en-US"/>
              </w:rPr>
            </w:pPr>
            <w:r w:rsidRPr="00E91429">
              <w:rPr>
                <w:b/>
                <w:lang w:val="en-US"/>
              </w:rPr>
              <w:t>Q1 2013</w:t>
            </w:r>
          </w:p>
        </w:tc>
        <w:tc>
          <w:tcPr>
            <w:tcW w:w="1156" w:type="dxa"/>
          </w:tcPr>
          <w:p w:rsidR="002A3B8F" w:rsidRPr="00E91429" w:rsidRDefault="002A3B8F" w:rsidP="00CA615B">
            <w:pPr>
              <w:jc w:val="center"/>
              <w:rPr>
                <w:b/>
                <w:bCs/>
                <w:lang w:val="en-US"/>
              </w:rPr>
            </w:pPr>
            <w:r w:rsidRPr="00E91429">
              <w:rPr>
                <w:b/>
                <w:lang w:val="en-US"/>
              </w:rPr>
              <w:t>Q1 2012</w:t>
            </w:r>
          </w:p>
        </w:tc>
        <w:tc>
          <w:tcPr>
            <w:tcW w:w="1383" w:type="dxa"/>
          </w:tcPr>
          <w:p w:rsidR="002A3B8F" w:rsidRPr="00E91429" w:rsidRDefault="002A3B8F" w:rsidP="00CA615B">
            <w:pPr>
              <w:jc w:val="center"/>
              <w:rPr>
                <w:b/>
                <w:bCs/>
                <w:lang w:val="en-US"/>
              </w:rPr>
            </w:pPr>
            <w:r w:rsidRPr="00E91429">
              <w:rPr>
                <w:b/>
                <w:lang w:val="en-US"/>
              </w:rPr>
              <w:t xml:space="preserve">Change </w:t>
            </w:r>
          </w:p>
          <w:p w:rsidR="002A3B8F" w:rsidRPr="00E91429" w:rsidRDefault="002A3B8F" w:rsidP="00CA615B">
            <w:pPr>
              <w:jc w:val="center"/>
              <w:rPr>
                <w:b/>
                <w:bCs/>
                <w:lang w:val="en-US"/>
              </w:rPr>
            </w:pPr>
            <w:r w:rsidRPr="00E91429">
              <w:rPr>
                <w:b/>
                <w:lang w:val="en-US"/>
              </w:rPr>
              <w:t>in %</w:t>
            </w:r>
          </w:p>
        </w:tc>
      </w:tr>
      <w:tr w:rsidR="002A3B8F" w:rsidRPr="00E91429" w:rsidTr="00CA615B">
        <w:tc>
          <w:tcPr>
            <w:tcW w:w="5387" w:type="dxa"/>
          </w:tcPr>
          <w:p w:rsidR="002A3B8F" w:rsidRPr="00E91429" w:rsidRDefault="002A3B8F" w:rsidP="00CA615B">
            <w:pPr>
              <w:rPr>
                <w:bCs/>
                <w:lang w:val="en-US"/>
              </w:rPr>
            </w:pPr>
            <w:r w:rsidRPr="00E91429">
              <w:rPr>
                <w:lang w:val="en-US"/>
              </w:rPr>
              <w:t>Sales</w:t>
            </w:r>
          </w:p>
        </w:tc>
        <w:tc>
          <w:tcPr>
            <w:tcW w:w="1254" w:type="dxa"/>
            <w:shd w:val="clear" w:color="auto" w:fill="C0C0C0"/>
          </w:tcPr>
          <w:p w:rsidR="002A3B8F" w:rsidRPr="00E91429" w:rsidRDefault="002A3B8F" w:rsidP="00CA615B">
            <w:pPr>
              <w:jc w:val="right"/>
              <w:rPr>
                <w:bCs/>
                <w:lang w:val="en-US"/>
              </w:rPr>
            </w:pPr>
            <w:r w:rsidRPr="00E91429">
              <w:rPr>
                <w:lang w:val="en-US"/>
              </w:rPr>
              <w:t>3,263</w:t>
            </w:r>
          </w:p>
        </w:tc>
        <w:tc>
          <w:tcPr>
            <w:tcW w:w="1156" w:type="dxa"/>
          </w:tcPr>
          <w:p w:rsidR="002A3B8F" w:rsidRPr="00E91429" w:rsidRDefault="002A3B8F" w:rsidP="00CA615B">
            <w:pPr>
              <w:ind w:right="120"/>
              <w:jc w:val="right"/>
              <w:rPr>
                <w:bCs/>
                <w:lang w:val="en-US"/>
              </w:rPr>
            </w:pPr>
            <w:r w:rsidRPr="00E91429">
              <w:rPr>
                <w:lang w:val="en-US"/>
              </w:rPr>
              <w:t>3,407</w:t>
            </w:r>
          </w:p>
        </w:tc>
        <w:tc>
          <w:tcPr>
            <w:tcW w:w="1383" w:type="dxa"/>
          </w:tcPr>
          <w:p w:rsidR="002A3B8F" w:rsidRPr="00E91429" w:rsidRDefault="002A3B8F" w:rsidP="00CA615B">
            <w:pPr>
              <w:jc w:val="right"/>
              <w:rPr>
                <w:bCs/>
                <w:lang w:val="en-US"/>
              </w:rPr>
            </w:pPr>
            <w:r w:rsidRPr="00E91429">
              <w:rPr>
                <w:lang w:val="en-US"/>
              </w:rPr>
              <w:t>-4</w:t>
            </w:r>
          </w:p>
        </w:tc>
      </w:tr>
      <w:tr w:rsidR="002A3B8F" w:rsidRPr="00E91429" w:rsidTr="00CA615B">
        <w:tc>
          <w:tcPr>
            <w:tcW w:w="5387" w:type="dxa"/>
          </w:tcPr>
          <w:p w:rsidR="002A3B8F" w:rsidRPr="00E91429" w:rsidRDefault="002A3B8F" w:rsidP="00CA615B">
            <w:pPr>
              <w:rPr>
                <w:bCs/>
                <w:lang w:val="en-US"/>
              </w:rPr>
            </w:pPr>
            <w:r w:rsidRPr="00E91429">
              <w:rPr>
                <w:lang w:val="en-US"/>
              </w:rPr>
              <w:t>Adjusted EBITDA</w:t>
            </w:r>
          </w:p>
        </w:tc>
        <w:tc>
          <w:tcPr>
            <w:tcW w:w="1254" w:type="dxa"/>
            <w:shd w:val="clear" w:color="auto" w:fill="C0C0C0"/>
          </w:tcPr>
          <w:p w:rsidR="002A3B8F" w:rsidRPr="00E91429" w:rsidRDefault="002A3B8F" w:rsidP="00CA615B">
            <w:pPr>
              <w:jc w:val="right"/>
              <w:rPr>
                <w:bCs/>
                <w:lang w:val="en-US"/>
              </w:rPr>
            </w:pPr>
            <w:r w:rsidRPr="00E91429">
              <w:rPr>
                <w:lang w:val="en-US"/>
              </w:rPr>
              <w:t>589</w:t>
            </w:r>
          </w:p>
        </w:tc>
        <w:tc>
          <w:tcPr>
            <w:tcW w:w="1156" w:type="dxa"/>
          </w:tcPr>
          <w:p w:rsidR="002A3B8F" w:rsidRPr="00E91429" w:rsidRDefault="002A3B8F" w:rsidP="00CA615B">
            <w:pPr>
              <w:ind w:right="120"/>
              <w:jc w:val="right"/>
              <w:rPr>
                <w:bCs/>
                <w:lang w:val="en-US"/>
              </w:rPr>
            </w:pPr>
            <w:r w:rsidRPr="00E91429">
              <w:rPr>
                <w:lang w:val="en-US"/>
              </w:rPr>
              <w:t>656</w:t>
            </w:r>
          </w:p>
        </w:tc>
        <w:tc>
          <w:tcPr>
            <w:tcW w:w="1383" w:type="dxa"/>
          </w:tcPr>
          <w:p w:rsidR="002A3B8F" w:rsidRPr="00E91429" w:rsidRDefault="002A3B8F" w:rsidP="00CA615B">
            <w:pPr>
              <w:jc w:val="right"/>
              <w:rPr>
                <w:bCs/>
                <w:lang w:val="en-US"/>
              </w:rPr>
            </w:pPr>
            <w:r w:rsidRPr="00E91429">
              <w:rPr>
                <w:lang w:val="en-US"/>
              </w:rPr>
              <w:t>-10</w:t>
            </w:r>
          </w:p>
        </w:tc>
      </w:tr>
      <w:tr w:rsidR="002A3B8F" w:rsidRPr="00E91429" w:rsidTr="00CA615B">
        <w:tc>
          <w:tcPr>
            <w:tcW w:w="5387" w:type="dxa"/>
          </w:tcPr>
          <w:p w:rsidR="002A3B8F" w:rsidRPr="00E91429" w:rsidRDefault="002A3B8F" w:rsidP="00CA615B">
            <w:pPr>
              <w:rPr>
                <w:bCs/>
                <w:lang w:val="en-US"/>
              </w:rPr>
            </w:pPr>
            <w:r w:rsidRPr="00E91429">
              <w:rPr>
                <w:lang w:val="en-US"/>
              </w:rPr>
              <w:t>Adjusted EBIT</w:t>
            </w:r>
          </w:p>
        </w:tc>
        <w:tc>
          <w:tcPr>
            <w:tcW w:w="1254" w:type="dxa"/>
            <w:shd w:val="clear" w:color="auto" w:fill="C0C0C0"/>
          </w:tcPr>
          <w:p w:rsidR="002A3B8F" w:rsidRPr="00E91429" w:rsidRDefault="002A3B8F" w:rsidP="00CA615B">
            <w:pPr>
              <w:jc w:val="right"/>
              <w:rPr>
                <w:bCs/>
                <w:lang w:val="en-US"/>
              </w:rPr>
            </w:pPr>
            <w:r w:rsidRPr="00E91429">
              <w:rPr>
                <w:lang w:val="en-US"/>
              </w:rPr>
              <w:t>445</w:t>
            </w:r>
          </w:p>
        </w:tc>
        <w:tc>
          <w:tcPr>
            <w:tcW w:w="1156" w:type="dxa"/>
          </w:tcPr>
          <w:p w:rsidR="002A3B8F" w:rsidRPr="00E91429" w:rsidRDefault="002A3B8F" w:rsidP="00CA615B">
            <w:pPr>
              <w:ind w:right="120"/>
              <w:jc w:val="right"/>
              <w:rPr>
                <w:bCs/>
                <w:lang w:val="en-US"/>
              </w:rPr>
            </w:pPr>
            <w:r w:rsidRPr="00E91429">
              <w:rPr>
                <w:lang w:val="en-US"/>
              </w:rPr>
              <w:t>509</w:t>
            </w:r>
          </w:p>
        </w:tc>
        <w:tc>
          <w:tcPr>
            <w:tcW w:w="1383" w:type="dxa"/>
          </w:tcPr>
          <w:p w:rsidR="002A3B8F" w:rsidRPr="00E91429" w:rsidRDefault="002A3B8F" w:rsidP="00CA615B">
            <w:pPr>
              <w:jc w:val="right"/>
              <w:rPr>
                <w:bCs/>
                <w:lang w:val="en-US"/>
              </w:rPr>
            </w:pPr>
            <w:r w:rsidRPr="00E91429">
              <w:rPr>
                <w:lang w:val="en-US"/>
              </w:rPr>
              <w:t>-13</w:t>
            </w:r>
          </w:p>
        </w:tc>
      </w:tr>
      <w:tr w:rsidR="002A3B8F" w:rsidRPr="00E91429" w:rsidTr="00CA615B">
        <w:tc>
          <w:tcPr>
            <w:tcW w:w="5387" w:type="dxa"/>
          </w:tcPr>
          <w:p w:rsidR="002A3B8F" w:rsidRPr="00E91429" w:rsidRDefault="002A3B8F" w:rsidP="00CA615B">
            <w:pPr>
              <w:rPr>
                <w:bCs/>
                <w:lang w:val="en-US"/>
              </w:rPr>
            </w:pPr>
            <w:r w:rsidRPr="00E91429">
              <w:rPr>
                <w:lang w:val="en-US"/>
              </w:rPr>
              <w:t>Adjustments</w:t>
            </w:r>
          </w:p>
        </w:tc>
        <w:tc>
          <w:tcPr>
            <w:tcW w:w="1254" w:type="dxa"/>
            <w:shd w:val="clear" w:color="auto" w:fill="C0C0C0"/>
          </w:tcPr>
          <w:p w:rsidR="002A3B8F" w:rsidRPr="00E91429" w:rsidRDefault="002A3B8F" w:rsidP="00CA615B">
            <w:pPr>
              <w:jc w:val="right"/>
              <w:rPr>
                <w:bCs/>
                <w:lang w:val="en-US"/>
              </w:rPr>
            </w:pPr>
            <w:r w:rsidRPr="00E91429">
              <w:rPr>
                <w:lang w:val="en-US"/>
              </w:rPr>
              <w:t>-30</w:t>
            </w:r>
          </w:p>
        </w:tc>
        <w:tc>
          <w:tcPr>
            <w:tcW w:w="1156" w:type="dxa"/>
          </w:tcPr>
          <w:p w:rsidR="002A3B8F" w:rsidRPr="00E91429" w:rsidRDefault="002A3B8F" w:rsidP="00CA615B">
            <w:pPr>
              <w:ind w:right="120"/>
              <w:jc w:val="right"/>
              <w:rPr>
                <w:bCs/>
                <w:lang w:val="en-US"/>
              </w:rPr>
            </w:pPr>
            <w:r w:rsidRPr="00E91429">
              <w:rPr>
                <w:lang w:val="en-US"/>
              </w:rPr>
              <w:t>-69</w:t>
            </w:r>
          </w:p>
        </w:tc>
        <w:tc>
          <w:tcPr>
            <w:tcW w:w="1383" w:type="dxa"/>
          </w:tcPr>
          <w:p w:rsidR="002A3B8F" w:rsidRPr="00E91429" w:rsidRDefault="002A3B8F" w:rsidP="00CA615B">
            <w:pPr>
              <w:jc w:val="right"/>
              <w:rPr>
                <w:bCs/>
                <w:lang w:val="en-US"/>
              </w:rPr>
            </w:pPr>
          </w:p>
        </w:tc>
      </w:tr>
      <w:tr w:rsidR="002A3B8F" w:rsidRPr="00E91429" w:rsidTr="00CA615B">
        <w:tc>
          <w:tcPr>
            <w:tcW w:w="5387" w:type="dxa"/>
          </w:tcPr>
          <w:p w:rsidR="002A3B8F" w:rsidRPr="00E91429" w:rsidRDefault="002A3B8F" w:rsidP="00CA615B">
            <w:pPr>
              <w:rPr>
                <w:bCs/>
                <w:lang w:val="en-US"/>
              </w:rPr>
            </w:pPr>
            <w:r w:rsidRPr="00E91429">
              <w:rPr>
                <w:lang w:val="en-US"/>
              </w:rPr>
              <w:t>Net interest expense</w:t>
            </w:r>
          </w:p>
        </w:tc>
        <w:tc>
          <w:tcPr>
            <w:tcW w:w="1254" w:type="dxa"/>
            <w:shd w:val="clear" w:color="auto" w:fill="C0C0C0"/>
          </w:tcPr>
          <w:p w:rsidR="002A3B8F" w:rsidRPr="00E91429" w:rsidRDefault="002A3B8F" w:rsidP="00CA615B">
            <w:pPr>
              <w:jc w:val="right"/>
              <w:rPr>
                <w:bCs/>
                <w:lang w:val="en-US"/>
              </w:rPr>
            </w:pPr>
            <w:r w:rsidRPr="00E91429">
              <w:rPr>
                <w:lang w:val="en-US"/>
              </w:rPr>
              <w:t>-66</w:t>
            </w:r>
          </w:p>
        </w:tc>
        <w:tc>
          <w:tcPr>
            <w:tcW w:w="1156" w:type="dxa"/>
          </w:tcPr>
          <w:p w:rsidR="002A3B8F" w:rsidRPr="00E91429" w:rsidRDefault="002A3B8F" w:rsidP="00CA615B">
            <w:pPr>
              <w:ind w:right="120"/>
              <w:jc w:val="right"/>
              <w:rPr>
                <w:bCs/>
                <w:lang w:val="en-US"/>
              </w:rPr>
            </w:pPr>
            <w:r w:rsidRPr="00E91429">
              <w:rPr>
                <w:lang w:val="en-US"/>
              </w:rPr>
              <w:t>-80</w:t>
            </w:r>
          </w:p>
        </w:tc>
        <w:tc>
          <w:tcPr>
            <w:tcW w:w="1383" w:type="dxa"/>
          </w:tcPr>
          <w:p w:rsidR="002A3B8F" w:rsidRPr="00E91429" w:rsidRDefault="002A3B8F" w:rsidP="00CA615B">
            <w:pPr>
              <w:jc w:val="right"/>
              <w:rPr>
                <w:bCs/>
                <w:lang w:val="en-US"/>
              </w:rPr>
            </w:pPr>
          </w:p>
        </w:tc>
      </w:tr>
      <w:tr w:rsidR="002A3B8F" w:rsidRPr="00E91429" w:rsidTr="00CA615B">
        <w:tc>
          <w:tcPr>
            <w:tcW w:w="5387" w:type="dxa"/>
          </w:tcPr>
          <w:p w:rsidR="002A3B8F" w:rsidRPr="00E91429" w:rsidRDefault="002A3B8F" w:rsidP="00CA615B">
            <w:pPr>
              <w:rPr>
                <w:bCs/>
                <w:lang w:val="en-US"/>
              </w:rPr>
            </w:pPr>
            <w:r w:rsidRPr="00E91429">
              <w:rPr>
                <w:lang w:val="en-US"/>
              </w:rPr>
              <w:t>= Income before income taxes, continuing operations</w:t>
            </w:r>
          </w:p>
        </w:tc>
        <w:tc>
          <w:tcPr>
            <w:tcW w:w="1254" w:type="dxa"/>
            <w:shd w:val="clear" w:color="auto" w:fill="C0C0C0"/>
          </w:tcPr>
          <w:p w:rsidR="002A3B8F" w:rsidRPr="00E91429" w:rsidRDefault="002A3B8F" w:rsidP="00CA615B">
            <w:pPr>
              <w:jc w:val="right"/>
              <w:rPr>
                <w:bCs/>
                <w:lang w:val="en-US"/>
              </w:rPr>
            </w:pPr>
            <w:r w:rsidRPr="00E91429">
              <w:rPr>
                <w:lang w:val="en-US"/>
              </w:rPr>
              <w:t>349</w:t>
            </w:r>
          </w:p>
        </w:tc>
        <w:tc>
          <w:tcPr>
            <w:tcW w:w="1156" w:type="dxa"/>
          </w:tcPr>
          <w:p w:rsidR="002A3B8F" w:rsidRPr="00E91429" w:rsidRDefault="002A3B8F" w:rsidP="00CA615B">
            <w:pPr>
              <w:ind w:right="120"/>
              <w:jc w:val="right"/>
              <w:rPr>
                <w:bCs/>
                <w:lang w:val="en-US"/>
              </w:rPr>
            </w:pPr>
            <w:r w:rsidRPr="00E91429">
              <w:rPr>
                <w:lang w:val="en-US"/>
              </w:rPr>
              <w:t>360</w:t>
            </w:r>
          </w:p>
        </w:tc>
        <w:tc>
          <w:tcPr>
            <w:tcW w:w="1383" w:type="dxa"/>
          </w:tcPr>
          <w:p w:rsidR="002A3B8F" w:rsidRPr="00E91429" w:rsidRDefault="002A3B8F" w:rsidP="00CA615B">
            <w:pPr>
              <w:jc w:val="right"/>
              <w:rPr>
                <w:bCs/>
                <w:lang w:val="en-US"/>
              </w:rPr>
            </w:pPr>
            <w:r w:rsidRPr="00E91429">
              <w:rPr>
                <w:lang w:val="en-US"/>
              </w:rPr>
              <w:t>-3</w:t>
            </w:r>
          </w:p>
        </w:tc>
      </w:tr>
      <w:tr w:rsidR="002A3B8F" w:rsidRPr="00E91429" w:rsidTr="00CA615B">
        <w:tc>
          <w:tcPr>
            <w:tcW w:w="5387" w:type="dxa"/>
          </w:tcPr>
          <w:p w:rsidR="002A3B8F" w:rsidRPr="00E91429" w:rsidRDefault="002A3B8F" w:rsidP="00CA615B">
            <w:pPr>
              <w:jc w:val="both"/>
              <w:rPr>
                <w:bCs/>
                <w:lang w:val="en-US"/>
              </w:rPr>
            </w:pPr>
            <w:r w:rsidRPr="00E91429">
              <w:rPr>
                <w:lang w:val="en-US"/>
              </w:rPr>
              <w:t>Income taxes</w:t>
            </w:r>
          </w:p>
        </w:tc>
        <w:tc>
          <w:tcPr>
            <w:tcW w:w="1254" w:type="dxa"/>
            <w:shd w:val="clear" w:color="auto" w:fill="C0C0C0"/>
          </w:tcPr>
          <w:p w:rsidR="002A3B8F" w:rsidRPr="00E91429" w:rsidRDefault="002A3B8F" w:rsidP="00CA615B">
            <w:pPr>
              <w:jc w:val="right"/>
              <w:rPr>
                <w:bCs/>
                <w:lang w:val="en-US"/>
              </w:rPr>
            </w:pPr>
            <w:r w:rsidRPr="00E91429">
              <w:rPr>
                <w:lang w:val="en-US"/>
              </w:rPr>
              <w:t>-83</w:t>
            </w:r>
          </w:p>
        </w:tc>
        <w:tc>
          <w:tcPr>
            <w:tcW w:w="1156" w:type="dxa"/>
          </w:tcPr>
          <w:p w:rsidR="002A3B8F" w:rsidRPr="00E91429" w:rsidRDefault="002A3B8F" w:rsidP="00CA615B">
            <w:pPr>
              <w:ind w:right="120"/>
              <w:jc w:val="right"/>
              <w:rPr>
                <w:bCs/>
                <w:lang w:val="en-US"/>
              </w:rPr>
            </w:pPr>
            <w:r w:rsidRPr="00E91429">
              <w:rPr>
                <w:lang w:val="en-US"/>
              </w:rPr>
              <w:t>-114</w:t>
            </w:r>
          </w:p>
        </w:tc>
        <w:tc>
          <w:tcPr>
            <w:tcW w:w="1383" w:type="dxa"/>
          </w:tcPr>
          <w:p w:rsidR="002A3B8F" w:rsidRPr="00E91429" w:rsidRDefault="002A3B8F" w:rsidP="00CA615B">
            <w:pPr>
              <w:jc w:val="right"/>
              <w:rPr>
                <w:bCs/>
                <w:lang w:val="en-US"/>
              </w:rPr>
            </w:pPr>
          </w:p>
        </w:tc>
      </w:tr>
      <w:tr w:rsidR="002A3B8F" w:rsidRPr="00E91429" w:rsidTr="00CA615B">
        <w:tc>
          <w:tcPr>
            <w:tcW w:w="5387" w:type="dxa"/>
          </w:tcPr>
          <w:p w:rsidR="002A3B8F" w:rsidRPr="00E91429" w:rsidRDefault="002A3B8F" w:rsidP="00CA615B">
            <w:pPr>
              <w:rPr>
                <w:bCs/>
                <w:lang w:val="en-US"/>
              </w:rPr>
            </w:pPr>
            <w:r w:rsidRPr="00E91429">
              <w:rPr>
                <w:lang w:val="en-US"/>
              </w:rPr>
              <w:t>Income after income taxes, continuing operations</w:t>
            </w:r>
          </w:p>
        </w:tc>
        <w:tc>
          <w:tcPr>
            <w:tcW w:w="1254" w:type="dxa"/>
            <w:shd w:val="clear" w:color="auto" w:fill="C0C0C0"/>
          </w:tcPr>
          <w:p w:rsidR="002A3B8F" w:rsidRPr="00E91429" w:rsidRDefault="002A3B8F" w:rsidP="00CA615B">
            <w:pPr>
              <w:jc w:val="right"/>
              <w:rPr>
                <w:bCs/>
                <w:lang w:val="en-US"/>
              </w:rPr>
            </w:pPr>
            <w:r w:rsidRPr="00E91429">
              <w:rPr>
                <w:lang w:val="en-US"/>
              </w:rPr>
              <w:t>266</w:t>
            </w:r>
          </w:p>
        </w:tc>
        <w:tc>
          <w:tcPr>
            <w:tcW w:w="1156" w:type="dxa"/>
          </w:tcPr>
          <w:p w:rsidR="002A3B8F" w:rsidRPr="00E91429" w:rsidRDefault="002A3B8F" w:rsidP="00CA615B">
            <w:pPr>
              <w:ind w:right="120"/>
              <w:jc w:val="right"/>
              <w:rPr>
                <w:bCs/>
                <w:lang w:val="en-US"/>
              </w:rPr>
            </w:pPr>
            <w:r w:rsidRPr="00E91429">
              <w:rPr>
                <w:lang w:val="en-US"/>
              </w:rPr>
              <w:t>246</w:t>
            </w:r>
          </w:p>
        </w:tc>
        <w:tc>
          <w:tcPr>
            <w:tcW w:w="1383" w:type="dxa"/>
          </w:tcPr>
          <w:p w:rsidR="002A3B8F" w:rsidRPr="00E91429" w:rsidRDefault="002A3B8F" w:rsidP="00CA615B">
            <w:pPr>
              <w:jc w:val="right"/>
              <w:rPr>
                <w:bCs/>
                <w:lang w:val="en-US"/>
              </w:rPr>
            </w:pPr>
            <w:r w:rsidRPr="00E91429">
              <w:rPr>
                <w:lang w:val="en-US"/>
              </w:rPr>
              <w:t>8</w:t>
            </w:r>
          </w:p>
        </w:tc>
      </w:tr>
      <w:tr w:rsidR="002A3B8F" w:rsidRPr="00E91429" w:rsidTr="00CA615B">
        <w:tc>
          <w:tcPr>
            <w:tcW w:w="5387" w:type="dxa"/>
          </w:tcPr>
          <w:p w:rsidR="002A3B8F" w:rsidRPr="00E91429" w:rsidRDefault="002A3B8F" w:rsidP="00CA615B">
            <w:pPr>
              <w:rPr>
                <w:bCs/>
                <w:lang w:val="en-US"/>
              </w:rPr>
            </w:pPr>
            <w:r w:rsidRPr="00E91429">
              <w:rPr>
                <w:lang w:val="en-US"/>
              </w:rPr>
              <w:t>Income after income taxes, discontinued operations</w:t>
            </w:r>
          </w:p>
        </w:tc>
        <w:tc>
          <w:tcPr>
            <w:tcW w:w="1254" w:type="dxa"/>
            <w:shd w:val="clear" w:color="auto" w:fill="C0C0C0"/>
          </w:tcPr>
          <w:p w:rsidR="002A3B8F" w:rsidRPr="00E91429" w:rsidRDefault="002A3B8F" w:rsidP="00CA615B">
            <w:pPr>
              <w:jc w:val="right"/>
              <w:rPr>
                <w:bCs/>
                <w:lang w:val="en-US"/>
              </w:rPr>
            </w:pPr>
            <w:r w:rsidRPr="00E91429">
              <w:rPr>
                <w:lang w:val="en-US"/>
              </w:rPr>
              <w:t>20</w:t>
            </w:r>
          </w:p>
        </w:tc>
        <w:tc>
          <w:tcPr>
            <w:tcW w:w="1156" w:type="dxa"/>
          </w:tcPr>
          <w:p w:rsidR="002A3B8F" w:rsidRPr="00E91429" w:rsidRDefault="002A3B8F" w:rsidP="00CA615B">
            <w:pPr>
              <w:ind w:right="120"/>
              <w:jc w:val="right"/>
              <w:rPr>
                <w:bCs/>
                <w:lang w:val="en-US"/>
              </w:rPr>
            </w:pPr>
            <w:r w:rsidRPr="00E91429">
              <w:rPr>
                <w:lang w:val="en-US"/>
              </w:rPr>
              <w:t>20</w:t>
            </w:r>
          </w:p>
        </w:tc>
        <w:tc>
          <w:tcPr>
            <w:tcW w:w="1383" w:type="dxa"/>
          </w:tcPr>
          <w:p w:rsidR="002A3B8F" w:rsidRPr="00E91429" w:rsidRDefault="002A3B8F" w:rsidP="00CA615B">
            <w:pPr>
              <w:jc w:val="right"/>
              <w:rPr>
                <w:bCs/>
                <w:lang w:val="en-US"/>
              </w:rPr>
            </w:pPr>
          </w:p>
        </w:tc>
      </w:tr>
      <w:tr w:rsidR="002A3B8F" w:rsidRPr="00E91429" w:rsidTr="00CA615B">
        <w:tc>
          <w:tcPr>
            <w:tcW w:w="5387" w:type="dxa"/>
          </w:tcPr>
          <w:p w:rsidR="002A3B8F" w:rsidRPr="00E91429" w:rsidRDefault="002A3B8F" w:rsidP="00CA615B">
            <w:pPr>
              <w:jc w:val="both"/>
              <w:rPr>
                <w:bCs/>
                <w:lang w:val="en-US"/>
              </w:rPr>
            </w:pPr>
            <w:r w:rsidRPr="00E91429">
              <w:rPr>
                <w:lang w:val="en-US"/>
              </w:rPr>
              <w:t>= Income after taxes</w:t>
            </w:r>
          </w:p>
        </w:tc>
        <w:tc>
          <w:tcPr>
            <w:tcW w:w="1254" w:type="dxa"/>
            <w:shd w:val="clear" w:color="auto" w:fill="C0C0C0"/>
          </w:tcPr>
          <w:p w:rsidR="002A3B8F" w:rsidRPr="00E91429" w:rsidRDefault="002A3B8F" w:rsidP="00CA615B">
            <w:pPr>
              <w:jc w:val="right"/>
              <w:rPr>
                <w:bCs/>
                <w:lang w:val="en-US"/>
              </w:rPr>
            </w:pPr>
            <w:r w:rsidRPr="00E91429">
              <w:rPr>
                <w:lang w:val="en-US"/>
              </w:rPr>
              <w:t>286</w:t>
            </w:r>
          </w:p>
        </w:tc>
        <w:tc>
          <w:tcPr>
            <w:tcW w:w="1156" w:type="dxa"/>
          </w:tcPr>
          <w:p w:rsidR="002A3B8F" w:rsidRPr="00E91429" w:rsidRDefault="002A3B8F" w:rsidP="00CA615B">
            <w:pPr>
              <w:ind w:right="120"/>
              <w:jc w:val="right"/>
              <w:rPr>
                <w:bCs/>
                <w:lang w:val="en-US"/>
              </w:rPr>
            </w:pPr>
            <w:r w:rsidRPr="00E91429">
              <w:rPr>
                <w:lang w:val="en-US"/>
              </w:rPr>
              <w:t>266</w:t>
            </w:r>
          </w:p>
        </w:tc>
        <w:tc>
          <w:tcPr>
            <w:tcW w:w="1383" w:type="dxa"/>
          </w:tcPr>
          <w:p w:rsidR="002A3B8F" w:rsidRPr="00E91429" w:rsidRDefault="002A3B8F" w:rsidP="00CA615B">
            <w:pPr>
              <w:jc w:val="right"/>
              <w:rPr>
                <w:bCs/>
                <w:lang w:val="en-US"/>
              </w:rPr>
            </w:pPr>
            <w:r w:rsidRPr="00E91429">
              <w:rPr>
                <w:lang w:val="en-US"/>
              </w:rPr>
              <w:t>8</w:t>
            </w:r>
          </w:p>
        </w:tc>
      </w:tr>
      <w:tr w:rsidR="002A3B8F" w:rsidRPr="00E91429" w:rsidTr="00CA615B">
        <w:tc>
          <w:tcPr>
            <w:tcW w:w="5387" w:type="dxa"/>
          </w:tcPr>
          <w:p w:rsidR="002A3B8F" w:rsidRPr="00E91429" w:rsidRDefault="002A3B8F" w:rsidP="00CA615B">
            <w:pPr>
              <w:jc w:val="both"/>
              <w:rPr>
                <w:bCs/>
                <w:lang w:val="en-US"/>
              </w:rPr>
            </w:pPr>
            <w:r w:rsidRPr="00E91429">
              <w:rPr>
                <w:lang w:val="en-US"/>
              </w:rPr>
              <w:t>Equity attributable to non-controlling interests</w:t>
            </w:r>
          </w:p>
        </w:tc>
        <w:tc>
          <w:tcPr>
            <w:tcW w:w="1254" w:type="dxa"/>
            <w:shd w:val="clear" w:color="auto" w:fill="C0C0C0"/>
          </w:tcPr>
          <w:p w:rsidR="002A3B8F" w:rsidRPr="00E91429" w:rsidRDefault="002A3B8F" w:rsidP="00CA615B">
            <w:pPr>
              <w:jc w:val="right"/>
              <w:rPr>
                <w:bCs/>
                <w:lang w:val="en-US"/>
              </w:rPr>
            </w:pPr>
            <w:r w:rsidRPr="00E91429">
              <w:rPr>
                <w:lang w:val="en-US"/>
              </w:rPr>
              <w:t>3</w:t>
            </w:r>
          </w:p>
        </w:tc>
        <w:tc>
          <w:tcPr>
            <w:tcW w:w="1156" w:type="dxa"/>
          </w:tcPr>
          <w:p w:rsidR="002A3B8F" w:rsidRPr="00E91429" w:rsidRDefault="002A3B8F" w:rsidP="00CA615B">
            <w:pPr>
              <w:ind w:right="120"/>
              <w:jc w:val="right"/>
              <w:rPr>
                <w:bCs/>
                <w:lang w:val="en-US"/>
              </w:rPr>
            </w:pPr>
            <w:r w:rsidRPr="00E91429">
              <w:rPr>
                <w:lang w:val="en-US"/>
              </w:rPr>
              <w:t>3</w:t>
            </w:r>
          </w:p>
        </w:tc>
        <w:tc>
          <w:tcPr>
            <w:tcW w:w="1383" w:type="dxa"/>
          </w:tcPr>
          <w:p w:rsidR="002A3B8F" w:rsidRPr="00E91429" w:rsidRDefault="002A3B8F" w:rsidP="00CA615B">
            <w:pPr>
              <w:jc w:val="right"/>
              <w:rPr>
                <w:bCs/>
                <w:lang w:val="en-US"/>
              </w:rPr>
            </w:pPr>
          </w:p>
        </w:tc>
      </w:tr>
      <w:tr w:rsidR="002A3B8F" w:rsidRPr="00E91429" w:rsidTr="00CA615B">
        <w:tc>
          <w:tcPr>
            <w:tcW w:w="5387" w:type="dxa"/>
          </w:tcPr>
          <w:p w:rsidR="002A3B8F" w:rsidRPr="00E91429" w:rsidRDefault="002A3B8F" w:rsidP="00CA615B">
            <w:pPr>
              <w:jc w:val="both"/>
              <w:rPr>
                <w:bCs/>
                <w:lang w:val="en-US"/>
              </w:rPr>
            </w:pPr>
            <w:r w:rsidRPr="00E91429">
              <w:rPr>
                <w:lang w:val="en-US"/>
              </w:rPr>
              <w:t>= Net income</w:t>
            </w:r>
          </w:p>
        </w:tc>
        <w:tc>
          <w:tcPr>
            <w:tcW w:w="1254" w:type="dxa"/>
            <w:shd w:val="clear" w:color="auto" w:fill="C0C0C0"/>
          </w:tcPr>
          <w:p w:rsidR="002A3B8F" w:rsidRPr="00E91429" w:rsidRDefault="002A3B8F" w:rsidP="00CA615B">
            <w:pPr>
              <w:jc w:val="right"/>
              <w:rPr>
                <w:bCs/>
                <w:lang w:val="en-US"/>
              </w:rPr>
            </w:pPr>
            <w:r w:rsidRPr="00E91429">
              <w:rPr>
                <w:lang w:val="en-US"/>
              </w:rPr>
              <w:t>289</w:t>
            </w:r>
          </w:p>
        </w:tc>
        <w:tc>
          <w:tcPr>
            <w:tcW w:w="1156" w:type="dxa"/>
          </w:tcPr>
          <w:p w:rsidR="002A3B8F" w:rsidRPr="00E91429" w:rsidRDefault="002A3B8F" w:rsidP="00CA615B">
            <w:pPr>
              <w:ind w:right="120"/>
              <w:jc w:val="right"/>
              <w:rPr>
                <w:bCs/>
                <w:lang w:val="en-US"/>
              </w:rPr>
            </w:pPr>
            <w:r w:rsidRPr="00E91429">
              <w:rPr>
                <w:lang w:val="en-US"/>
              </w:rPr>
              <w:t>269</w:t>
            </w:r>
          </w:p>
        </w:tc>
        <w:tc>
          <w:tcPr>
            <w:tcW w:w="1383" w:type="dxa"/>
          </w:tcPr>
          <w:p w:rsidR="002A3B8F" w:rsidRPr="00E91429" w:rsidRDefault="002A3B8F" w:rsidP="00CA615B">
            <w:pPr>
              <w:jc w:val="right"/>
              <w:rPr>
                <w:bCs/>
                <w:lang w:val="en-US"/>
              </w:rPr>
            </w:pPr>
            <w:r w:rsidRPr="00E91429">
              <w:rPr>
                <w:lang w:val="en-US"/>
              </w:rPr>
              <w:t>7</w:t>
            </w:r>
          </w:p>
        </w:tc>
      </w:tr>
      <w:tr w:rsidR="002A3B8F" w:rsidRPr="00E91429" w:rsidTr="00CA615B">
        <w:tc>
          <w:tcPr>
            <w:tcW w:w="5387" w:type="dxa"/>
          </w:tcPr>
          <w:p w:rsidR="002A3B8F" w:rsidRPr="00E91429" w:rsidRDefault="002A3B8F" w:rsidP="00CA615B">
            <w:pPr>
              <w:jc w:val="both"/>
              <w:rPr>
                <w:bCs/>
                <w:lang w:val="en-US"/>
              </w:rPr>
            </w:pPr>
            <w:r w:rsidRPr="00E91429">
              <w:rPr>
                <w:lang w:val="en-US"/>
              </w:rPr>
              <w:t>Adjusted net income</w:t>
            </w:r>
          </w:p>
        </w:tc>
        <w:tc>
          <w:tcPr>
            <w:tcW w:w="1254" w:type="dxa"/>
            <w:shd w:val="clear" w:color="auto" w:fill="C0C0C0"/>
          </w:tcPr>
          <w:p w:rsidR="002A3B8F" w:rsidRPr="00E91429" w:rsidRDefault="002A3B8F" w:rsidP="00CA615B">
            <w:pPr>
              <w:jc w:val="right"/>
              <w:rPr>
                <w:bCs/>
                <w:lang w:val="en-US"/>
              </w:rPr>
            </w:pPr>
            <w:r w:rsidRPr="00E91429">
              <w:rPr>
                <w:lang w:val="en-US"/>
              </w:rPr>
              <w:t>294</w:t>
            </w:r>
          </w:p>
        </w:tc>
        <w:tc>
          <w:tcPr>
            <w:tcW w:w="1156" w:type="dxa"/>
          </w:tcPr>
          <w:p w:rsidR="002A3B8F" w:rsidRPr="00E91429" w:rsidRDefault="002A3B8F" w:rsidP="00CA615B">
            <w:pPr>
              <w:ind w:right="120"/>
              <w:jc w:val="right"/>
              <w:rPr>
                <w:bCs/>
                <w:lang w:val="en-US"/>
              </w:rPr>
            </w:pPr>
            <w:r w:rsidRPr="00E91429">
              <w:rPr>
                <w:lang w:val="en-US"/>
              </w:rPr>
              <w:t>317</w:t>
            </w:r>
          </w:p>
        </w:tc>
        <w:tc>
          <w:tcPr>
            <w:tcW w:w="1383" w:type="dxa"/>
          </w:tcPr>
          <w:p w:rsidR="002A3B8F" w:rsidRPr="00E91429" w:rsidRDefault="002A3B8F" w:rsidP="00CA615B">
            <w:pPr>
              <w:jc w:val="right"/>
              <w:rPr>
                <w:bCs/>
                <w:lang w:val="en-US"/>
              </w:rPr>
            </w:pPr>
            <w:r w:rsidRPr="00E91429">
              <w:rPr>
                <w:lang w:val="en-US"/>
              </w:rPr>
              <w:t>-7</w:t>
            </w:r>
          </w:p>
        </w:tc>
      </w:tr>
    </w:tbl>
    <w:p w:rsidR="002A3B8F" w:rsidRPr="00E91429" w:rsidRDefault="002A3B8F" w:rsidP="008D5580">
      <w:pPr>
        <w:rPr>
          <w:bCs/>
          <w:lang w:val="en-US"/>
        </w:rPr>
      </w:pPr>
      <w:r w:rsidRPr="00E91429">
        <w:rPr>
          <w:lang w:val="en-US"/>
        </w:rPr>
        <w:t>Prior-year figures restated</w:t>
      </w:r>
    </w:p>
    <w:p w:rsidR="002A3B8F" w:rsidRPr="00E91429" w:rsidRDefault="002A3B8F" w:rsidP="008D5580">
      <w:pPr>
        <w:rPr>
          <w:bCs/>
          <w:lang w:val="en-US"/>
        </w:rPr>
      </w:pPr>
    </w:p>
    <w:p w:rsidR="002A3B8F" w:rsidRPr="00E91429" w:rsidRDefault="002A3B8F" w:rsidP="008D5580">
      <w:pPr>
        <w:spacing w:after="120"/>
        <w:rPr>
          <w:b/>
          <w:bCs/>
          <w:lang w:val="en-US"/>
        </w:rPr>
      </w:pPr>
      <w:r w:rsidRPr="00E91429">
        <w:rPr>
          <w:b/>
          <w:lang w:val="en-US"/>
        </w:rPr>
        <w:t>Segment performance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1089"/>
        <w:gridCol w:w="1134"/>
        <w:gridCol w:w="992"/>
        <w:gridCol w:w="1134"/>
        <w:gridCol w:w="1134"/>
        <w:gridCol w:w="1134"/>
      </w:tblGrid>
      <w:tr w:rsidR="002A3B8F" w:rsidRPr="00E91429" w:rsidTr="008D5580">
        <w:tc>
          <w:tcPr>
            <w:tcW w:w="3022" w:type="dxa"/>
            <w:vMerge w:val="restart"/>
          </w:tcPr>
          <w:p w:rsidR="002A3B8F" w:rsidRPr="00E91429" w:rsidRDefault="002A3B8F" w:rsidP="00CA615B">
            <w:pPr>
              <w:rPr>
                <w:bCs/>
                <w:lang w:val="en-US"/>
              </w:rPr>
            </w:pPr>
          </w:p>
        </w:tc>
        <w:tc>
          <w:tcPr>
            <w:tcW w:w="3215" w:type="dxa"/>
            <w:gridSpan w:val="3"/>
          </w:tcPr>
          <w:p w:rsidR="002A3B8F" w:rsidRPr="00E91429" w:rsidRDefault="002A3B8F" w:rsidP="00CA615B">
            <w:pPr>
              <w:jc w:val="center"/>
              <w:rPr>
                <w:b/>
                <w:bCs/>
                <w:lang w:val="en-US"/>
              </w:rPr>
            </w:pPr>
            <w:r w:rsidRPr="00E91429">
              <w:rPr>
                <w:b/>
                <w:lang w:val="en-US"/>
              </w:rPr>
              <w:t>Sales</w:t>
            </w:r>
          </w:p>
        </w:tc>
        <w:tc>
          <w:tcPr>
            <w:tcW w:w="3402" w:type="dxa"/>
            <w:gridSpan w:val="3"/>
          </w:tcPr>
          <w:p w:rsidR="002A3B8F" w:rsidRPr="00E91429" w:rsidRDefault="002A3B8F" w:rsidP="00CA615B">
            <w:pPr>
              <w:jc w:val="center"/>
              <w:rPr>
                <w:b/>
                <w:bCs/>
                <w:lang w:val="en-US"/>
              </w:rPr>
            </w:pPr>
            <w:r w:rsidRPr="00E91429">
              <w:rPr>
                <w:b/>
                <w:lang w:val="en-US"/>
              </w:rPr>
              <w:t>Adjusted EBITDA</w:t>
            </w:r>
          </w:p>
        </w:tc>
      </w:tr>
      <w:tr w:rsidR="002A3B8F" w:rsidRPr="00E91429" w:rsidTr="008D5580">
        <w:tc>
          <w:tcPr>
            <w:tcW w:w="3022" w:type="dxa"/>
            <w:vMerge/>
          </w:tcPr>
          <w:p w:rsidR="002A3B8F" w:rsidRPr="00E91429" w:rsidRDefault="002A3B8F" w:rsidP="00CA615B">
            <w:pPr>
              <w:rPr>
                <w:bCs/>
                <w:lang w:val="en-US"/>
              </w:rPr>
            </w:pPr>
          </w:p>
        </w:tc>
        <w:tc>
          <w:tcPr>
            <w:tcW w:w="1089" w:type="dxa"/>
            <w:shd w:val="clear" w:color="auto" w:fill="C0C0C0"/>
          </w:tcPr>
          <w:p w:rsidR="002A3B8F" w:rsidRPr="00E91429" w:rsidRDefault="002A3B8F" w:rsidP="00CA615B">
            <w:pPr>
              <w:jc w:val="center"/>
              <w:rPr>
                <w:b/>
                <w:bCs/>
                <w:sz w:val="16"/>
                <w:szCs w:val="16"/>
                <w:lang w:val="en-US"/>
              </w:rPr>
            </w:pPr>
            <w:r w:rsidRPr="00E91429">
              <w:rPr>
                <w:b/>
                <w:sz w:val="16"/>
                <w:lang w:val="en-US"/>
              </w:rPr>
              <w:t>Q1 2013</w:t>
            </w:r>
            <w:r w:rsidRPr="00E91429">
              <w:rPr>
                <w:lang w:val="en-US"/>
              </w:rPr>
              <w:br/>
            </w:r>
            <w:r w:rsidRPr="00E91429">
              <w:rPr>
                <w:b/>
                <w:sz w:val="16"/>
                <w:lang w:val="en-US"/>
              </w:rPr>
              <w:t>in € million</w:t>
            </w:r>
          </w:p>
        </w:tc>
        <w:tc>
          <w:tcPr>
            <w:tcW w:w="1134" w:type="dxa"/>
          </w:tcPr>
          <w:p w:rsidR="002A3B8F" w:rsidRPr="00E91429" w:rsidRDefault="002A3B8F" w:rsidP="00CA615B">
            <w:pPr>
              <w:jc w:val="center"/>
              <w:rPr>
                <w:b/>
                <w:bCs/>
                <w:sz w:val="16"/>
                <w:szCs w:val="16"/>
                <w:lang w:val="en-US"/>
              </w:rPr>
            </w:pPr>
            <w:r w:rsidRPr="00E91429">
              <w:rPr>
                <w:b/>
                <w:sz w:val="16"/>
                <w:lang w:val="en-US"/>
              </w:rPr>
              <w:t>Q1 2012</w:t>
            </w:r>
            <w:r w:rsidRPr="00E91429">
              <w:rPr>
                <w:lang w:val="en-US"/>
              </w:rPr>
              <w:br/>
            </w:r>
            <w:r w:rsidRPr="00E91429">
              <w:rPr>
                <w:b/>
                <w:sz w:val="16"/>
                <w:lang w:val="en-US"/>
              </w:rPr>
              <w:t>in € million</w:t>
            </w:r>
          </w:p>
        </w:tc>
        <w:tc>
          <w:tcPr>
            <w:tcW w:w="992" w:type="dxa"/>
          </w:tcPr>
          <w:p w:rsidR="002A3B8F" w:rsidRPr="00E91429" w:rsidRDefault="002A3B8F" w:rsidP="00CA615B">
            <w:pPr>
              <w:jc w:val="center"/>
              <w:rPr>
                <w:b/>
                <w:bCs/>
                <w:sz w:val="16"/>
                <w:szCs w:val="16"/>
                <w:lang w:val="en-US"/>
              </w:rPr>
            </w:pPr>
            <w:r w:rsidRPr="00E91429">
              <w:rPr>
                <w:b/>
                <w:sz w:val="16"/>
                <w:lang w:val="en-US"/>
              </w:rPr>
              <w:t xml:space="preserve">Change </w:t>
            </w:r>
            <w:r w:rsidRPr="00E91429">
              <w:rPr>
                <w:lang w:val="en-US"/>
              </w:rPr>
              <w:br/>
            </w:r>
            <w:r w:rsidRPr="00E91429">
              <w:rPr>
                <w:b/>
                <w:sz w:val="16"/>
                <w:lang w:val="en-US"/>
              </w:rPr>
              <w:t>in %</w:t>
            </w:r>
          </w:p>
        </w:tc>
        <w:tc>
          <w:tcPr>
            <w:tcW w:w="1134" w:type="dxa"/>
            <w:shd w:val="clear" w:color="auto" w:fill="C0C0C0"/>
          </w:tcPr>
          <w:p w:rsidR="002A3B8F" w:rsidRPr="00E91429" w:rsidRDefault="002A3B8F" w:rsidP="00CA615B">
            <w:pPr>
              <w:jc w:val="center"/>
              <w:rPr>
                <w:b/>
                <w:bCs/>
                <w:sz w:val="16"/>
                <w:szCs w:val="16"/>
                <w:lang w:val="en-US"/>
              </w:rPr>
            </w:pPr>
            <w:r w:rsidRPr="00E91429">
              <w:rPr>
                <w:b/>
                <w:sz w:val="16"/>
                <w:lang w:val="en-US"/>
              </w:rPr>
              <w:t>Q1 2013</w:t>
            </w:r>
            <w:r w:rsidRPr="00E91429">
              <w:rPr>
                <w:lang w:val="en-US"/>
              </w:rPr>
              <w:br/>
            </w:r>
            <w:r w:rsidRPr="00E91429">
              <w:rPr>
                <w:b/>
                <w:sz w:val="16"/>
                <w:lang w:val="en-US"/>
              </w:rPr>
              <w:t>in € million</w:t>
            </w:r>
          </w:p>
        </w:tc>
        <w:tc>
          <w:tcPr>
            <w:tcW w:w="1134" w:type="dxa"/>
          </w:tcPr>
          <w:p w:rsidR="002A3B8F" w:rsidRPr="00E91429" w:rsidRDefault="002A3B8F" w:rsidP="00CA615B">
            <w:pPr>
              <w:jc w:val="center"/>
              <w:rPr>
                <w:b/>
                <w:bCs/>
                <w:sz w:val="16"/>
                <w:szCs w:val="16"/>
                <w:lang w:val="en-US"/>
              </w:rPr>
            </w:pPr>
            <w:r w:rsidRPr="00E91429">
              <w:rPr>
                <w:b/>
                <w:sz w:val="16"/>
                <w:lang w:val="en-US"/>
              </w:rPr>
              <w:t>Q1 2012</w:t>
            </w:r>
            <w:r w:rsidRPr="00E91429">
              <w:rPr>
                <w:lang w:val="en-US"/>
              </w:rPr>
              <w:br/>
            </w:r>
            <w:r w:rsidRPr="00E91429">
              <w:rPr>
                <w:b/>
                <w:sz w:val="16"/>
                <w:lang w:val="en-US"/>
              </w:rPr>
              <w:t>in € million</w:t>
            </w:r>
          </w:p>
        </w:tc>
        <w:tc>
          <w:tcPr>
            <w:tcW w:w="1134" w:type="dxa"/>
          </w:tcPr>
          <w:p w:rsidR="002A3B8F" w:rsidRPr="00E91429" w:rsidRDefault="002A3B8F" w:rsidP="00CA615B">
            <w:pPr>
              <w:jc w:val="center"/>
              <w:rPr>
                <w:b/>
                <w:bCs/>
                <w:sz w:val="16"/>
                <w:szCs w:val="16"/>
                <w:lang w:val="en-US"/>
              </w:rPr>
            </w:pPr>
            <w:r w:rsidRPr="00E91429">
              <w:rPr>
                <w:b/>
                <w:sz w:val="16"/>
                <w:lang w:val="en-US"/>
              </w:rPr>
              <w:t>Change in %</w:t>
            </w:r>
          </w:p>
        </w:tc>
      </w:tr>
      <w:tr w:rsidR="002A3B8F" w:rsidRPr="00E91429" w:rsidTr="008D5580">
        <w:tc>
          <w:tcPr>
            <w:tcW w:w="3022" w:type="dxa"/>
          </w:tcPr>
          <w:p w:rsidR="002A3B8F" w:rsidRPr="00E91429" w:rsidRDefault="002A3B8F" w:rsidP="00CA615B">
            <w:pPr>
              <w:rPr>
                <w:bCs/>
                <w:lang w:val="en-US"/>
              </w:rPr>
            </w:pPr>
            <w:r w:rsidRPr="00E91429">
              <w:rPr>
                <w:lang w:val="en-US"/>
              </w:rPr>
              <w:t>Consumer, Health &amp; Nutrition</w:t>
            </w:r>
          </w:p>
        </w:tc>
        <w:tc>
          <w:tcPr>
            <w:tcW w:w="1089" w:type="dxa"/>
            <w:shd w:val="clear" w:color="auto" w:fill="C0C0C0"/>
            <w:vAlign w:val="center"/>
          </w:tcPr>
          <w:p w:rsidR="002A3B8F" w:rsidRPr="00E91429" w:rsidRDefault="002A3B8F" w:rsidP="00CA615B">
            <w:pPr>
              <w:jc w:val="right"/>
              <w:rPr>
                <w:bCs/>
                <w:lang w:val="en-US"/>
              </w:rPr>
            </w:pPr>
            <w:r w:rsidRPr="00E91429">
              <w:rPr>
                <w:lang w:val="en-US"/>
              </w:rPr>
              <w:t>1,035</w:t>
            </w:r>
          </w:p>
        </w:tc>
        <w:tc>
          <w:tcPr>
            <w:tcW w:w="1134" w:type="dxa"/>
            <w:vAlign w:val="center"/>
          </w:tcPr>
          <w:p w:rsidR="002A3B8F" w:rsidRPr="00E91429" w:rsidRDefault="002A3B8F" w:rsidP="00CA615B">
            <w:pPr>
              <w:jc w:val="right"/>
              <w:rPr>
                <w:bCs/>
                <w:lang w:val="en-US"/>
              </w:rPr>
            </w:pPr>
            <w:r w:rsidRPr="00E91429">
              <w:rPr>
                <w:lang w:val="en-US"/>
              </w:rPr>
              <w:t>1,055</w:t>
            </w:r>
          </w:p>
        </w:tc>
        <w:tc>
          <w:tcPr>
            <w:tcW w:w="992" w:type="dxa"/>
            <w:vAlign w:val="center"/>
          </w:tcPr>
          <w:p w:rsidR="002A3B8F" w:rsidRPr="00E91429" w:rsidRDefault="002A3B8F" w:rsidP="00CA615B">
            <w:pPr>
              <w:jc w:val="right"/>
              <w:rPr>
                <w:bCs/>
                <w:lang w:val="en-US"/>
              </w:rPr>
            </w:pPr>
            <w:r w:rsidRPr="00E91429">
              <w:rPr>
                <w:lang w:val="en-US"/>
              </w:rPr>
              <w:t>-2</w:t>
            </w:r>
          </w:p>
        </w:tc>
        <w:tc>
          <w:tcPr>
            <w:tcW w:w="1134" w:type="dxa"/>
            <w:shd w:val="clear" w:color="auto" w:fill="C0C0C0"/>
            <w:vAlign w:val="center"/>
          </w:tcPr>
          <w:p w:rsidR="002A3B8F" w:rsidRPr="00E91429" w:rsidRDefault="002A3B8F" w:rsidP="00CA615B">
            <w:pPr>
              <w:jc w:val="right"/>
              <w:rPr>
                <w:bCs/>
                <w:lang w:val="en-US"/>
              </w:rPr>
            </w:pPr>
            <w:r w:rsidRPr="00E91429">
              <w:rPr>
                <w:lang w:val="en-US"/>
              </w:rPr>
              <w:t>274</w:t>
            </w:r>
          </w:p>
        </w:tc>
        <w:tc>
          <w:tcPr>
            <w:tcW w:w="1134" w:type="dxa"/>
            <w:vAlign w:val="center"/>
          </w:tcPr>
          <w:p w:rsidR="002A3B8F" w:rsidRPr="00E91429" w:rsidRDefault="002A3B8F" w:rsidP="00CA615B">
            <w:pPr>
              <w:jc w:val="right"/>
              <w:rPr>
                <w:bCs/>
                <w:lang w:val="en-US"/>
              </w:rPr>
            </w:pPr>
            <w:r w:rsidRPr="00E91429">
              <w:rPr>
                <w:lang w:val="en-US"/>
              </w:rPr>
              <w:t>287</w:t>
            </w:r>
          </w:p>
        </w:tc>
        <w:tc>
          <w:tcPr>
            <w:tcW w:w="1134" w:type="dxa"/>
            <w:vAlign w:val="center"/>
          </w:tcPr>
          <w:p w:rsidR="002A3B8F" w:rsidRPr="00E91429" w:rsidRDefault="002A3B8F" w:rsidP="00CA615B">
            <w:pPr>
              <w:jc w:val="right"/>
              <w:rPr>
                <w:bCs/>
                <w:lang w:val="en-US"/>
              </w:rPr>
            </w:pPr>
            <w:r w:rsidRPr="00E91429">
              <w:rPr>
                <w:lang w:val="en-US"/>
              </w:rPr>
              <w:t>-5</w:t>
            </w:r>
          </w:p>
        </w:tc>
      </w:tr>
      <w:tr w:rsidR="002A3B8F" w:rsidRPr="00E91429" w:rsidTr="008D5580">
        <w:tc>
          <w:tcPr>
            <w:tcW w:w="3022" w:type="dxa"/>
          </w:tcPr>
          <w:p w:rsidR="002A3B8F" w:rsidRPr="00E91429" w:rsidRDefault="002A3B8F" w:rsidP="00CA615B">
            <w:pPr>
              <w:rPr>
                <w:bCs/>
                <w:lang w:val="en-US"/>
              </w:rPr>
            </w:pPr>
            <w:r w:rsidRPr="00E91429">
              <w:rPr>
                <w:lang w:val="en-US"/>
              </w:rPr>
              <w:t>Resource Efficiency</w:t>
            </w:r>
          </w:p>
        </w:tc>
        <w:tc>
          <w:tcPr>
            <w:tcW w:w="1089" w:type="dxa"/>
            <w:shd w:val="clear" w:color="auto" w:fill="C0C0C0"/>
            <w:vAlign w:val="center"/>
          </w:tcPr>
          <w:p w:rsidR="002A3B8F" w:rsidRPr="00E91429" w:rsidRDefault="002A3B8F" w:rsidP="00CA615B">
            <w:pPr>
              <w:jc w:val="right"/>
              <w:rPr>
                <w:bCs/>
                <w:lang w:val="en-US"/>
              </w:rPr>
            </w:pPr>
            <w:r w:rsidRPr="00E91429">
              <w:rPr>
                <w:lang w:val="en-US"/>
              </w:rPr>
              <w:t>771</w:t>
            </w:r>
          </w:p>
        </w:tc>
        <w:tc>
          <w:tcPr>
            <w:tcW w:w="1134" w:type="dxa"/>
            <w:vAlign w:val="center"/>
          </w:tcPr>
          <w:p w:rsidR="002A3B8F" w:rsidRPr="00E91429" w:rsidRDefault="002A3B8F" w:rsidP="00CA615B">
            <w:pPr>
              <w:jc w:val="right"/>
              <w:rPr>
                <w:bCs/>
                <w:lang w:val="en-US"/>
              </w:rPr>
            </w:pPr>
            <w:r w:rsidRPr="00E91429">
              <w:rPr>
                <w:lang w:val="en-US"/>
              </w:rPr>
              <w:t>818</w:t>
            </w:r>
          </w:p>
        </w:tc>
        <w:tc>
          <w:tcPr>
            <w:tcW w:w="992" w:type="dxa"/>
            <w:vAlign w:val="center"/>
          </w:tcPr>
          <w:p w:rsidR="002A3B8F" w:rsidRPr="00E91429" w:rsidRDefault="002A3B8F" w:rsidP="00CA615B">
            <w:pPr>
              <w:jc w:val="right"/>
              <w:rPr>
                <w:bCs/>
                <w:lang w:val="en-US"/>
              </w:rPr>
            </w:pPr>
            <w:r w:rsidRPr="00E91429">
              <w:rPr>
                <w:lang w:val="en-US"/>
              </w:rPr>
              <w:t>-6</w:t>
            </w:r>
          </w:p>
        </w:tc>
        <w:tc>
          <w:tcPr>
            <w:tcW w:w="1134" w:type="dxa"/>
            <w:shd w:val="clear" w:color="auto" w:fill="C0C0C0"/>
            <w:vAlign w:val="center"/>
          </w:tcPr>
          <w:p w:rsidR="002A3B8F" w:rsidRPr="00E91429" w:rsidRDefault="002A3B8F" w:rsidP="00CA615B">
            <w:pPr>
              <w:jc w:val="right"/>
              <w:rPr>
                <w:bCs/>
                <w:lang w:val="en-US"/>
              </w:rPr>
            </w:pPr>
            <w:r w:rsidRPr="00E91429">
              <w:rPr>
                <w:lang w:val="en-US"/>
              </w:rPr>
              <w:t>172</w:t>
            </w:r>
          </w:p>
        </w:tc>
        <w:tc>
          <w:tcPr>
            <w:tcW w:w="1134" w:type="dxa"/>
            <w:vAlign w:val="center"/>
          </w:tcPr>
          <w:p w:rsidR="002A3B8F" w:rsidRPr="00E91429" w:rsidRDefault="002A3B8F" w:rsidP="00CA615B">
            <w:pPr>
              <w:jc w:val="right"/>
              <w:rPr>
                <w:bCs/>
                <w:lang w:val="en-US"/>
              </w:rPr>
            </w:pPr>
            <w:r w:rsidRPr="00E91429">
              <w:rPr>
                <w:lang w:val="en-US"/>
              </w:rPr>
              <w:t>168</w:t>
            </w:r>
          </w:p>
        </w:tc>
        <w:tc>
          <w:tcPr>
            <w:tcW w:w="1134" w:type="dxa"/>
            <w:vAlign w:val="center"/>
          </w:tcPr>
          <w:p w:rsidR="002A3B8F" w:rsidRPr="00E91429" w:rsidRDefault="002A3B8F" w:rsidP="00CA615B">
            <w:pPr>
              <w:jc w:val="right"/>
              <w:rPr>
                <w:bCs/>
                <w:lang w:val="en-US"/>
              </w:rPr>
            </w:pPr>
            <w:r w:rsidRPr="00E91429">
              <w:rPr>
                <w:lang w:val="en-US"/>
              </w:rPr>
              <w:t>2</w:t>
            </w:r>
          </w:p>
        </w:tc>
      </w:tr>
      <w:tr w:rsidR="002A3B8F" w:rsidRPr="00E91429" w:rsidTr="008D5580">
        <w:tc>
          <w:tcPr>
            <w:tcW w:w="3022" w:type="dxa"/>
          </w:tcPr>
          <w:p w:rsidR="002A3B8F" w:rsidRPr="00E91429" w:rsidRDefault="002A3B8F" w:rsidP="00CA615B">
            <w:pPr>
              <w:rPr>
                <w:bCs/>
                <w:lang w:val="en-US"/>
              </w:rPr>
            </w:pPr>
            <w:r w:rsidRPr="00E91429">
              <w:rPr>
                <w:lang w:val="en-US"/>
              </w:rPr>
              <w:t>Specialty Materials</w:t>
            </w:r>
          </w:p>
        </w:tc>
        <w:tc>
          <w:tcPr>
            <w:tcW w:w="1089" w:type="dxa"/>
            <w:shd w:val="clear" w:color="auto" w:fill="C0C0C0"/>
            <w:vAlign w:val="center"/>
          </w:tcPr>
          <w:p w:rsidR="002A3B8F" w:rsidRPr="00E91429" w:rsidRDefault="002A3B8F" w:rsidP="00CA615B">
            <w:pPr>
              <w:jc w:val="right"/>
              <w:rPr>
                <w:bCs/>
                <w:lang w:val="en-US"/>
              </w:rPr>
            </w:pPr>
            <w:r w:rsidRPr="00E91429">
              <w:rPr>
                <w:lang w:val="en-US"/>
              </w:rPr>
              <w:t>1,170</w:t>
            </w:r>
          </w:p>
        </w:tc>
        <w:tc>
          <w:tcPr>
            <w:tcW w:w="1134" w:type="dxa"/>
            <w:vAlign w:val="center"/>
          </w:tcPr>
          <w:p w:rsidR="002A3B8F" w:rsidRPr="00E91429" w:rsidRDefault="002A3B8F" w:rsidP="00CA615B">
            <w:pPr>
              <w:jc w:val="right"/>
              <w:rPr>
                <w:bCs/>
                <w:lang w:val="en-US"/>
              </w:rPr>
            </w:pPr>
            <w:r w:rsidRPr="00E91429">
              <w:rPr>
                <w:lang w:val="en-US"/>
              </w:rPr>
              <w:t>1,234</w:t>
            </w:r>
          </w:p>
        </w:tc>
        <w:tc>
          <w:tcPr>
            <w:tcW w:w="992" w:type="dxa"/>
            <w:vAlign w:val="center"/>
          </w:tcPr>
          <w:p w:rsidR="002A3B8F" w:rsidRPr="00E91429" w:rsidRDefault="002A3B8F" w:rsidP="00CA615B">
            <w:pPr>
              <w:jc w:val="right"/>
              <w:rPr>
                <w:bCs/>
                <w:lang w:val="en-US"/>
              </w:rPr>
            </w:pPr>
            <w:r w:rsidRPr="00E91429">
              <w:rPr>
                <w:lang w:val="en-US"/>
              </w:rPr>
              <w:t>-5</w:t>
            </w:r>
          </w:p>
        </w:tc>
        <w:tc>
          <w:tcPr>
            <w:tcW w:w="1134" w:type="dxa"/>
            <w:shd w:val="clear" w:color="auto" w:fill="C0C0C0"/>
            <w:vAlign w:val="center"/>
          </w:tcPr>
          <w:p w:rsidR="002A3B8F" w:rsidRPr="00E91429" w:rsidRDefault="002A3B8F" w:rsidP="00CA615B">
            <w:pPr>
              <w:jc w:val="right"/>
              <w:rPr>
                <w:bCs/>
                <w:lang w:val="en-US"/>
              </w:rPr>
            </w:pPr>
            <w:r w:rsidRPr="00E91429">
              <w:rPr>
                <w:lang w:val="en-US"/>
              </w:rPr>
              <w:t>182</w:t>
            </w:r>
          </w:p>
        </w:tc>
        <w:tc>
          <w:tcPr>
            <w:tcW w:w="1134" w:type="dxa"/>
            <w:vAlign w:val="center"/>
          </w:tcPr>
          <w:p w:rsidR="002A3B8F" w:rsidRPr="00E91429" w:rsidRDefault="002A3B8F" w:rsidP="00CA615B">
            <w:pPr>
              <w:jc w:val="right"/>
              <w:rPr>
                <w:bCs/>
                <w:lang w:val="en-US"/>
              </w:rPr>
            </w:pPr>
            <w:r w:rsidRPr="00E91429">
              <w:rPr>
                <w:lang w:val="en-US"/>
              </w:rPr>
              <w:t>215</w:t>
            </w:r>
          </w:p>
        </w:tc>
        <w:tc>
          <w:tcPr>
            <w:tcW w:w="1134" w:type="dxa"/>
            <w:vAlign w:val="center"/>
          </w:tcPr>
          <w:p w:rsidR="002A3B8F" w:rsidRPr="00E91429" w:rsidRDefault="002A3B8F" w:rsidP="00CA615B">
            <w:pPr>
              <w:jc w:val="right"/>
              <w:rPr>
                <w:bCs/>
                <w:lang w:val="en-US"/>
              </w:rPr>
            </w:pPr>
            <w:r w:rsidRPr="00E91429">
              <w:rPr>
                <w:lang w:val="en-US"/>
              </w:rPr>
              <w:t>-15</w:t>
            </w:r>
          </w:p>
        </w:tc>
      </w:tr>
      <w:tr w:rsidR="002A3B8F" w:rsidRPr="00E91429" w:rsidTr="008D5580">
        <w:tc>
          <w:tcPr>
            <w:tcW w:w="3022" w:type="dxa"/>
          </w:tcPr>
          <w:p w:rsidR="002A3B8F" w:rsidRPr="00E91429" w:rsidRDefault="002A3B8F" w:rsidP="00CA615B">
            <w:pPr>
              <w:rPr>
                <w:bCs/>
                <w:lang w:val="en-US"/>
              </w:rPr>
            </w:pPr>
            <w:r w:rsidRPr="00E91429">
              <w:rPr>
                <w:lang w:val="en-US"/>
              </w:rPr>
              <w:t>Services</w:t>
            </w:r>
          </w:p>
        </w:tc>
        <w:tc>
          <w:tcPr>
            <w:tcW w:w="1089" w:type="dxa"/>
            <w:shd w:val="clear" w:color="auto" w:fill="C0C0C0"/>
            <w:vAlign w:val="center"/>
          </w:tcPr>
          <w:p w:rsidR="002A3B8F" w:rsidRPr="00E91429" w:rsidRDefault="002A3B8F" w:rsidP="00CA615B">
            <w:pPr>
              <w:jc w:val="right"/>
              <w:rPr>
                <w:bCs/>
                <w:lang w:val="en-US"/>
              </w:rPr>
            </w:pPr>
            <w:r w:rsidRPr="00E91429">
              <w:rPr>
                <w:lang w:val="en-US"/>
              </w:rPr>
              <w:t>236</w:t>
            </w:r>
          </w:p>
        </w:tc>
        <w:tc>
          <w:tcPr>
            <w:tcW w:w="1134" w:type="dxa"/>
            <w:vAlign w:val="center"/>
          </w:tcPr>
          <w:p w:rsidR="002A3B8F" w:rsidRPr="00E91429" w:rsidRDefault="002A3B8F" w:rsidP="00CA615B">
            <w:pPr>
              <w:jc w:val="right"/>
              <w:rPr>
                <w:bCs/>
                <w:lang w:val="en-US"/>
              </w:rPr>
            </w:pPr>
            <w:r w:rsidRPr="00E91429">
              <w:rPr>
                <w:lang w:val="en-US"/>
              </w:rPr>
              <w:t>256</w:t>
            </w:r>
          </w:p>
        </w:tc>
        <w:tc>
          <w:tcPr>
            <w:tcW w:w="992" w:type="dxa"/>
            <w:vAlign w:val="center"/>
          </w:tcPr>
          <w:p w:rsidR="002A3B8F" w:rsidRPr="00E91429" w:rsidRDefault="002A3B8F" w:rsidP="00CA615B">
            <w:pPr>
              <w:jc w:val="right"/>
              <w:rPr>
                <w:bCs/>
                <w:lang w:val="en-US"/>
              </w:rPr>
            </w:pPr>
            <w:r w:rsidRPr="00E91429">
              <w:rPr>
                <w:lang w:val="en-US"/>
              </w:rPr>
              <w:t>-8</w:t>
            </w:r>
          </w:p>
        </w:tc>
        <w:tc>
          <w:tcPr>
            <w:tcW w:w="1134" w:type="dxa"/>
            <w:shd w:val="clear" w:color="auto" w:fill="C0C0C0"/>
            <w:vAlign w:val="center"/>
          </w:tcPr>
          <w:p w:rsidR="002A3B8F" w:rsidRPr="00E91429" w:rsidRDefault="002A3B8F" w:rsidP="00CA615B">
            <w:pPr>
              <w:jc w:val="right"/>
              <w:rPr>
                <w:bCs/>
                <w:lang w:val="en-US"/>
              </w:rPr>
            </w:pPr>
            <w:r w:rsidRPr="00E91429">
              <w:rPr>
                <w:lang w:val="en-US"/>
              </w:rPr>
              <w:t>54</w:t>
            </w:r>
          </w:p>
        </w:tc>
        <w:tc>
          <w:tcPr>
            <w:tcW w:w="1134" w:type="dxa"/>
            <w:vAlign w:val="center"/>
          </w:tcPr>
          <w:p w:rsidR="002A3B8F" w:rsidRPr="00E91429" w:rsidRDefault="002A3B8F" w:rsidP="00CA615B">
            <w:pPr>
              <w:jc w:val="right"/>
              <w:rPr>
                <w:bCs/>
                <w:lang w:val="en-US"/>
              </w:rPr>
            </w:pPr>
            <w:r w:rsidRPr="00E91429">
              <w:rPr>
                <w:lang w:val="en-US"/>
              </w:rPr>
              <w:t>53</w:t>
            </w:r>
          </w:p>
        </w:tc>
        <w:tc>
          <w:tcPr>
            <w:tcW w:w="1134" w:type="dxa"/>
            <w:vAlign w:val="center"/>
          </w:tcPr>
          <w:p w:rsidR="002A3B8F" w:rsidRPr="00E91429" w:rsidRDefault="002A3B8F" w:rsidP="00CA615B">
            <w:pPr>
              <w:jc w:val="right"/>
              <w:rPr>
                <w:bCs/>
                <w:lang w:val="en-US"/>
              </w:rPr>
            </w:pPr>
            <w:r w:rsidRPr="00E91429">
              <w:rPr>
                <w:lang w:val="en-US"/>
              </w:rPr>
              <w:t>2</w:t>
            </w:r>
          </w:p>
        </w:tc>
      </w:tr>
      <w:tr w:rsidR="002A3B8F" w:rsidRPr="00E91429" w:rsidTr="008D5580">
        <w:tc>
          <w:tcPr>
            <w:tcW w:w="3022" w:type="dxa"/>
          </w:tcPr>
          <w:p w:rsidR="002A3B8F" w:rsidRPr="00E91429" w:rsidRDefault="002A3B8F" w:rsidP="00CA615B">
            <w:pPr>
              <w:rPr>
                <w:bCs/>
                <w:lang w:val="en-US"/>
              </w:rPr>
            </w:pPr>
            <w:r w:rsidRPr="00E91429">
              <w:rPr>
                <w:lang w:val="en-US"/>
              </w:rPr>
              <w:t>Other operations</w:t>
            </w:r>
          </w:p>
        </w:tc>
        <w:tc>
          <w:tcPr>
            <w:tcW w:w="1089" w:type="dxa"/>
            <w:shd w:val="clear" w:color="auto" w:fill="C0C0C0"/>
            <w:vAlign w:val="center"/>
          </w:tcPr>
          <w:p w:rsidR="002A3B8F" w:rsidRPr="00E91429" w:rsidRDefault="002A3B8F" w:rsidP="00CA615B">
            <w:pPr>
              <w:jc w:val="right"/>
              <w:rPr>
                <w:bCs/>
                <w:lang w:val="en-US"/>
              </w:rPr>
            </w:pPr>
            <w:r w:rsidRPr="00E91429">
              <w:rPr>
                <w:lang w:val="en-US"/>
              </w:rPr>
              <w:t>51</w:t>
            </w:r>
          </w:p>
        </w:tc>
        <w:tc>
          <w:tcPr>
            <w:tcW w:w="1134" w:type="dxa"/>
            <w:vAlign w:val="center"/>
          </w:tcPr>
          <w:p w:rsidR="002A3B8F" w:rsidRPr="00E91429" w:rsidRDefault="002A3B8F" w:rsidP="00CA615B">
            <w:pPr>
              <w:jc w:val="right"/>
              <w:rPr>
                <w:bCs/>
                <w:lang w:val="en-US"/>
              </w:rPr>
            </w:pPr>
            <w:r w:rsidRPr="00E91429">
              <w:rPr>
                <w:lang w:val="en-US"/>
              </w:rPr>
              <w:t>44</w:t>
            </w:r>
          </w:p>
        </w:tc>
        <w:tc>
          <w:tcPr>
            <w:tcW w:w="992" w:type="dxa"/>
            <w:vAlign w:val="center"/>
          </w:tcPr>
          <w:p w:rsidR="002A3B8F" w:rsidRPr="00E91429" w:rsidRDefault="002A3B8F" w:rsidP="00CA615B">
            <w:pPr>
              <w:jc w:val="right"/>
              <w:rPr>
                <w:bCs/>
                <w:lang w:val="en-US"/>
              </w:rPr>
            </w:pPr>
          </w:p>
        </w:tc>
        <w:tc>
          <w:tcPr>
            <w:tcW w:w="1134" w:type="dxa"/>
            <w:shd w:val="clear" w:color="auto" w:fill="C0C0C0"/>
            <w:vAlign w:val="center"/>
          </w:tcPr>
          <w:p w:rsidR="002A3B8F" w:rsidRPr="00E91429" w:rsidRDefault="002A3B8F" w:rsidP="00CA615B">
            <w:pPr>
              <w:jc w:val="right"/>
              <w:rPr>
                <w:bCs/>
                <w:lang w:val="en-US"/>
              </w:rPr>
            </w:pPr>
            <w:r w:rsidRPr="00E91429">
              <w:rPr>
                <w:lang w:val="en-US"/>
              </w:rPr>
              <w:t>-93</w:t>
            </w:r>
          </w:p>
        </w:tc>
        <w:tc>
          <w:tcPr>
            <w:tcW w:w="1134" w:type="dxa"/>
            <w:vAlign w:val="center"/>
          </w:tcPr>
          <w:p w:rsidR="002A3B8F" w:rsidRPr="00E91429" w:rsidRDefault="002A3B8F" w:rsidP="00CA615B">
            <w:pPr>
              <w:jc w:val="right"/>
              <w:rPr>
                <w:bCs/>
                <w:lang w:val="en-US"/>
              </w:rPr>
            </w:pPr>
            <w:r w:rsidRPr="00E91429">
              <w:rPr>
                <w:lang w:val="en-US"/>
              </w:rPr>
              <w:t>-67</w:t>
            </w:r>
          </w:p>
        </w:tc>
        <w:tc>
          <w:tcPr>
            <w:tcW w:w="1134" w:type="dxa"/>
            <w:vAlign w:val="center"/>
          </w:tcPr>
          <w:p w:rsidR="002A3B8F" w:rsidRPr="00E91429" w:rsidRDefault="002A3B8F" w:rsidP="00CA615B">
            <w:pPr>
              <w:jc w:val="right"/>
              <w:rPr>
                <w:bCs/>
                <w:lang w:val="en-US"/>
              </w:rPr>
            </w:pPr>
          </w:p>
        </w:tc>
      </w:tr>
      <w:tr w:rsidR="002A3B8F" w:rsidRPr="00E91429" w:rsidTr="008D5580">
        <w:tc>
          <w:tcPr>
            <w:tcW w:w="3022" w:type="dxa"/>
          </w:tcPr>
          <w:p w:rsidR="002A3B8F" w:rsidRPr="00E91429" w:rsidRDefault="002A3B8F" w:rsidP="00CA615B">
            <w:pPr>
              <w:rPr>
                <w:bCs/>
                <w:lang w:val="en-US"/>
              </w:rPr>
            </w:pPr>
            <w:r w:rsidRPr="00E91429">
              <w:rPr>
                <w:lang w:val="en-US"/>
              </w:rPr>
              <w:t>Group</w:t>
            </w:r>
          </w:p>
        </w:tc>
        <w:tc>
          <w:tcPr>
            <w:tcW w:w="1089" w:type="dxa"/>
            <w:shd w:val="clear" w:color="auto" w:fill="C0C0C0"/>
            <w:vAlign w:val="center"/>
          </w:tcPr>
          <w:p w:rsidR="002A3B8F" w:rsidRPr="00E91429" w:rsidRDefault="002A3B8F" w:rsidP="00CA615B">
            <w:pPr>
              <w:jc w:val="right"/>
              <w:rPr>
                <w:bCs/>
                <w:lang w:val="en-US"/>
              </w:rPr>
            </w:pPr>
            <w:r w:rsidRPr="00E91429">
              <w:rPr>
                <w:lang w:val="en-US"/>
              </w:rPr>
              <w:t>3,263</w:t>
            </w:r>
          </w:p>
        </w:tc>
        <w:tc>
          <w:tcPr>
            <w:tcW w:w="1134" w:type="dxa"/>
            <w:vAlign w:val="center"/>
          </w:tcPr>
          <w:p w:rsidR="002A3B8F" w:rsidRPr="00E91429" w:rsidRDefault="002A3B8F" w:rsidP="00CA615B">
            <w:pPr>
              <w:jc w:val="right"/>
              <w:rPr>
                <w:bCs/>
                <w:lang w:val="en-US"/>
              </w:rPr>
            </w:pPr>
            <w:r w:rsidRPr="00E91429">
              <w:rPr>
                <w:lang w:val="en-US"/>
              </w:rPr>
              <w:t>3,407</w:t>
            </w:r>
          </w:p>
        </w:tc>
        <w:tc>
          <w:tcPr>
            <w:tcW w:w="992" w:type="dxa"/>
            <w:vAlign w:val="center"/>
          </w:tcPr>
          <w:p w:rsidR="002A3B8F" w:rsidRPr="00E91429" w:rsidRDefault="002A3B8F" w:rsidP="00CA615B">
            <w:pPr>
              <w:jc w:val="right"/>
              <w:rPr>
                <w:bCs/>
                <w:lang w:val="en-US"/>
              </w:rPr>
            </w:pPr>
            <w:r w:rsidRPr="00E91429">
              <w:rPr>
                <w:lang w:val="en-US"/>
              </w:rPr>
              <w:t>-4</w:t>
            </w:r>
          </w:p>
        </w:tc>
        <w:tc>
          <w:tcPr>
            <w:tcW w:w="1134" w:type="dxa"/>
            <w:shd w:val="clear" w:color="auto" w:fill="C0C0C0"/>
            <w:vAlign w:val="center"/>
          </w:tcPr>
          <w:p w:rsidR="002A3B8F" w:rsidRPr="00E91429" w:rsidRDefault="002A3B8F" w:rsidP="00CA615B">
            <w:pPr>
              <w:jc w:val="right"/>
              <w:rPr>
                <w:bCs/>
                <w:lang w:val="en-US"/>
              </w:rPr>
            </w:pPr>
            <w:r w:rsidRPr="00E91429">
              <w:rPr>
                <w:lang w:val="en-US"/>
              </w:rPr>
              <w:t>589</w:t>
            </w:r>
          </w:p>
        </w:tc>
        <w:tc>
          <w:tcPr>
            <w:tcW w:w="1134" w:type="dxa"/>
            <w:vAlign w:val="center"/>
          </w:tcPr>
          <w:p w:rsidR="002A3B8F" w:rsidRPr="00E91429" w:rsidRDefault="002A3B8F" w:rsidP="00CA615B">
            <w:pPr>
              <w:jc w:val="right"/>
              <w:rPr>
                <w:bCs/>
                <w:lang w:val="en-US"/>
              </w:rPr>
            </w:pPr>
            <w:r w:rsidRPr="00E91429">
              <w:rPr>
                <w:lang w:val="en-US"/>
              </w:rPr>
              <w:t>656</w:t>
            </w:r>
          </w:p>
        </w:tc>
        <w:tc>
          <w:tcPr>
            <w:tcW w:w="1134" w:type="dxa"/>
            <w:vAlign w:val="center"/>
          </w:tcPr>
          <w:p w:rsidR="002A3B8F" w:rsidRPr="00E91429" w:rsidRDefault="002A3B8F" w:rsidP="00CA615B">
            <w:pPr>
              <w:jc w:val="right"/>
              <w:rPr>
                <w:bCs/>
                <w:lang w:val="en-US"/>
              </w:rPr>
            </w:pPr>
            <w:r w:rsidRPr="00E91429">
              <w:rPr>
                <w:lang w:val="en-US"/>
              </w:rPr>
              <w:t>-10</w:t>
            </w:r>
          </w:p>
        </w:tc>
      </w:tr>
    </w:tbl>
    <w:p w:rsidR="002A3B8F" w:rsidRPr="00E91429" w:rsidRDefault="002A3B8F" w:rsidP="008D5580">
      <w:pPr>
        <w:ind w:left="142"/>
        <w:rPr>
          <w:bCs/>
          <w:lang w:val="en-US"/>
        </w:rPr>
      </w:pPr>
      <w:r>
        <w:rPr>
          <w:lang w:val="en-US"/>
        </w:rPr>
        <w:t>Continuing operations</w:t>
      </w:r>
      <w:r w:rsidRPr="00E91429">
        <w:rPr>
          <w:lang w:val="en-US"/>
        </w:rPr>
        <w:t>; prior-year figures restated</w:t>
      </w:r>
    </w:p>
    <w:p w:rsidR="002A3B8F" w:rsidRPr="00E91429" w:rsidRDefault="002A3B8F" w:rsidP="008D5580">
      <w:pPr>
        <w:rPr>
          <w:bCs/>
          <w:lang w:val="en-US"/>
        </w:rPr>
      </w:pPr>
    </w:p>
    <w:p w:rsidR="002A3B8F" w:rsidRPr="00E91429" w:rsidRDefault="002A3B8F" w:rsidP="008D5580">
      <w:pPr>
        <w:spacing w:after="120"/>
        <w:rPr>
          <w:b/>
          <w:bCs/>
          <w:lang w:val="en-US"/>
        </w:rPr>
      </w:pPr>
      <w:r w:rsidRPr="00E91429">
        <w:rPr>
          <w:b/>
          <w:lang w:val="en-US"/>
        </w:rPr>
        <w:t>Employees by segment</w:t>
      </w:r>
    </w:p>
    <w:tbl>
      <w:tblPr>
        <w:tblW w:w="8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2172"/>
        <w:gridCol w:w="2173"/>
      </w:tblGrid>
      <w:tr w:rsidR="002A3B8F" w:rsidRPr="00E91429" w:rsidTr="00AC057C">
        <w:tc>
          <w:tcPr>
            <w:tcW w:w="3758" w:type="dxa"/>
          </w:tcPr>
          <w:p w:rsidR="002A3B8F" w:rsidRPr="00E91429" w:rsidRDefault="002A3B8F" w:rsidP="00CA615B">
            <w:pPr>
              <w:rPr>
                <w:bCs/>
                <w:lang w:val="en-US"/>
              </w:rPr>
            </w:pPr>
          </w:p>
        </w:tc>
        <w:tc>
          <w:tcPr>
            <w:tcW w:w="2172" w:type="dxa"/>
          </w:tcPr>
          <w:p w:rsidR="002A3B8F" w:rsidRPr="00E91429" w:rsidRDefault="002A3B8F" w:rsidP="00CA615B">
            <w:pPr>
              <w:jc w:val="center"/>
              <w:rPr>
                <w:b/>
                <w:bCs/>
                <w:lang w:val="en-US"/>
              </w:rPr>
            </w:pPr>
            <w:r w:rsidRPr="00E91429">
              <w:rPr>
                <w:b/>
                <w:lang w:val="en-US"/>
              </w:rPr>
              <w:t>March 31, 2013</w:t>
            </w:r>
          </w:p>
        </w:tc>
        <w:tc>
          <w:tcPr>
            <w:tcW w:w="2173" w:type="dxa"/>
          </w:tcPr>
          <w:p w:rsidR="002A3B8F" w:rsidRPr="00E91429" w:rsidRDefault="002A3B8F" w:rsidP="00CA615B">
            <w:pPr>
              <w:jc w:val="center"/>
              <w:rPr>
                <w:b/>
                <w:bCs/>
                <w:lang w:val="en-US"/>
              </w:rPr>
            </w:pPr>
            <w:r w:rsidRPr="00E91429">
              <w:rPr>
                <w:b/>
                <w:lang w:val="en-US"/>
              </w:rPr>
              <w:t>Dec. 31, 2012</w:t>
            </w:r>
          </w:p>
        </w:tc>
      </w:tr>
      <w:tr w:rsidR="002A3B8F" w:rsidRPr="00E91429" w:rsidTr="00AC057C">
        <w:tc>
          <w:tcPr>
            <w:tcW w:w="3758" w:type="dxa"/>
          </w:tcPr>
          <w:p w:rsidR="002A3B8F" w:rsidRPr="00E91429" w:rsidRDefault="002A3B8F" w:rsidP="00CA615B">
            <w:pPr>
              <w:rPr>
                <w:bCs/>
                <w:lang w:val="en-US"/>
              </w:rPr>
            </w:pPr>
            <w:r w:rsidRPr="00E91429">
              <w:rPr>
                <w:lang w:val="en-US"/>
              </w:rPr>
              <w:t>Consumer, Health &amp; Nutrition</w:t>
            </w:r>
          </w:p>
        </w:tc>
        <w:tc>
          <w:tcPr>
            <w:tcW w:w="2172" w:type="dxa"/>
          </w:tcPr>
          <w:p w:rsidR="002A3B8F" w:rsidRPr="00E91429" w:rsidRDefault="002A3B8F" w:rsidP="00CA615B">
            <w:pPr>
              <w:jc w:val="right"/>
              <w:rPr>
                <w:bCs/>
                <w:lang w:val="en-US"/>
              </w:rPr>
            </w:pPr>
            <w:r w:rsidRPr="00E91429">
              <w:rPr>
                <w:lang w:val="en-US"/>
              </w:rPr>
              <w:t>6,878</w:t>
            </w:r>
          </w:p>
        </w:tc>
        <w:tc>
          <w:tcPr>
            <w:tcW w:w="2173" w:type="dxa"/>
          </w:tcPr>
          <w:p w:rsidR="002A3B8F" w:rsidRPr="00E91429" w:rsidRDefault="002A3B8F" w:rsidP="00CA615B">
            <w:pPr>
              <w:jc w:val="right"/>
              <w:rPr>
                <w:bCs/>
                <w:lang w:val="en-US"/>
              </w:rPr>
            </w:pPr>
            <w:r w:rsidRPr="00E91429">
              <w:rPr>
                <w:lang w:val="en-US"/>
              </w:rPr>
              <w:t>6,821</w:t>
            </w:r>
          </w:p>
        </w:tc>
      </w:tr>
      <w:tr w:rsidR="002A3B8F" w:rsidRPr="00E91429" w:rsidTr="00AC057C">
        <w:tc>
          <w:tcPr>
            <w:tcW w:w="3758" w:type="dxa"/>
          </w:tcPr>
          <w:p w:rsidR="002A3B8F" w:rsidRPr="00E91429" w:rsidRDefault="002A3B8F" w:rsidP="00CA615B">
            <w:pPr>
              <w:rPr>
                <w:bCs/>
                <w:lang w:val="en-US"/>
              </w:rPr>
            </w:pPr>
            <w:r w:rsidRPr="00E91429">
              <w:rPr>
                <w:lang w:val="en-US"/>
              </w:rPr>
              <w:t>Resource Efficiency</w:t>
            </w:r>
          </w:p>
        </w:tc>
        <w:tc>
          <w:tcPr>
            <w:tcW w:w="2172" w:type="dxa"/>
          </w:tcPr>
          <w:p w:rsidR="002A3B8F" w:rsidRPr="00E91429" w:rsidRDefault="002A3B8F" w:rsidP="00CA615B">
            <w:pPr>
              <w:jc w:val="right"/>
              <w:rPr>
                <w:bCs/>
                <w:lang w:val="en-US"/>
              </w:rPr>
            </w:pPr>
            <w:r w:rsidRPr="00E91429">
              <w:rPr>
                <w:lang w:val="en-US"/>
              </w:rPr>
              <w:t>5,806</w:t>
            </w:r>
          </w:p>
        </w:tc>
        <w:tc>
          <w:tcPr>
            <w:tcW w:w="2173" w:type="dxa"/>
          </w:tcPr>
          <w:p w:rsidR="002A3B8F" w:rsidRPr="00E91429" w:rsidRDefault="002A3B8F" w:rsidP="00CA615B">
            <w:pPr>
              <w:jc w:val="right"/>
              <w:rPr>
                <w:bCs/>
                <w:lang w:val="en-US"/>
              </w:rPr>
            </w:pPr>
            <w:r w:rsidRPr="00E91429">
              <w:rPr>
                <w:lang w:val="en-US"/>
              </w:rPr>
              <w:t>5,755</w:t>
            </w:r>
          </w:p>
        </w:tc>
      </w:tr>
      <w:tr w:rsidR="002A3B8F" w:rsidRPr="00E91429" w:rsidTr="00AC057C">
        <w:tc>
          <w:tcPr>
            <w:tcW w:w="3758" w:type="dxa"/>
          </w:tcPr>
          <w:p w:rsidR="002A3B8F" w:rsidRPr="00E91429" w:rsidRDefault="002A3B8F" w:rsidP="00CA615B">
            <w:pPr>
              <w:rPr>
                <w:bCs/>
                <w:lang w:val="en-US"/>
              </w:rPr>
            </w:pPr>
            <w:r w:rsidRPr="00E91429">
              <w:rPr>
                <w:lang w:val="en-US"/>
              </w:rPr>
              <w:t>Specialty Materials</w:t>
            </w:r>
          </w:p>
        </w:tc>
        <w:tc>
          <w:tcPr>
            <w:tcW w:w="2172" w:type="dxa"/>
          </w:tcPr>
          <w:p w:rsidR="002A3B8F" w:rsidRPr="00E91429" w:rsidRDefault="002A3B8F" w:rsidP="00CA615B">
            <w:pPr>
              <w:jc w:val="right"/>
              <w:rPr>
                <w:bCs/>
                <w:lang w:val="en-US"/>
              </w:rPr>
            </w:pPr>
            <w:r w:rsidRPr="00E91429">
              <w:rPr>
                <w:lang w:val="en-US"/>
              </w:rPr>
              <w:t>6,229</w:t>
            </w:r>
          </w:p>
        </w:tc>
        <w:tc>
          <w:tcPr>
            <w:tcW w:w="2173" w:type="dxa"/>
          </w:tcPr>
          <w:p w:rsidR="002A3B8F" w:rsidRPr="00E91429" w:rsidRDefault="002A3B8F" w:rsidP="00CA615B">
            <w:pPr>
              <w:jc w:val="right"/>
              <w:rPr>
                <w:bCs/>
                <w:lang w:val="en-US"/>
              </w:rPr>
            </w:pPr>
            <w:r w:rsidRPr="00E91429">
              <w:rPr>
                <w:lang w:val="en-US"/>
              </w:rPr>
              <w:t>6,134</w:t>
            </w:r>
          </w:p>
        </w:tc>
      </w:tr>
      <w:tr w:rsidR="002A3B8F" w:rsidRPr="00E91429" w:rsidTr="00AC057C">
        <w:tc>
          <w:tcPr>
            <w:tcW w:w="3758" w:type="dxa"/>
          </w:tcPr>
          <w:p w:rsidR="002A3B8F" w:rsidRPr="00E91429" w:rsidRDefault="002A3B8F" w:rsidP="00CA615B">
            <w:pPr>
              <w:rPr>
                <w:bCs/>
                <w:lang w:val="en-US"/>
              </w:rPr>
            </w:pPr>
            <w:r w:rsidRPr="00E91429">
              <w:rPr>
                <w:lang w:val="en-US"/>
              </w:rPr>
              <w:t>Services</w:t>
            </w:r>
          </w:p>
        </w:tc>
        <w:tc>
          <w:tcPr>
            <w:tcW w:w="2172" w:type="dxa"/>
          </w:tcPr>
          <w:p w:rsidR="002A3B8F" w:rsidRPr="00E91429" w:rsidRDefault="002A3B8F" w:rsidP="00CA615B">
            <w:pPr>
              <w:jc w:val="right"/>
              <w:rPr>
                <w:bCs/>
                <w:lang w:val="en-US"/>
              </w:rPr>
            </w:pPr>
            <w:r w:rsidRPr="00E91429">
              <w:rPr>
                <w:lang w:val="en-US"/>
              </w:rPr>
              <w:t>11,825</w:t>
            </w:r>
          </w:p>
        </w:tc>
        <w:tc>
          <w:tcPr>
            <w:tcW w:w="2173" w:type="dxa"/>
          </w:tcPr>
          <w:p w:rsidR="002A3B8F" w:rsidRPr="00E91429" w:rsidRDefault="002A3B8F" w:rsidP="00CA615B">
            <w:pPr>
              <w:jc w:val="right"/>
              <w:rPr>
                <w:bCs/>
                <w:lang w:val="en-US"/>
              </w:rPr>
            </w:pPr>
            <w:r w:rsidRPr="00E91429">
              <w:rPr>
                <w:lang w:val="en-US"/>
              </w:rPr>
              <w:t>11,900</w:t>
            </w:r>
          </w:p>
        </w:tc>
      </w:tr>
      <w:tr w:rsidR="002A3B8F" w:rsidRPr="00E91429" w:rsidTr="00AC057C">
        <w:tc>
          <w:tcPr>
            <w:tcW w:w="3758" w:type="dxa"/>
          </w:tcPr>
          <w:p w:rsidR="002A3B8F" w:rsidRPr="00E91429" w:rsidRDefault="002A3B8F" w:rsidP="00CA615B">
            <w:pPr>
              <w:rPr>
                <w:bCs/>
                <w:lang w:val="en-US"/>
              </w:rPr>
            </w:pPr>
            <w:r w:rsidRPr="00E91429">
              <w:rPr>
                <w:lang w:val="en-US"/>
              </w:rPr>
              <w:t>Other operations</w:t>
            </w:r>
          </w:p>
        </w:tc>
        <w:tc>
          <w:tcPr>
            <w:tcW w:w="2172" w:type="dxa"/>
          </w:tcPr>
          <w:p w:rsidR="002A3B8F" w:rsidRPr="00E91429" w:rsidRDefault="002A3B8F" w:rsidP="00CA615B">
            <w:pPr>
              <w:jc w:val="right"/>
              <w:rPr>
                <w:bCs/>
                <w:lang w:val="en-US"/>
              </w:rPr>
            </w:pPr>
            <w:r w:rsidRPr="00E91429">
              <w:rPr>
                <w:lang w:val="en-US"/>
              </w:rPr>
              <w:t>2,076</w:t>
            </w:r>
          </w:p>
        </w:tc>
        <w:tc>
          <w:tcPr>
            <w:tcW w:w="2173" w:type="dxa"/>
          </w:tcPr>
          <w:p w:rsidR="002A3B8F" w:rsidRPr="00E91429" w:rsidRDefault="002A3B8F" w:rsidP="00CA615B">
            <w:pPr>
              <w:jc w:val="right"/>
              <w:rPr>
                <w:bCs/>
                <w:lang w:val="en-US"/>
              </w:rPr>
            </w:pPr>
            <w:r w:rsidRPr="00E91429">
              <w:rPr>
                <w:lang w:val="en-US"/>
              </w:rPr>
              <w:t>2,071</w:t>
            </w:r>
          </w:p>
        </w:tc>
      </w:tr>
      <w:tr w:rsidR="002A3B8F" w:rsidRPr="00E91429" w:rsidTr="00AC057C">
        <w:tc>
          <w:tcPr>
            <w:tcW w:w="3758" w:type="dxa"/>
          </w:tcPr>
          <w:p w:rsidR="002A3B8F" w:rsidRPr="00E91429" w:rsidRDefault="002A3B8F" w:rsidP="00CA615B">
            <w:pPr>
              <w:rPr>
                <w:bCs/>
                <w:lang w:val="en-US"/>
              </w:rPr>
            </w:pPr>
            <w:r w:rsidRPr="00E91429">
              <w:rPr>
                <w:lang w:val="en-US"/>
              </w:rPr>
              <w:t>Continuing operations</w:t>
            </w:r>
          </w:p>
        </w:tc>
        <w:tc>
          <w:tcPr>
            <w:tcW w:w="2172" w:type="dxa"/>
          </w:tcPr>
          <w:p w:rsidR="002A3B8F" w:rsidRPr="00E91429" w:rsidRDefault="002A3B8F" w:rsidP="00CA615B">
            <w:pPr>
              <w:jc w:val="right"/>
              <w:rPr>
                <w:bCs/>
                <w:lang w:val="en-US"/>
              </w:rPr>
            </w:pPr>
            <w:r w:rsidRPr="00E91429">
              <w:rPr>
                <w:lang w:val="en-US"/>
              </w:rPr>
              <w:t>32,814</w:t>
            </w:r>
          </w:p>
        </w:tc>
        <w:tc>
          <w:tcPr>
            <w:tcW w:w="2173" w:type="dxa"/>
          </w:tcPr>
          <w:p w:rsidR="002A3B8F" w:rsidRPr="00E91429" w:rsidRDefault="002A3B8F" w:rsidP="00CA615B">
            <w:pPr>
              <w:jc w:val="right"/>
              <w:rPr>
                <w:bCs/>
                <w:lang w:val="en-US"/>
              </w:rPr>
            </w:pPr>
            <w:r w:rsidRPr="00E91429">
              <w:rPr>
                <w:lang w:val="en-US"/>
              </w:rPr>
              <w:t>32,681</w:t>
            </w:r>
          </w:p>
        </w:tc>
      </w:tr>
      <w:tr w:rsidR="002A3B8F" w:rsidRPr="00E91429" w:rsidTr="00AC057C">
        <w:tc>
          <w:tcPr>
            <w:tcW w:w="3758" w:type="dxa"/>
          </w:tcPr>
          <w:p w:rsidR="002A3B8F" w:rsidRPr="00E91429" w:rsidRDefault="00AC057C" w:rsidP="00AC057C">
            <w:pPr>
              <w:rPr>
                <w:bCs/>
                <w:lang w:val="en-US"/>
              </w:rPr>
            </w:pPr>
            <w:r>
              <w:rPr>
                <w:lang w:val="en-US"/>
              </w:rPr>
              <w:t xml:space="preserve">Discontinued operations </w:t>
            </w:r>
            <w:r w:rsidR="002A3B8F" w:rsidRPr="00E91429">
              <w:rPr>
                <w:lang w:val="en-US"/>
              </w:rPr>
              <w:t>(Real Estate)</w:t>
            </w:r>
          </w:p>
        </w:tc>
        <w:tc>
          <w:tcPr>
            <w:tcW w:w="2172" w:type="dxa"/>
          </w:tcPr>
          <w:p w:rsidR="002A3B8F" w:rsidRPr="00E91429" w:rsidRDefault="002A3B8F" w:rsidP="00CA615B">
            <w:pPr>
              <w:jc w:val="right"/>
              <w:rPr>
                <w:bCs/>
                <w:lang w:val="en-US"/>
              </w:rPr>
            </w:pPr>
            <w:r w:rsidRPr="00E91429">
              <w:rPr>
                <w:lang w:val="en-US"/>
              </w:rPr>
              <w:t>641</w:t>
            </w:r>
          </w:p>
        </w:tc>
        <w:tc>
          <w:tcPr>
            <w:tcW w:w="2173" w:type="dxa"/>
          </w:tcPr>
          <w:p w:rsidR="002A3B8F" w:rsidRPr="00E91429" w:rsidRDefault="002A3B8F" w:rsidP="00CA615B">
            <w:pPr>
              <w:jc w:val="right"/>
              <w:rPr>
                <w:bCs/>
                <w:lang w:val="en-US"/>
              </w:rPr>
            </w:pPr>
            <w:r w:rsidRPr="00E91429">
              <w:rPr>
                <w:lang w:val="en-US"/>
              </w:rPr>
              <w:t>617</w:t>
            </w:r>
          </w:p>
        </w:tc>
      </w:tr>
      <w:tr w:rsidR="002A3B8F" w:rsidRPr="00E91429" w:rsidTr="00AC057C">
        <w:tc>
          <w:tcPr>
            <w:tcW w:w="3758" w:type="dxa"/>
          </w:tcPr>
          <w:p w:rsidR="002A3B8F" w:rsidRPr="00E91429" w:rsidRDefault="002A3B8F" w:rsidP="00CA615B">
            <w:pPr>
              <w:rPr>
                <w:b/>
                <w:bCs/>
                <w:lang w:val="en-US"/>
              </w:rPr>
            </w:pPr>
            <w:r w:rsidRPr="00E91429">
              <w:rPr>
                <w:b/>
                <w:lang w:val="en-US"/>
              </w:rPr>
              <w:t>Evonik</w:t>
            </w:r>
          </w:p>
        </w:tc>
        <w:tc>
          <w:tcPr>
            <w:tcW w:w="2172" w:type="dxa"/>
          </w:tcPr>
          <w:p w:rsidR="002A3B8F" w:rsidRPr="00E91429" w:rsidRDefault="002A3B8F" w:rsidP="00CA615B">
            <w:pPr>
              <w:jc w:val="right"/>
              <w:rPr>
                <w:b/>
                <w:bCs/>
                <w:lang w:val="en-US"/>
              </w:rPr>
            </w:pPr>
            <w:r w:rsidRPr="00E91429">
              <w:rPr>
                <w:b/>
                <w:lang w:val="en-US"/>
              </w:rPr>
              <w:t>33,455</w:t>
            </w:r>
          </w:p>
        </w:tc>
        <w:tc>
          <w:tcPr>
            <w:tcW w:w="2173" w:type="dxa"/>
          </w:tcPr>
          <w:p w:rsidR="002A3B8F" w:rsidRPr="00E91429" w:rsidRDefault="002A3B8F" w:rsidP="00CA615B">
            <w:pPr>
              <w:jc w:val="right"/>
              <w:rPr>
                <w:b/>
                <w:bCs/>
                <w:lang w:val="en-US"/>
              </w:rPr>
            </w:pPr>
            <w:r w:rsidRPr="00E91429">
              <w:rPr>
                <w:b/>
                <w:lang w:val="en-US"/>
              </w:rPr>
              <w:t>33,298</w:t>
            </w:r>
          </w:p>
        </w:tc>
      </w:tr>
    </w:tbl>
    <w:p w:rsidR="002A3B8F" w:rsidRPr="00E91429" w:rsidRDefault="002A3B8F" w:rsidP="008D5580">
      <w:pPr>
        <w:rPr>
          <w:bCs/>
          <w:lang w:val="en-US"/>
        </w:rPr>
      </w:pPr>
    </w:p>
    <w:p w:rsidR="002A3B8F" w:rsidRPr="00E91429" w:rsidRDefault="002A3B8F" w:rsidP="008D5580">
      <w:pPr>
        <w:rPr>
          <w:b/>
          <w:bCs/>
          <w:sz w:val="22"/>
          <w:szCs w:val="22"/>
          <w:lang w:val="en-US"/>
        </w:rPr>
      </w:pPr>
    </w:p>
    <w:p w:rsidR="002A3B8F" w:rsidRPr="00E91429" w:rsidRDefault="002A3B8F" w:rsidP="008D5580">
      <w:pPr>
        <w:rPr>
          <w:lang w:val="en-US"/>
        </w:rPr>
      </w:pPr>
    </w:p>
    <w:p w:rsidR="002A3B8F" w:rsidRDefault="002A3B8F">
      <w:pPr>
        <w:spacing w:line="240" w:lineRule="auto"/>
        <w:ind w:left="0" w:right="0"/>
        <w:rPr>
          <w:rFonts w:cs="Lucida Sans Unicode"/>
          <w:b/>
          <w:position w:val="0"/>
          <w:szCs w:val="18"/>
          <w:u w:val="single"/>
        </w:rPr>
      </w:pPr>
      <w:r>
        <w:rPr>
          <w:rFonts w:cs="Lucida Sans Unicode"/>
          <w:b/>
          <w:position w:val="0"/>
          <w:szCs w:val="18"/>
          <w:u w:val="single"/>
        </w:rPr>
        <w:br w:type="page"/>
      </w:r>
    </w:p>
    <w:p w:rsidR="002A3B8F" w:rsidRPr="008D5580" w:rsidRDefault="002A3B8F" w:rsidP="00712788">
      <w:pPr>
        <w:rPr>
          <w:rFonts w:cs="Lucida Sans Unicode"/>
          <w:position w:val="0"/>
          <w:szCs w:val="18"/>
          <w:lang w:val="en-US"/>
        </w:rPr>
      </w:pPr>
      <w:r w:rsidRPr="008D5580">
        <w:rPr>
          <w:rFonts w:cs="Lucida Sans Unicode"/>
          <w:b/>
          <w:position w:val="0"/>
          <w:szCs w:val="18"/>
          <w:u w:val="single"/>
          <w:lang w:val="en-US"/>
        </w:rPr>
        <w:lastRenderedPageBreak/>
        <w:t>Disclaimer</w:t>
      </w:r>
      <w:r w:rsidRPr="008D5580">
        <w:rPr>
          <w:rFonts w:cs="Lucida Sans Unicode"/>
          <w:position w:val="0"/>
          <w:szCs w:val="18"/>
          <w:lang w:val="en-US"/>
        </w:rPr>
        <w:t>:</w:t>
      </w:r>
    </w:p>
    <w:p w:rsidR="002A3B8F" w:rsidRPr="008D5580" w:rsidRDefault="002A3B8F" w:rsidP="00712788">
      <w:pPr>
        <w:rPr>
          <w:rFonts w:cs="Lucida Sans Unicode"/>
          <w:position w:val="0"/>
          <w:szCs w:val="18"/>
          <w:lang w:val="en-US"/>
        </w:rPr>
      </w:pPr>
      <w:r w:rsidRPr="008D5580">
        <w:rPr>
          <w:rFonts w:cs="Lucida Sans Unicode"/>
          <w:position w:val="0"/>
          <w:szCs w:val="18"/>
          <w:lang w:val="en-US"/>
        </w:rPr>
        <w:t xml:space="preserve">These materials may not be published, distributed or transmitted in the </w:t>
      </w:r>
      <w:smartTag w:uri="urn:schemas-microsoft-com:office:smarttags" w:element="country-region">
        <w:r w:rsidRPr="008D5580">
          <w:rPr>
            <w:rFonts w:cs="Lucida Sans Unicode"/>
            <w:position w:val="0"/>
            <w:szCs w:val="18"/>
            <w:lang w:val="en-US"/>
          </w:rPr>
          <w:t>United States</w:t>
        </w:r>
      </w:smartTag>
      <w:r w:rsidRPr="008D5580">
        <w:rPr>
          <w:rFonts w:cs="Lucida Sans Unicode"/>
          <w:position w:val="0"/>
          <w:szCs w:val="18"/>
          <w:lang w:val="en-US"/>
        </w:rPr>
        <w:t xml:space="preserve">, </w:t>
      </w:r>
      <w:smartTag w:uri="urn:schemas-microsoft-com:office:smarttags" w:element="country-region">
        <w:r w:rsidRPr="008D5580">
          <w:rPr>
            <w:rFonts w:cs="Lucida Sans Unicode"/>
            <w:position w:val="0"/>
            <w:szCs w:val="18"/>
            <w:lang w:val="en-US"/>
          </w:rPr>
          <w:t>Canada</w:t>
        </w:r>
      </w:smartTag>
      <w:r w:rsidRPr="008D5580">
        <w:rPr>
          <w:rFonts w:cs="Lucida Sans Unicode"/>
          <w:position w:val="0"/>
          <w:szCs w:val="18"/>
          <w:lang w:val="en-US"/>
        </w:rPr>
        <w:t xml:space="preserve">, </w:t>
      </w:r>
      <w:smartTag w:uri="urn:schemas-microsoft-com:office:smarttags" w:element="country-region">
        <w:r w:rsidRPr="008D5580">
          <w:rPr>
            <w:rFonts w:cs="Lucida Sans Unicode"/>
            <w:position w:val="0"/>
            <w:szCs w:val="18"/>
            <w:lang w:val="en-US"/>
          </w:rPr>
          <w:t>Australia</w:t>
        </w:r>
      </w:smartTag>
      <w:r w:rsidRPr="008D5580">
        <w:rPr>
          <w:rFonts w:cs="Lucida Sans Unicode"/>
          <w:position w:val="0"/>
          <w:szCs w:val="18"/>
          <w:lang w:val="en-US"/>
        </w:rPr>
        <w:t xml:space="preserve"> or </w:t>
      </w:r>
      <w:smartTag w:uri="urn:schemas-microsoft-com:office:smarttags" w:element="place">
        <w:smartTag w:uri="urn:schemas-microsoft-com:office:smarttags" w:element="country-region">
          <w:r w:rsidRPr="008D5580">
            <w:rPr>
              <w:rFonts w:cs="Lucida Sans Unicode"/>
              <w:position w:val="0"/>
              <w:szCs w:val="18"/>
              <w:lang w:val="en-US"/>
            </w:rPr>
            <w:t>Japan</w:t>
          </w:r>
        </w:smartTag>
      </w:smartTag>
      <w:r w:rsidRPr="008D5580">
        <w:rPr>
          <w:rFonts w:cs="Lucida Sans Unicode"/>
          <w:position w:val="0"/>
          <w:szCs w:val="18"/>
          <w:lang w:val="en-US"/>
        </w:rPr>
        <w:t xml:space="preserve">. These materials do not constitute an offer of securities for sale or a solicitation of an offer to purchase securities (the “Shares”) of Evonik Industries AG (the “Company”) in the </w:t>
      </w:r>
      <w:smartTag w:uri="urn:schemas-microsoft-com:office:smarttags" w:element="country-region">
        <w:r w:rsidRPr="008D5580">
          <w:rPr>
            <w:rFonts w:cs="Lucida Sans Unicode"/>
            <w:position w:val="0"/>
            <w:szCs w:val="18"/>
            <w:lang w:val="en-US"/>
          </w:rPr>
          <w:t>United States</w:t>
        </w:r>
      </w:smartTag>
      <w:r w:rsidRPr="008D5580">
        <w:rPr>
          <w:rFonts w:cs="Lucida Sans Unicode"/>
          <w:position w:val="0"/>
          <w:szCs w:val="18"/>
          <w:lang w:val="en-US"/>
        </w:rPr>
        <w:t xml:space="preserve">, </w:t>
      </w:r>
      <w:smartTag w:uri="urn:schemas-microsoft-com:office:smarttags" w:element="place">
        <w:smartTag w:uri="urn:schemas-microsoft-com:office:smarttags" w:element="country-region">
          <w:r w:rsidRPr="008D5580">
            <w:rPr>
              <w:rFonts w:cs="Lucida Sans Unicode"/>
              <w:position w:val="0"/>
              <w:szCs w:val="18"/>
              <w:lang w:val="en-US"/>
            </w:rPr>
            <w:t>Germany</w:t>
          </w:r>
        </w:smartTag>
      </w:smartTag>
      <w:r w:rsidRPr="008D5580">
        <w:rPr>
          <w:rFonts w:cs="Lucida Sans Unicode"/>
          <w:position w:val="0"/>
          <w:szCs w:val="18"/>
          <w:lang w:val="en-US"/>
        </w:rPr>
        <w:t xml:space="preserve"> or any other jurisdiction. The Shares of the Company may not be offered or sold in the </w:t>
      </w:r>
      <w:smartTag w:uri="urn:schemas-microsoft-com:office:smarttags" w:element="place">
        <w:smartTag w:uri="urn:schemas-microsoft-com:office:smarttags" w:element="country-region">
          <w:r w:rsidRPr="008D5580">
            <w:rPr>
              <w:rFonts w:cs="Lucida Sans Unicode"/>
              <w:position w:val="0"/>
              <w:szCs w:val="18"/>
              <w:lang w:val="en-US"/>
            </w:rPr>
            <w:t>United States</w:t>
          </w:r>
        </w:smartTag>
      </w:smartTag>
      <w:r w:rsidRPr="008D5580">
        <w:rPr>
          <w:rFonts w:cs="Lucida Sans Unicode"/>
          <w:position w:val="0"/>
          <w:szCs w:val="18"/>
          <w:lang w:val="en-US"/>
        </w:rPr>
        <w:t xml:space="preserve"> absent registration or an exemption from registration under the U.S. Securities Act of 1933, as amended (the “Securities Act”). The Shares of the Company have not been, and will not be, registered under the Securities Act.</w:t>
      </w:r>
    </w:p>
    <w:p w:rsidR="002A3B8F" w:rsidRPr="008D5580" w:rsidRDefault="002A3B8F" w:rsidP="00712788">
      <w:pPr>
        <w:rPr>
          <w:rFonts w:cs="Lucida Sans Unicode"/>
          <w:position w:val="0"/>
          <w:szCs w:val="18"/>
          <w:lang w:val="en-US"/>
        </w:rPr>
      </w:pPr>
    </w:p>
    <w:p w:rsidR="002A3B8F" w:rsidRPr="008D5580" w:rsidRDefault="002A3B8F" w:rsidP="00712788">
      <w:pPr>
        <w:rPr>
          <w:rFonts w:cs="Lucida Sans Unicode"/>
          <w:position w:val="0"/>
          <w:szCs w:val="18"/>
          <w:lang w:val="en-US"/>
        </w:rPr>
      </w:pPr>
      <w:r w:rsidRPr="008D5580">
        <w:rPr>
          <w:rFonts w:cs="Lucida Sans Unicode"/>
          <w:position w:val="0"/>
          <w:szCs w:val="18"/>
          <w:lang w:val="en-US"/>
        </w:rPr>
        <w:t>This publication constitutes neither an offer to sell nor a solicitation to buy securities. There will be no public offer of securities of the Company.</w:t>
      </w:r>
    </w:p>
    <w:p w:rsidR="002A3B8F" w:rsidRPr="008D5580" w:rsidRDefault="002A3B8F" w:rsidP="00712788">
      <w:pPr>
        <w:rPr>
          <w:rFonts w:cs="Lucida Sans Unicode"/>
          <w:position w:val="0"/>
          <w:szCs w:val="18"/>
          <w:lang w:val="en-US"/>
        </w:rPr>
      </w:pPr>
    </w:p>
    <w:p w:rsidR="002A3B8F" w:rsidRPr="008D5580" w:rsidRDefault="002A3B8F" w:rsidP="00712788">
      <w:pPr>
        <w:rPr>
          <w:rFonts w:cs="Lucida Sans Unicode"/>
          <w:position w:val="0"/>
          <w:szCs w:val="18"/>
          <w:lang w:val="en-US"/>
        </w:rPr>
      </w:pPr>
      <w:r w:rsidRPr="008D5580">
        <w:rPr>
          <w:rFonts w:cs="Lucida Sans Unicode"/>
          <w:position w:val="0"/>
          <w:szCs w:val="18"/>
          <w:lang w:val="en-US"/>
        </w:rPr>
        <w:t>In the United Kingdom, this document is only being distributed to and is only directed at persons who (</w:t>
      </w:r>
      <w:proofErr w:type="spellStart"/>
      <w:r w:rsidRPr="008D5580">
        <w:rPr>
          <w:rFonts w:cs="Lucida Sans Unicode"/>
          <w:position w:val="0"/>
          <w:szCs w:val="18"/>
          <w:lang w:val="en-US"/>
        </w:rPr>
        <w:t>i</w:t>
      </w:r>
      <w:proofErr w:type="spellEnd"/>
      <w:r w:rsidRPr="008D5580">
        <w:rPr>
          <w:rFonts w:cs="Lucida Sans Unicode"/>
          <w:position w:val="0"/>
          <w:szCs w:val="18"/>
          <w:lang w:val="en-US"/>
        </w:rPr>
        <w:t>) are investment professionals falling within Article 19(5) of the Financial Services and Markets Act 2000 (Financial Promotion) Order 2005 (as amended) (the “Order”) or (ii) are persons falling within Article 49(2)(a) to (d) of the Order (high net worth companies, unincorporated associations, etc.) (all such persons together being referred to as “Relevant Persons”). This document is directed only at Relevant Persons and must not be acted on or relied on by persons who are not Relevant Persons. Any investment or investment activity to which this document relates is available only to Relevant Persons and will be engaged in only with Relevant Persons.</w:t>
      </w:r>
    </w:p>
    <w:p w:rsidR="002A3B8F" w:rsidRPr="008D5580" w:rsidRDefault="002A3B8F" w:rsidP="00712788">
      <w:pPr>
        <w:rPr>
          <w:rFonts w:cs="Lucida Sans Unicode"/>
          <w:position w:val="0"/>
          <w:szCs w:val="18"/>
          <w:lang w:val="en-US"/>
        </w:rPr>
      </w:pPr>
    </w:p>
    <w:p w:rsidR="002A3B8F" w:rsidRPr="008D5580" w:rsidRDefault="002A3B8F" w:rsidP="00712788">
      <w:pPr>
        <w:rPr>
          <w:rFonts w:cs="Lucida Sans Unicode"/>
          <w:position w:val="0"/>
          <w:szCs w:val="18"/>
          <w:lang w:val="en-US"/>
        </w:rPr>
      </w:pPr>
      <w:r w:rsidRPr="008D5580">
        <w:rPr>
          <w:rFonts w:cs="Lucida Sans Unicode"/>
          <w:position w:val="0"/>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2A3B8F" w:rsidRPr="00A7618B" w:rsidRDefault="002A3B8F" w:rsidP="00712788">
      <w:pPr>
        <w:spacing w:line="240" w:lineRule="auto"/>
        <w:rPr>
          <w:rFonts w:ascii="Arial" w:hAnsi="Arial"/>
          <w:szCs w:val="18"/>
          <w:lang w:val="en-GB"/>
        </w:rPr>
      </w:pPr>
    </w:p>
    <w:p w:rsidR="002A3B8F" w:rsidRDefault="002A3B8F" w:rsidP="00712788">
      <w:pPr>
        <w:rPr>
          <w:rFonts w:ascii="Arial" w:hAnsi="Arial"/>
          <w:szCs w:val="18"/>
          <w:lang w:val="en-GB"/>
        </w:rPr>
      </w:pPr>
      <w:r>
        <w:rPr>
          <w:rFonts w:ascii="Arial" w:hAnsi="Arial"/>
          <w:szCs w:val="18"/>
          <w:lang w:val="en-GB"/>
        </w:rPr>
        <w:t xml:space="preserve"> </w:t>
      </w:r>
    </w:p>
    <w:p w:rsidR="002A3B8F" w:rsidRDefault="002A3B8F">
      <w:pPr>
        <w:autoSpaceDE w:val="0"/>
        <w:autoSpaceDN w:val="0"/>
        <w:adjustRightInd w:val="0"/>
        <w:spacing w:line="220" w:lineRule="exact"/>
        <w:ind w:left="0" w:right="0"/>
        <w:rPr>
          <w:rFonts w:cs="Lucida Sans Unicode"/>
          <w:position w:val="0"/>
          <w:szCs w:val="18"/>
          <w:lang w:val="en-US"/>
        </w:rPr>
      </w:pPr>
    </w:p>
    <w:p w:rsidR="002A3B8F" w:rsidRDefault="002A3B8F">
      <w:pPr>
        <w:autoSpaceDE w:val="0"/>
        <w:autoSpaceDN w:val="0"/>
        <w:adjustRightInd w:val="0"/>
        <w:spacing w:line="220" w:lineRule="exact"/>
        <w:rPr>
          <w:rFonts w:cs="Lucida Sans Unicode"/>
          <w:b/>
          <w:bCs/>
          <w:szCs w:val="18"/>
          <w:lang w:val="en-US"/>
        </w:rPr>
      </w:pPr>
      <w:r>
        <w:rPr>
          <w:rFonts w:cs="Lucida Sans Unicode"/>
          <w:b/>
          <w:bCs/>
          <w:szCs w:val="18"/>
          <w:lang w:val="en-US"/>
        </w:rPr>
        <w:t xml:space="preserve">Company information </w:t>
      </w:r>
    </w:p>
    <w:p w:rsidR="002A3B8F" w:rsidRDefault="002A3B8F">
      <w:pPr>
        <w:autoSpaceDE w:val="0"/>
        <w:autoSpaceDN w:val="0"/>
        <w:adjustRightInd w:val="0"/>
        <w:spacing w:line="220" w:lineRule="exact"/>
        <w:rPr>
          <w:rFonts w:cs="Lucida Sans Unicode"/>
          <w:szCs w:val="18"/>
          <w:lang w:val="en-US"/>
        </w:rPr>
      </w:pPr>
      <w:r>
        <w:rPr>
          <w:rFonts w:cs="Lucida Sans Unicode"/>
          <w:szCs w:val="18"/>
          <w:lang w:val="en-US"/>
        </w:rPr>
        <w:t xml:space="preserve">Evonik, the creative industrial group from </w:t>
      </w:r>
      <w:smartTag w:uri="urn:schemas-microsoft-com:office:smarttags" w:element="place">
        <w:smartTag w:uri="urn:schemas-microsoft-com:office:smarttags" w:element="country-region">
          <w:r>
            <w:rPr>
              <w:rFonts w:cs="Lucida Sans Unicode"/>
              <w:szCs w:val="18"/>
              <w:lang w:val="en-US"/>
            </w:rPr>
            <w:t>Germany</w:t>
          </w:r>
        </w:smartTag>
      </w:smartTag>
      <w:r>
        <w:rPr>
          <w:rFonts w:cs="Lucida Sans Unicode"/>
          <w:szCs w:val="18"/>
          <w:lang w:val="en-US"/>
        </w:rPr>
        <w:t xml:space="preserve">,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2A3B8F" w:rsidRDefault="002A3B8F">
      <w:pPr>
        <w:autoSpaceDE w:val="0"/>
        <w:autoSpaceDN w:val="0"/>
        <w:adjustRightInd w:val="0"/>
        <w:spacing w:line="220" w:lineRule="exact"/>
        <w:rPr>
          <w:rFonts w:cs="Lucida Sans Unicode"/>
          <w:szCs w:val="18"/>
          <w:lang w:val="en-US"/>
        </w:rPr>
      </w:pPr>
    </w:p>
    <w:p w:rsidR="002A3B8F" w:rsidRDefault="002A3B8F">
      <w:pPr>
        <w:autoSpaceDE w:val="0"/>
        <w:autoSpaceDN w:val="0"/>
        <w:adjustRightInd w:val="0"/>
        <w:spacing w:line="220" w:lineRule="exact"/>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2A3B8F" w:rsidRDefault="002A3B8F">
      <w:pPr>
        <w:rPr>
          <w:lang w:val="en-US"/>
        </w:rPr>
      </w:pPr>
    </w:p>
    <w:p w:rsidR="002A3B8F" w:rsidRDefault="002A3B8F">
      <w:pPr>
        <w:autoSpaceDE w:val="0"/>
        <w:autoSpaceDN w:val="0"/>
        <w:adjustRightInd w:val="0"/>
        <w:spacing w:line="220" w:lineRule="exact"/>
        <w:ind w:left="0" w:right="0"/>
        <w:rPr>
          <w:rFonts w:cs="Lucida Sans Unicode"/>
          <w:position w:val="0"/>
          <w:szCs w:val="18"/>
          <w:lang w:val="en-US"/>
        </w:rPr>
      </w:pPr>
    </w:p>
    <w:sectPr w:rsidR="002A3B8F" w:rsidSect="00F5381A">
      <w:headerReference w:type="even" r:id="rId12"/>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8F" w:rsidRDefault="002A3B8F">
      <w:r>
        <w:separator/>
      </w:r>
    </w:p>
    <w:p w:rsidR="002A3B8F" w:rsidRDefault="002A3B8F"/>
  </w:endnote>
  <w:endnote w:type="continuationSeparator" w:id="0">
    <w:p w:rsidR="002A3B8F" w:rsidRDefault="002A3B8F">
      <w:r>
        <w:continuationSeparator/>
      </w:r>
    </w:p>
    <w:p w:rsidR="002A3B8F" w:rsidRDefault="002A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A3B8F">
      <w:trPr>
        <w:trHeight w:val="5348"/>
      </w:trPr>
      <w:tc>
        <w:tcPr>
          <w:tcW w:w="2562" w:type="dxa"/>
          <w:tcBorders>
            <w:top w:val="nil"/>
          </w:tcBorders>
          <w:vAlign w:val="bottom"/>
        </w:tcPr>
        <w:p w:rsidR="002A3B8F" w:rsidRDefault="002A3B8F">
          <w:pPr>
            <w:pStyle w:val="Fuzeile"/>
            <w:spacing w:line="180" w:lineRule="exact"/>
            <w:ind w:left="0" w:right="0"/>
            <w:rPr>
              <w:sz w:val="13"/>
              <w:szCs w:val="13"/>
            </w:rPr>
          </w:pPr>
        </w:p>
      </w:tc>
    </w:tr>
  </w:tbl>
  <w:p w:rsidR="002A3B8F" w:rsidRDefault="002A3B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EB5AC4">
      <w:rPr>
        <w:rStyle w:val="Seitenzahl"/>
        <w:noProof/>
      </w:rPr>
      <w:t>8</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EB5AC4">
      <w:rPr>
        <w:rStyle w:val="Seitenzahl"/>
        <w:noProof/>
      </w:rPr>
      <w:t>8</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EB5AC4">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EB5AC4">
      <w:rPr>
        <w:rStyle w:val="Seitenzahl"/>
        <w:noProof/>
      </w:rPr>
      <w:t>8</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8F" w:rsidRDefault="002A3B8F">
      <w:r>
        <w:separator/>
      </w:r>
    </w:p>
    <w:p w:rsidR="002A3B8F" w:rsidRDefault="002A3B8F"/>
  </w:footnote>
  <w:footnote w:type="continuationSeparator" w:id="0">
    <w:p w:rsidR="002A3B8F" w:rsidRDefault="002A3B8F">
      <w:r>
        <w:continuationSeparator/>
      </w:r>
    </w:p>
    <w:p w:rsidR="002A3B8F" w:rsidRDefault="002A3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A3B8F">
      <w:trPr>
        <w:trHeight w:hRule="exact" w:val="227"/>
      </w:trPr>
      <w:tc>
        <w:tcPr>
          <w:tcW w:w="2552" w:type="dxa"/>
        </w:tcPr>
        <w:p w:rsidR="002A3B8F" w:rsidRDefault="002A3B8F">
          <w:pPr>
            <w:pStyle w:val="E-Datum"/>
            <w:framePr w:wrap="auto" w:vAnchor="margin" w:hAnchor="text" w:xAlign="left" w:yAlign="inline"/>
            <w:suppressOverlap w:val="0"/>
          </w:pPr>
        </w:p>
      </w:tc>
    </w:tr>
    <w:tr w:rsidR="002A3B8F">
      <w:trPr>
        <w:trHeight w:hRule="exact" w:val="397"/>
      </w:trPr>
      <w:tc>
        <w:tcPr>
          <w:tcW w:w="2552" w:type="dxa"/>
        </w:tcPr>
        <w:p w:rsidR="002A3B8F" w:rsidRDefault="002A3B8F">
          <w:pPr>
            <w:spacing w:line="180" w:lineRule="exact"/>
            <w:ind w:left="0"/>
            <w:rPr>
              <w:sz w:val="13"/>
              <w:szCs w:val="13"/>
            </w:rPr>
          </w:pPr>
        </w:p>
      </w:tc>
    </w:tr>
    <w:tr w:rsidR="002A3B8F">
      <w:trPr>
        <w:trHeight w:hRule="exact" w:val="1304"/>
      </w:trPr>
      <w:tc>
        <w:tcPr>
          <w:tcW w:w="2552" w:type="dxa"/>
        </w:tcPr>
        <w:p w:rsidR="002A3B8F" w:rsidRDefault="002A3B8F">
          <w:pPr>
            <w:spacing w:line="180" w:lineRule="exact"/>
            <w:ind w:left="0"/>
            <w:rPr>
              <w:sz w:val="13"/>
              <w:szCs w:val="13"/>
            </w:rPr>
          </w:pPr>
        </w:p>
      </w:tc>
    </w:tr>
    <w:tr w:rsidR="002A3B8F">
      <w:trPr>
        <w:trHeight w:val="1374"/>
      </w:trPr>
      <w:tc>
        <w:tcPr>
          <w:tcW w:w="2552" w:type="dxa"/>
        </w:tcPr>
        <w:p w:rsidR="002A3B8F" w:rsidRDefault="002A3B8F">
          <w:pPr>
            <w:spacing w:line="180" w:lineRule="exact"/>
            <w:ind w:left="0"/>
            <w:rPr>
              <w:sz w:val="13"/>
              <w:szCs w:val="13"/>
            </w:rPr>
          </w:pPr>
        </w:p>
      </w:tc>
    </w:tr>
  </w:tbl>
  <w:p w:rsidR="002A3B8F" w:rsidRDefault="002A3B8F">
    <w:pPr>
      <w:pStyle w:val="Kopfzeile"/>
      <w:ind w:left="0"/>
    </w:pPr>
  </w:p>
  <w:p w:rsidR="002A3B8F" w:rsidRDefault="007D4713">
    <w:pPr>
      <w:pStyle w:val="Kopfzeile"/>
      <w:ind w:left="0"/>
    </w:pPr>
    <w:r>
      <w:rPr>
        <w:noProof/>
      </w:rPr>
      <w:drawing>
        <wp:anchor distT="0" distB="0" distL="114300" distR="114300" simplePos="0" relativeHeight="251659264" behindDoc="1" locked="0" layoutInCell="1" allowOverlap="1">
          <wp:simplePos x="0" y="0"/>
          <wp:positionH relativeFrom="page">
            <wp:posOffset>861695</wp:posOffset>
          </wp:positionH>
          <wp:positionV relativeFrom="page">
            <wp:posOffset>656590</wp:posOffset>
          </wp:positionV>
          <wp:extent cx="982980" cy="133350"/>
          <wp:effectExtent l="0" t="0" r="7620" b="0"/>
          <wp:wrapNone/>
          <wp:docPr id="8"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2A3B8F" w:rsidRDefault="002A3B8F">
    <w:pPr>
      <w:pStyle w:val="Kopfzeile"/>
      <w:ind w:left="0"/>
    </w:pPr>
  </w:p>
  <w:p w:rsidR="002A3B8F" w:rsidRDefault="002A3B8F">
    <w:pPr>
      <w:pStyle w:val="Kopfzeile"/>
      <w:ind w:left="0"/>
    </w:pPr>
  </w:p>
  <w:p w:rsidR="002A3B8F" w:rsidRDefault="007D4713">
    <w:pPr>
      <w:pStyle w:val="Kopfzeile"/>
      <w:ind w:left="0" w:right="-3"/>
      <w:rPr>
        <w:lang w:val="en-US"/>
      </w:rPr>
    </w:pP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r w:rsidR="002A3B8F">
      <w:rPr>
        <w:b/>
        <w:u w:val="single"/>
        <w:lang w:val="en-US"/>
      </w:rPr>
      <w:t xml:space="preserve">Not for release, publication or distribution in the </w:t>
    </w:r>
    <w:smartTag w:uri="urn:schemas-microsoft-com:office:smarttags" w:element="country-region">
      <w:r w:rsidR="002A3B8F">
        <w:rPr>
          <w:b/>
          <w:u w:val="single"/>
          <w:lang w:val="en-US"/>
        </w:rPr>
        <w:t>United States</w:t>
      </w:r>
    </w:smartTag>
    <w:r w:rsidR="002A3B8F">
      <w:rPr>
        <w:b/>
        <w:u w:val="single"/>
        <w:lang w:val="en-US"/>
      </w:rPr>
      <w:t xml:space="preserve">, </w:t>
    </w:r>
    <w:smartTag w:uri="urn:schemas-microsoft-com:office:smarttags" w:element="country-region">
      <w:r w:rsidR="002A3B8F">
        <w:rPr>
          <w:b/>
          <w:u w:val="single"/>
          <w:lang w:val="en-US"/>
        </w:rPr>
        <w:t>Australia</w:t>
      </w:r>
    </w:smartTag>
    <w:r w:rsidR="002A3B8F">
      <w:rPr>
        <w:b/>
        <w:u w:val="single"/>
        <w:lang w:val="en-US"/>
      </w:rPr>
      <w:t xml:space="preserve">, </w:t>
    </w:r>
    <w:r w:rsidR="002A3B8F">
      <w:rPr>
        <w:b/>
        <w:u w:val="single"/>
        <w:lang w:val="en-US"/>
      </w:rPr>
      <w:br/>
    </w:r>
    <w:smartTag w:uri="urn:schemas-microsoft-com:office:smarttags" w:element="country-region">
      <w:r w:rsidR="002A3B8F">
        <w:rPr>
          <w:b/>
          <w:u w:val="single"/>
          <w:lang w:val="en-US"/>
        </w:rPr>
        <w:t>Canada</w:t>
      </w:r>
    </w:smartTag>
    <w:r w:rsidR="002A3B8F">
      <w:rPr>
        <w:b/>
        <w:u w:val="single"/>
        <w:lang w:val="en-US"/>
      </w:rPr>
      <w:t xml:space="preserve"> or </w:t>
    </w:r>
    <w:smartTag w:uri="urn:schemas-microsoft-com:office:smarttags" w:element="place">
      <w:smartTag w:uri="urn:schemas-microsoft-com:office:smarttags" w:element="country-region">
        <w:r w:rsidR="002A3B8F">
          <w:rPr>
            <w:b/>
            <w:u w:val="single"/>
            <w:lang w:val="en-US"/>
          </w:rPr>
          <w:t>Japan</w:t>
        </w:r>
      </w:smartTag>
    </w:smartTag>
    <w:r w:rsidR="002A3B8F">
      <w:rPr>
        <w:b/>
        <w:u w:val="single"/>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pPr>
      <w:pStyle w:val="Kopfzeile"/>
      <w:ind w:left="0"/>
    </w:pPr>
  </w:p>
  <w:p w:rsidR="002A3B8F" w:rsidRDefault="007D4713">
    <w:pPr>
      <w:pStyle w:val="Kopfzeile"/>
      <w:ind w:left="0"/>
    </w:pPr>
    <w:r>
      <w:rPr>
        <w:noProof/>
      </w:rPr>
      <w:drawing>
        <wp:anchor distT="0" distB="0" distL="114300" distR="114300" simplePos="0" relativeHeight="251658240" behindDoc="1" locked="0" layoutInCell="1" allowOverlap="1">
          <wp:simplePos x="0" y="0"/>
          <wp:positionH relativeFrom="page">
            <wp:posOffset>848995</wp:posOffset>
          </wp:positionH>
          <wp:positionV relativeFrom="page">
            <wp:posOffset>701040</wp:posOffset>
          </wp:positionV>
          <wp:extent cx="982980" cy="133350"/>
          <wp:effectExtent l="0" t="0" r="7620" b="0"/>
          <wp:wrapNone/>
          <wp:docPr id="5"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p w:rsidR="002A3B8F" w:rsidRDefault="002A3B8F">
    <w:pPr>
      <w:pStyle w:val="Kopfzeile"/>
      <w:ind w:left="0"/>
    </w:pPr>
  </w:p>
  <w:p w:rsidR="002A3B8F" w:rsidRDefault="002A3B8F">
    <w:pPr>
      <w:pStyle w:val="Kopfzeile"/>
      <w:ind w:left="0"/>
    </w:pPr>
  </w:p>
  <w:p w:rsidR="002A3B8F" w:rsidRDefault="002A3B8F">
    <w:pPr>
      <w:pStyle w:val="Kopfzeile"/>
      <w:ind w:left="0" w:right="-3"/>
      <w:rPr>
        <w:lang w:val="en-US"/>
      </w:rPr>
    </w:pPr>
    <w:r>
      <w:rPr>
        <w:b/>
        <w:u w:val="single"/>
        <w:lang w:val="en-US"/>
      </w:rPr>
      <w:br/>
      <w:t xml:space="preserve">Not for release, publication or distribution in the </w:t>
    </w:r>
    <w:smartTag w:uri="urn:schemas-microsoft-com:office:smarttags" w:element="country-region">
      <w:r>
        <w:rPr>
          <w:b/>
          <w:u w:val="single"/>
          <w:lang w:val="en-US"/>
        </w:rPr>
        <w:t>United States</w:t>
      </w:r>
    </w:smartTag>
    <w:r>
      <w:rPr>
        <w:b/>
        <w:u w:val="single"/>
        <w:lang w:val="en-US"/>
      </w:rPr>
      <w:t xml:space="preserve">, </w:t>
    </w:r>
    <w:smartTag w:uri="urn:schemas-microsoft-com:office:smarttags" w:element="country-region">
      <w:r>
        <w:rPr>
          <w:b/>
          <w:u w:val="single"/>
          <w:lang w:val="en-US"/>
        </w:rPr>
        <w:t>Australia</w:t>
      </w:r>
    </w:smartTag>
    <w:r>
      <w:rPr>
        <w:b/>
        <w:u w:val="single"/>
        <w:lang w:val="en-US"/>
      </w:rPr>
      <w:t xml:space="preserve">, </w:t>
    </w:r>
    <w:r>
      <w:rPr>
        <w:b/>
        <w:u w:val="single"/>
        <w:lang w:val="en-US"/>
      </w:rPr>
      <w:br/>
    </w:r>
    <w:smartTag w:uri="urn:schemas-microsoft-com:office:smarttags" w:element="country-region">
      <w:r>
        <w:rPr>
          <w:b/>
          <w:u w:val="single"/>
          <w:lang w:val="en-US"/>
        </w:rPr>
        <w:t>Canada</w:t>
      </w:r>
    </w:smartTag>
    <w:r>
      <w:rPr>
        <w:b/>
        <w:u w:val="single"/>
        <w:lang w:val="en-US"/>
      </w:rPr>
      <w:t xml:space="preserve"> or </w:t>
    </w:r>
    <w:smartTag w:uri="urn:schemas-microsoft-com:office:smarttags" w:element="place">
      <w:smartTag w:uri="urn:schemas-microsoft-com:office:smarttags" w:element="country-region">
        <w:r>
          <w:rPr>
            <w:b/>
            <w:u w:val="single"/>
            <w:lang w:val="en-US"/>
          </w:rPr>
          <w:t>Japan</w:t>
        </w:r>
      </w:smartTag>
    </w:smartTag>
    <w:r>
      <w:rPr>
        <w:b/>
        <w:u w:val="single"/>
        <w:lang w:val="en-US"/>
      </w:rPr>
      <w:t>.</w:t>
    </w:r>
  </w:p>
  <w:p w:rsidR="002A3B8F" w:rsidRDefault="002A3B8F">
    <w:pPr>
      <w:pStyle w:val="Kopfzeile"/>
      <w:ind w:left="0"/>
      <w:rPr>
        <w:lang w:val="en-US"/>
      </w:rPr>
    </w:pPr>
  </w:p>
  <w:p w:rsidR="002A3B8F" w:rsidRDefault="002A3B8F">
    <w:pPr>
      <w:pStyle w:val="Kopfzeile"/>
      <w:ind w:left="0"/>
      <w:rPr>
        <w:u w:val="single"/>
        <w:lang w:val="en-US"/>
      </w:rPr>
    </w:pPr>
  </w:p>
  <w:p w:rsidR="002A3B8F" w:rsidRDefault="007D4713">
    <w:pPr>
      <w:pStyle w:val="Kopfzeile"/>
      <w:ind w:left="0"/>
      <w:rPr>
        <w:u w:val="single"/>
      </w:rPr>
    </w:pP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8F" w:rsidRDefault="002A3B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DA31D0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43554C2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497B4066"/>
    <w:multiLevelType w:val="multilevel"/>
    <w:tmpl w:val="719041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99911E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1"/>
  </w:num>
  <w:num w:numId="23">
    <w:abstractNumId w:val="10"/>
  </w:num>
  <w:num w:numId="24">
    <w:abstractNumId w:val="16"/>
  </w:num>
  <w:num w:numId="25">
    <w:abstractNumId w:val="14"/>
  </w:num>
  <w:num w:numId="26">
    <w:abstractNumId w:val="17"/>
  </w:num>
  <w:num w:numId="27">
    <w:abstractNumId w:val="12"/>
  </w:num>
  <w:num w:numId="2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FE"/>
    <w:rsid w:val="00000763"/>
    <w:rsid w:val="00021F95"/>
    <w:rsid w:val="00130678"/>
    <w:rsid w:val="001B28D1"/>
    <w:rsid w:val="00271801"/>
    <w:rsid w:val="002A14FD"/>
    <w:rsid w:val="002A3B8F"/>
    <w:rsid w:val="00327993"/>
    <w:rsid w:val="00370E4A"/>
    <w:rsid w:val="003B2BE7"/>
    <w:rsid w:val="00417B69"/>
    <w:rsid w:val="00515F07"/>
    <w:rsid w:val="005178F6"/>
    <w:rsid w:val="005621F8"/>
    <w:rsid w:val="005F508D"/>
    <w:rsid w:val="00601A20"/>
    <w:rsid w:val="00685ED6"/>
    <w:rsid w:val="0070050B"/>
    <w:rsid w:val="00712788"/>
    <w:rsid w:val="00765964"/>
    <w:rsid w:val="00777798"/>
    <w:rsid w:val="00782111"/>
    <w:rsid w:val="007B2E75"/>
    <w:rsid w:val="007B69E9"/>
    <w:rsid w:val="007D4713"/>
    <w:rsid w:val="00866D32"/>
    <w:rsid w:val="008D5580"/>
    <w:rsid w:val="009079B3"/>
    <w:rsid w:val="00954C34"/>
    <w:rsid w:val="009602FE"/>
    <w:rsid w:val="00976189"/>
    <w:rsid w:val="00991CA8"/>
    <w:rsid w:val="00995E8F"/>
    <w:rsid w:val="00A13245"/>
    <w:rsid w:val="00A25C33"/>
    <w:rsid w:val="00A6726C"/>
    <w:rsid w:val="00A7618B"/>
    <w:rsid w:val="00A905B2"/>
    <w:rsid w:val="00A9771F"/>
    <w:rsid w:val="00AC057C"/>
    <w:rsid w:val="00AF4A79"/>
    <w:rsid w:val="00B51B77"/>
    <w:rsid w:val="00BF028E"/>
    <w:rsid w:val="00C14193"/>
    <w:rsid w:val="00CA615B"/>
    <w:rsid w:val="00DC4E50"/>
    <w:rsid w:val="00DE2167"/>
    <w:rsid w:val="00E704B0"/>
    <w:rsid w:val="00E91429"/>
    <w:rsid w:val="00EA3AFA"/>
    <w:rsid w:val="00EB5AC4"/>
    <w:rsid w:val="00EB7D2D"/>
    <w:rsid w:val="00EE5305"/>
    <w:rsid w:val="00F04A25"/>
    <w:rsid w:val="00F14ECB"/>
    <w:rsid w:val="00F312F7"/>
    <w:rsid w:val="00F5381A"/>
    <w:rsid w:val="00F552A0"/>
    <w:rsid w:val="00FB2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5381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5381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5381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5381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5381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5381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5381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5381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5381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5381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381A"/>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F5381A"/>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F5381A"/>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F5381A"/>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F5381A"/>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F5381A"/>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F5381A"/>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F5381A"/>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F5381A"/>
    <w:rPr>
      <w:rFonts w:ascii="Cambria" w:hAnsi="Cambria" w:cs="Times New Roman"/>
      <w:position w:val="-2"/>
    </w:rPr>
  </w:style>
  <w:style w:type="table" w:styleId="Tabellenraster">
    <w:name w:val="Table Grid"/>
    <w:basedOn w:val="NormaleTabelle"/>
    <w:uiPriority w:val="99"/>
    <w:semiHidden/>
    <w:rsid w:val="00F538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F5381A"/>
    <w:pPr>
      <w:tabs>
        <w:tab w:val="center" w:pos="4536"/>
        <w:tab w:val="right" w:pos="9072"/>
      </w:tabs>
    </w:pPr>
  </w:style>
  <w:style w:type="character" w:customStyle="1" w:styleId="KopfzeileZchn">
    <w:name w:val="Kopfzeile Zchn"/>
    <w:basedOn w:val="Absatz-Standardschriftart"/>
    <w:link w:val="Kopfzeile"/>
    <w:uiPriority w:val="99"/>
    <w:locked/>
    <w:rsid w:val="00F5381A"/>
    <w:rPr>
      <w:rFonts w:ascii="Lucida Sans Unicode" w:hAnsi="Lucida Sans Unicode" w:cs="Times New Roman"/>
      <w:position w:val="-2"/>
      <w:sz w:val="24"/>
      <w:szCs w:val="24"/>
    </w:rPr>
  </w:style>
  <w:style w:type="paragraph" w:styleId="Fuzeile">
    <w:name w:val="footer"/>
    <w:basedOn w:val="Standard"/>
    <w:link w:val="FuzeileZchn"/>
    <w:uiPriority w:val="99"/>
    <w:semiHidden/>
    <w:rsid w:val="00F5381A"/>
    <w:pPr>
      <w:tabs>
        <w:tab w:val="center" w:pos="4536"/>
        <w:tab w:val="right" w:pos="9072"/>
      </w:tabs>
    </w:pPr>
  </w:style>
  <w:style w:type="character" w:customStyle="1" w:styleId="FuzeileZchn">
    <w:name w:val="Fußzeile Zchn"/>
    <w:basedOn w:val="Absatz-Standardschriftart"/>
    <w:link w:val="Fuzeile"/>
    <w:uiPriority w:val="99"/>
    <w:semiHidden/>
    <w:locked/>
    <w:rsid w:val="00F5381A"/>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F5381A"/>
  </w:style>
  <w:style w:type="character" w:customStyle="1" w:styleId="AnredeZchn">
    <w:name w:val="Anrede Zchn"/>
    <w:basedOn w:val="Absatz-Standardschriftart"/>
    <w:link w:val="Anrede"/>
    <w:uiPriority w:val="99"/>
    <w:semiHidden/>
    <w:locked/>
    <w:rsid w:val="00F5381A"/>
    <w:rPr>
      <w:rFonts w:ascii="Lucida Sans Unicode" w:hAnsi="Lucida Sans Unicode" w:cs="Times New Roman"/>
      <w:position w:val="-2"/>
      <w:sz w:val="24"/>
      <w:szCs w:val="24"/>
    </w:rPr>
  </w:style>
  <w:style w:type="paragraph" w:styleId="Aufzhlungszeichen">
    <w:name w:val="List Bullet"/>
    <w:basedOn w:val="Standard"/>
    <w:uiPriority w:val="99"/>
    <w:semiHidden/>
    <w:rsid w:val="00F5381A"/>
    <w:pPr>
      <w:numPr>
        <w:numId w:val="1"/>
      </w:numPr>
    </w:pPr>
  </w:style>
  <w:style w:type="paragraph" w:styleId="Aufzhlungszeichen2">
    <w:name w:val="List Bullet 2"/>
    <w:basedOn w:val="Standard"/>
    <w:uiPriority w:val="99"/>
    <w:semiHidden/>
    <w:rsid w:val="00F5381A"/>
    <w:pPr>
      <w:numPr>
        <w:numId w:val="2"/>
      </w:numPr>
    </w:pPr>
  </w:style>
  <w:style w:type="paragraph" w:styleId="Aufzhlungszeichen3">
    <w:name w:val="List Bullet 3"/>
    <w:basedOn w:val="Standard"/>
    <w:uiPriority w:val="99"/>
    <w:semiHidden/>
    <w:rsid w:val="00F5381A"/>
    <w:pPr>
      <w:numPr>
        <w:numId w:val="3"/>
      </w:numPr>
    </w:pPr>
  </w:style>
  <w:style w:type="paragraph" w:styleId="Aufzhlungszeichen4">
    <w:name w:val="List Bullet 4"/>
    <w:basedOn w:val="Standard"/>
    <w:uiPriority w:val="99"/>
    <w:semiHidden/>
    <w:rsid w:val="00F5381A"/>
    <w:pPr>
      <w:numPr>
        <w:numId w:val="4"/>
      </w:numPr>
    </w:pPr>
  </w:style>
  <w:style w:type="paragraph" w:styleId="Aufzhlungszeichen5">
    <w:name w:val="List Bullet 5"/>
    <w:basedOn w:val="Standard"/>
    <w:uiPriority w:val="99"/>
    <w:semiHidden/>
    <w:rsid w:val="00F5381A"/>
    <w:pPr>
      <w:numPr>
        <w:numId w:val="5"/>
      </w:numPr>
    </w:pPr>
  </w:style>
  <w:style w:type="paragraph" w:styleId="Beschriftung">
    <w:name w:val="caption"/>
    <w:basedOn w:val="Standard"/>
    <w:uiPriority w:val="99"/>
    <w:qFormat/>
    <w:rsid w:val="00F5381A"/>
    <w:pPr>
      <w:spacing w:line="120" w:lineRule="exact"/>
    </w:pPr>
    <w:rPr>
      <w:bCs/>
      <w:caps/>
      <w:position w:val="0"/>
      <w:sz w:val="11"/>
      <w:szCs w:val="20"/>
    </w:rPr>
  </w:style>
  <w:style w:type="character" w:styleId="BesuchterHyperlink">
    <w:name w:val="FollowedHyperlink"/>
    <w:basedOn w:val="Absatz-Standardschriftart"/>
    <w:uiPriority w:val="99"/>
    <w:semiHidden/>
    <w:rsid w:val="00F5381A"/>
    <w:rPr>
      <w:rFonts w:cs="Times New Roman"/>
      <w:color w:val="800080"/>
      <w:u w:val="single"/>
    </w:rPr>
  </w:style>
  <w:style w:type="paragraph" w:styleId="Blocktext">
    <w:name w:val="Block Text"/>
    <w:basedOn w:val="Standard"/>
    <w:uiPriority w:val="99"/>
    <w:semiHidden/>
    <w:rsid w:val="00F5381A"/>
    <w:pPr>
      <w:spacing w:after="120"/>
      <w:ind w:left="1440" w:right="1440"/>
    </w:pPr>
  </w:style>
  <w:style w:type="paragraph" w:styleId="Datum">
    <w:name w:val="Date"/>
    <w:basedOn w:val="Standard"/>
    <w:next w:val="Standard"/>
    <w:link w:val="DatumZchn"/>
    <w:uiPriority w:val="99"/>
    <w:semiHidden/>
    <w:rsid w:val="00F5381A"/>
  </w:style>
  <w:style w:type="character" w:customStyle="1" w:styleId="DatumZchn">
    <w:name w:val="Datum Zchn"/>
    <w:basedOn w:val="Absatz-Standardschriftart"/>
    <w:link w:val="Datum"/>
    <w:uiPriority w:val="99"/>
    <w:semiHidden/>
    <w:locked/>
    <w:rsid w:val="00F5381A"/>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F5381A"/>
  </w:style>
  <w:style w:type="character" w:customStyle="1" w:styleId="E-Mail-SignaturZchn">
    <w:name w:val="E-Mail-Signatur Zchn"/>
    <w:basedOn w:val="Absatz-Standardschriftart"/>
    <w:link w:val="E-Mail-Signatur"/>
    <w:uiPriority w:val="99"/>
    <w:semiHidden/>
    <w:locked/>
    <w:rsid w:val="00F5381A"/>
    <w:rPr>
      <w:rFonts w:ascii="Lucida Sans Unicode" w:hAnsi="Lucida Sans Unicode" w:cs="Times New Roman"/>
      <w:position w:val="-2"/>
      <w:sz w:val="24"/>
      <w:szCs w:val="24"/>
    </w:rPr>
  </w:style>
  <w:style w:type="character" w:styleId="Fett">
    <w:name w:val="Strong"/>
    <w:basedOn w:val="Absatz-Standardschriftart"/>
    <w:uiPriority w:val="99"/>
    <w:qFormat/>
    <w:rsid w:val="00F5381A"/>
    <w:rPr>
      <w:rFonts w:cs="Times New Roman"/>
      <w:b/>
    </w:rPr>
  </w:style>
  <w:style w:type="paragraph" w:styleId="Fu-Endnotenberschrift">
    <w:name w:val="Note Heading"/>
    <w:basedOn w:val="Standard"/>
    <w:next w:val="Standard"/>
    <w:link w:val="Fu-EndnotenberschriftZchn"/>
    <w:uiPriority w:val="99"/>
    <w:semiHidden/>
    <w:rsid w:val="00F5381A"/>
  </w:style>
  <w:style w:type="character" w:customStyle="1" w:styleId="Fu-EndnotenberschriftZchn">
    <w:name w:val="Fuß/-Endnotenüberschrift Zchn"/>
    <w:basedOn w:val="Absatz-Standardschriftart"/>
    <w:link w:val="Fu-Endnotenberschrift"/>
    <w:uiPriority w:val="99"/>
    <w:semiHidden/>
    <w:locked/>
    <w:rsid w:val="00F5381A"/>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F5381A"/>
    <w:pPr>
      <w:ind w:left="4252"/>
    </w:pPr>
  </w:style>
  <w:style w:type="character" w:customStyle="1" w:styleId="GruformelZchn">
    <w:name w:val="Grußformel Zchn"/>
    <w:basedOn w:val="Absatz-Standardschriftart"/>
    <w:link w:val="Gruformel"/>
    <w:uiPriority w:val="99"/>
    <w:semiHidden/>
    <w:locked/>
    <w:rsid w:val="00F5381A"/>
    <w:rPr>
      <w:rFonts w:ascii="Lucida Sans Unicode" w:hAnsi="Lucida Sans Unicode" w:cs="Times New Roman"/>
      <w:position w:val="-2"/>
      <w:sz w:val="24"/>
      <w:szCs w:val="24"/>
    </w:rPr>
  </w:style>
  <w:style w:type="character" w:styleId="Hervorhebung">
    <w:name w:val="Emphasis"/>
    <w:basedOn w:val="Absatz-Standardschriftart"/>
    <w:uiPriority w:val="99"/>
    <w:qFormat/>
    <w:rsid w:val="00F5381A"/>
    <w:rPr>
      <w:rFonts w:cs="Times New Roman"/>
      <w:i/>
    </w:rPr>
  </w:style>
  <w:style w:type="paragraph" w:styleId="HTMLAdresse">
    <w:name w:val="HTML Address"/>
    <w:basedOn w:val="Standard"/>
    <w:link w:val="HTMLAdresseZchn"/>
    <w:uiPriority w:val="99"/>
    <w:semiHidden/>
    <w:rsid w:val="00F5381A"/>
    <w:rPr>
      <w:i/>
      <w:iCs/>
    </w:rPr>
  </w:style>
  <w:style w:type="character" w:customStyle="1" w:styleId="HTMLAdresseZchn">
    <w:name w:val="HTML Adresse Zchn"/>
    <w:basedOn w:val="Absatz-Standardschriftart"/>
    <w:link w:val="HTMLAdresse"/>
    <w:uiPriority w:val="99"/>
    <w:semiHidden/>
    <w:locked/>
    <w:rsid w:val="00F5381A"/>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F5381A"/>
    <w:rPr>
      <w:rFonts w:cs="Times New Roman"/>
    </w:rPr>
  </w:style>
  <w:style w:type="character" w:styleId="HTMLBeispiel">
    <w:name w:val="HTML Sample"/>
    <w:basedOn w:val="Absatz-Standardschriftart"/>
    <w:uiPriority w:val="99"/>
    <w:semiHidden/>
    <w:rsid w:val="00F5381A"/>
    <w:rPr>
      <w:rFonts w:ascii="Courier New" w:hAnsi="Courier New" w:cs="Times New Roman"/>
    </w:rPr>
  </w:style>
  <w:style w:type="character" w:styleId="HTMLCode">
    <w:name w:val="HTML Code"/>
    <w:basedOn w:val="Absatz-Standardschriftart"/>
    <w:uiPriority w:val="99"/>
    <w:semiHidden/>
    <w:rsid w:val="00F5381A"/>
    <w:rPr>
      <w:rFonts w:ascii="Courier New" w:hAnsi="Courier New" w:cs="Times New Roman"/>
      <w:sz w:val="20"/>
    </w:rPr>
  </w:style>
  <w:style w:type="character" w:styleId="HTMLDefinition">
    <w:name w:val="HTML Definition"/>
    <w:basedOn w:val="Absatz-Standardschriftart"/>
    <w:uiPriority w:val="99"/>
    <w:semiHidden/>
    <w:rsid w:val="00F5381A"/>
    <w:rPr>
      <w:rFonts w:cs="Times New Roman"/>
      <w:i/>
    </w:rPr>
  </w:style>
  <w:style w:type="character" w:styleId="HTMLSchreibmaschine">
    <w:name w:val="HTML Typewriter"/>
    <w:basedOn w:val="Absatz-Standardschriftart"/>
    <w:uiPriority w:val="99"/>
    <w:semiHidden/>
    <w:rsid w:val="00F5381A"/>
    <w:rPr>
      <w:rFonts w:ascii="Courier New" w:hAnsi="Courier New" w:cs="Times New Roman"/>
      <w:sz w:val="20"/>
    </w:rPr>
  </w:style>
  <w:style w:type="character" w:styleId="HTMLTastatur">
    <w:name w:val="HTML Keyboard"/>
    <w:basedOn w:val="Absatz-Standardschriftart"/>
    <w:uiPriority w:val="99"/>
    <w:semiHidden/>
    <w:rsid w:val="00F5381A"/>
    <w:rPr>
      <w:rFonts w:ascii="Courier New" w:hAnsi="Courier New" w:cs="Times New Roman"/>
      <w:sz w:val="20"/>
    </w:rPr>
  </w:style>
  <w:style w:type="character" w:styleId="HTMLVariable">
    <w:name w:val="HTML Variable"/>
    <w:basedOn w:val="Absatz-Standardschriftart"/>
    <w:uiPriority w:val="99"/>
    <w:semiHidden/>
    <w:rsid w:val="00F5381A"/>
    <w:rPr>
      <w:rFonts w:cs="Times New Roman"/>
      <w:i/>
    </w:rPr>
  </w:style>
  <w:style w:type="paragraph" w:styleId="HTMLVorformatiert">
    <w:name w:val="HTML Preformatted"/>
    <w:basedOn w:val="Standard"/>
    <w:link w:val="HTMLVorformatiertZchn"/>
    <w:uiPriority w:val="99"/>
    <w:semiHidden/>
    <w:rsid w:val="00F5381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F5381A"/>
    <w:rPr>
      <w:rFonts w:ascii="Courier New" w:hAnsi="Courier New" w:cs="Courier New"/>
      <w:position w:val="-2"/>
      <w:sz w:val="20"/>
      <w:szCs w:val="20"/>
    </w:rPr>
  </w:style>
  <w:style w:type="character" w:styleId="HTMLZitat">
    <w:name w:val="HTML Cite"/>
    <w:basedOn w:val="Absatz-Standardschriftart"/>
    <w:uiPriority w:val="99"/>
    <w:semiHidden/>
    <w:rsid w:val="00F5381A"/>
    <w:rPr>
      <w:rFonts w:cs="Times New Roman"/>
      <w:i/>
    </w:rPr>
  </w:style>
  <w:style w:type="character" w:styleId="Hyperlink">
    <w:name w:val="Hyperlink"/>
    <w:basedOn w:val="Absatz-Standardschriftart"/>
    <w:uiPriority w:val="99"/>
    <w:semiHidden/>
    <w:rsid w:val="00F5381A"/>
    <w:rPr>
      <w:rFonts w:cs="Times New Roman"/>
      <w:color w:val="0000FF"/>
      <w:u w:val="single"/>
    </w:rPr>
  </w:style>
  <w:style w:type="paragraph" w:styleId="Liste">
    <w:name w:val="List"/>
    <w:basedOn w:val="Standard"/>
    <w:uiPriority w:val="99"/>
    <w:semiHidden/>
    <w:rsid w:val="00F5381A"/>
    <w:pPr>
      <w:ind w:left="283" w:hanging="283"/>
    </w:pPr>
  </w:style>
  <w:style w:type="paragraph" w:styleId="Liste2">
    <w:name w:val="List 2"/>
    <w:basedOn w:val="Standard"/>
    <w:uiPriority w:val="99"/>
    <w:semiHidden/>
    <w:rsid w:val="00F5381A"/>
    <w:pPr>
      <w:ind w:left="566" w:hanging="283"/>
    </w:pPr>
  </w:style>
  <w:style w:type="paragraph" w:styleId="Liste3">
    <w:name w:val="List 3"/>
    <w:basedOn w:val="Standard"/>
    <w:uiPriority w:val="99"/>
    <w:semiHidden/>
    <w:rsid w:val="00F5381A"/>
    <w:pPr>
      <w:ind w:left="849" w:hanging="283"/>
    </w:pPr>
  </w:style>
  <w:style w:type="paragraph" w:styleId="Liste4">
    <w:name w:val="List 4"/>
    <w:basedOn w:val="Standard"/>
    <w:uiPriority w:val="99"/>
    <w:semiHidden/>
    <w:rsid w:val="00F5381A"/>
    <w:pPr>
      <w:ind w:left="1132" w:hanging="283"/>
    </w:pPr>
  </w:style>
  <w:style w:type="paragraph" w:styleId="Liste5">
    <w:name w:val="List 5"/>
    <w:basedOn w:val="Standard"/>
    <w:uiPriority w:val="99"/>
    <w:semiHidden/>
    <w:rsid w:val="00F5381A"/>
    <w:pPr>
      <w:ind w:left="1415" w:hanging="283"/>
    </w:pPr>
  </w:style>
  <w:style w:type="paragraph" w:styleId="Listenfortsetzung">
    <w:name w:val="List Continue"/>
    <w:basedOn w:val="Standard"/>
    <w:uiPriority w:val="99"/>
    <w:semiHidden/>
    <w:rsid w:val="00F5381A"/>
    <w:pPr>
      <w:spacing w:after="120"/>
      <w:ind w:left="283"/>
    </w:pPr>
  </w:style>
  <w:style w:type="paragraph" w:styleId="Listenfortsetzung2">
    <w:name w:val="List Continue 2"/>
    <w:basedOn w:val="Standard"/>
    <w:uiPriority w:val="99"/>
    <w:semiHidden/>
    <w:rsid w:val="00F5381A"/>
    <w:pPr>
      <w:spacing w:after="120"/>
      <w:ind w:left="566"/>
    </w:pPr>
  </w:style>
  <w:style w:type="paragraph" w:styleId="Listenfortsetzung3">
    <w:name w:val="List Continue 3"/>
    <w:basedOn w:val="Standard"/>
    <w:uiPriority w:val="99"/>
    <w:semiHidden/>
    <w:rsid w:val="00F5381A"/>
    <w:pPr>
      <w:spacing w:after="120"/>
      <w:ind w:left="849"/>
    </w:pPr>
  </w:style>
  <w:style w:type="paragraph" w:styleId="Listenfortsetzung4">
    <w:name w:val="List Continue 4"/>
    <w:basedOn w:val="Standard"/>
    <w:uiPriority w:val="99"/>
    <w:semiHidden/>
    <w:rsid w:val="00F5381A"/>
    <w:pPr>
      <w:spacing w:after="120"/>
      <w:ind w:left="1132"/>
    </w:pPr>
  </w:style>
  <w:style w:type="paragraph" w:styleId="Listenfortsetzung5">
    <w:name w:val="List Continue 5"/>
    <w:basedOn w:val="Standard"/>
    <w:uiPriority w:val="99"/>
    <w:semiHidden/>
    <w:rsid w:val="00F5381A"/>
    <w:pPr>
      <w:spacing w:after="120"/>
      <w:ind w:left="1415"/>
    </w:pPr>
  </w:style>
  <w:style w:type="paragraph" w:styleId="Listennummer">
    <w:name w:val="List Number"/>
    <w:basedOn w:val="Standard"/>
    <w:uiPriority w:val="99"/>
    <w:semiHidden/>
    <w:rsid w:val="00F5381A"/>
    <w:pPr>
      <w:numPr>
        <w:numId w:val="6"/>
      </w:numPr>
    </w:pPr>
  </w:style>
  <w:style w:type="paragraph" w:styleId="Listennummer2">
    <w:name w:val="List Number 2"/>
    <w:basedOn w:val="Standard"/>
    <w:uiPriority w:val="99"/>
    <w:semiHidden/>
    <w:rsid w:val="00F5381A"/>
    <w:pPr>
      <w:numPr>
        <w:numId w:val="7"/>
      </w:numPr>
    </w:pPr>
  </w:style>
  <w:style w:type="paragraph" w:styleId="Listennummer3">
    <w:name w:val="List Number 3"/>
    <w:basedOn w:val="Standard"/>
    <w:uiPriority w:val="99"/>
    <w:semiHidden/>
    <w:rsid w:val="00F5381A"/>
    <w:pPr>
      <w:numPr>
        <w:numId w:val="8"/>
      </w:numPr>
    </w:pPr>
  </w:style>
  <w:style w:type="paragraph" w:styleId="Listennummer4">
    <w:name w:val="List Number 4"/>
    <w:basedOn w:val="Standard"/>
    <w:uiPriority w:val="99"/>
    <w:semiHidden/>
    <w:rsid w:val="00F5381A"/>
    <w:pPr>
      <w:numPr>
        <w:numId w:val="9"/>
      </w:numPr>
    </w:pPr>
  </w:style>
  <w:style w:type="paragraph" w:styleId="Listennummer5">
    <w:name w:val="List Number 5"/>
    <w:basedOn w:val="Standard"/>
    <w:uiPriority w:val="99"/>
    <w:semiHidden/>
    <w:rsid w:val="00F5381A"/>
    <w:pPr>
      <w:numPr>
        <w:numId w:val="10"/>
      </w:numPr>
    </w:pPr>
  </w:style>
  <w:style w:type="paragraph" w:styleId="Nachrichtenkopf">
    <w:name w:val="Message Header"/>
    <w:basedOn w:val="Standard"/>
    <w:link w:val="NachrichtenkopfZchn"/>
    <w:uiPriority w:val="99"/>
    <w:semiHidden/>
    <w:rsid w:val="00F53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F5381A"/>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F5381A"/>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F5381A"/>
    <w:rPr>
      <w:rFonts w:ascii="Courier New" w:hAnsi="Courier New" w:cs="Courier New"/>
      <w:position w:val="-2"/>
      <w:sz w:val="20"/>
      <w:szCs w:val="20"/>
    </w:rPr>
  </w:style>
  <w:style w:type="character" w:styleId="Seitenzahl">
    <w:name w:val="page number"/>
    <w:basedOn w:val="Absatz-Standardschriftart"/>
    <w:uiPriority w:val="99"/>
    <w:semiHidden/>
    <w:rsid w:val="00F5381A"/>
    <w:rPr>
      <w:rFonts w:cs="Times New Roman"/>
    </w:rPr>
  </w:style>
  <w:style w:type="paragraph" w:styleId="StandardWeb">
    <w:name w:val="Normal (Web)"/>
    <w:basedOn w:val="Standard"/>
    <w:uiPriority w:val="99"/>
    <w:semiHidden/>
    <w:rsid w:val="00F5381A"/>
    <w:rPr>
      <w:rFonts w:ascii="Times New Roman" w:hAnsi="Times New Roman"/>
      <w:sz w:val="24"/>
    </w:rPr>
  </w:style>
  <w:style w:type="paragraph" w:styleId="Standardeinzug">
    <w:name w:val="Normal Indent"/>
    <w:basedOn w:val="Standard"/>
    <w:uiPriority w:val="99"/>
    <w:semiHidden/>
    <w:rsid w:val="00F5381A"/>
    <w:pPr>
      <w:ind w:left="708"/>
    </w:pPr>
  </w:style>
  <w:style w:type="table" w:styleId="Tabelle3D-Effekt1">
    <w:name w:val="Table 3D effects 1"/>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5381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5381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5381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5381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5381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5381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5381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5381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5381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5381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5381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5381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5381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5381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5381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5381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5381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5381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5381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5381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5381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5381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5381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5381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5381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5381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5381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5381A"/>
    <w:pPr>
      <w:spacing w:after="120"/>
    </w:pPr>
  </w:style>
  <w:style w:type="character" w:customStyle="1" w:styleId="TextkrperZchn">
    <w:name w:val="Textkörper Zchn"/>
    <w:basedOn w:val="Absatz-Standardschriftart"/>
    <w:link w:val="Textkrper"/>
    <w:uiPriority w:val="99"/>
    <w:semiHidden/>
    <w:locked/>
    <w:rsid w:val="00F5381A"/>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F5381A"/>
    <w:pPr>
      <w:spacing w:after="120" w:line="480" w:lineRule="auto"/>
    </w:pPr>
  </w:style>
  <w:style w:type="character" w:customStyle="1" w:styleId="Textkrper2Zchn">
    <w:name w:val="Textkörper 2 Zchn"/>
    <w:basedOn w:val="Absatz-Standardschriftart"/>
    <w:link w:val="Textkrper2"/>
    <w:uiPriority w:val="99"/>
    <w:semiHidden/>
    <w:locked/>
    <w:rsid w:val="00F5381A"/>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F5381A"/>
    <w:pPr>
      <w:spacing w:after="120"/>
    </w:pPr>
    <w:rPr>
      <w:sz w:val="16"/>
      <w:szCs w:val="16"/>
    </w:rPr>
  </w:style>
  <w:style w:type="character" w:customStyle="1" w:styleId="Textkrper3Zchn">
    <w:name w:val="Textkörper 3 Zchn"/>
    <w:basedOn w:val="Absatz-Standardschriftart"/>
    <w:link w:val="Textkrper3"/>
    <w:uiPriority w:val="99"/>
    <w:semiHidden/>
    <w:locked/>
    <w:rsid w:val="00F5381A"/>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F5381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F5381A"/>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F5381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F5381A"/>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F5381A"/>
    <w:pPr>
      <w:ind w:firstLine="210"/>
    </w:pPr>
  </w:style>
  <w:style w:type="character" w:customStyle="1" w:styleId="Textkrper-ErstzeileneinzugZchn">
    <w:name w:val="Textkörper-Erstzeileneinzug Zchn"/>
    <w:basedOn w:val="TextkrperZchn"/>
    <w:link w:val="Textkrper-Erstzeileneinzug"/>
    <w:uiPriority w:val="99"/>
    <w:semiHidden/>
    <w:locked/>
    <w:rsid w:val="00F5381A"/>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F5381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F5381A"/>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F5381A"/>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F5381A"/>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F5381A"/>
    <w:rPr>
      <w:rFonts w:ascii="Arial" w:hAnsi="Arial" w:cs="Arial"/>
      <w:sz w:val="20"/>
      <w:szCs w:val="20"/>
    </w:rPr>
  </w:style>
  <w:style w:type="paragraph" w:styleId="Umschlagadresse">
    <w:name w:val="envelope address"/>
    <w:basedOn w:val="Standard"/>
    <w:uiPriority w:val="99"/>
    <w:semiHidden/>
    <w:rsid w:val="00F5381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5381A"/>
    <w:pPr>
      <w:ind w:left="4252"/>
    </w:pPr>
  </w:style>
  <w:style w:type="character" w:customStyle="1" w:styleId="UnterschriftZchn">
    <w:name w:val="Unterschrift Zchn"/>
    <w:basedOn w:val="Absatz-Standardschriftart"/>
    <w:link w:val="Unterschrift"/>
    <w:uiPriority w:val="99"/>
    <w:semiHidden/>
    <w:locked/>
    <w:rsid w:val="00F5381A"/>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F5381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F5381A"/>
    <w:rPr>
      <w:rFonts w:ascii="Cambria" w:hAnsi="Cambria" w:cs="Times New Roman"/>
      <w:position w:val="-2"/>
      <w:sz w:val="24"/>
      <w:szCs w:val="24"/>
    </w:rPr>
  </w:style>
  <w:style w:type="character" w:styleId="Zeilennummer">
    <w:name w:val="line number"/>
    <w:basedOn w:val="Absatz-Standardschriftart"/>
    <w:uiPriority w:val="99"/>
    <w:semiHidden/>
    <w:rsid w:val="00F5381A"/>
    <w:rPr>
      <w:rFonts w:cs="Times New Roman"/>
    </w:rPr>
  </w:style>
  <w:style w:type="paragraph" w:styleId="Titel">
    <w:name w:val="Title"/>
    <w:basedOn w:val="Standard"/>
    <w:link w:val="TitelZchn"/>
    <w:uiPriority w:val="99"/>
    <w:qFormat/>
    <w:rsid w:val="00F5381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F5381A"/>
    <w:rPr>
      <w:rFonts w:ascii="Cambria" w:hAnsi="Cambria" w:cs="Times New Roman"/>
      <w:b/>
      <w:bCs/>
      <w:kern w:val="28"/>
      <w:position w:val="-2"/>
      <w:sz w:val="32"/>
      <w:szCs w:val="32"/>
    </w:rPr>
  </w:style>
  <w:style w:type="paragraph" w:customStyle="1" w:styleId="Zahl">
    <w:name w:val="Zahl"/>
    <w:basedOn w:val="Standard"/>
    <w:uiPriority w:val="99"/>
    <w:rsid w:val="00F5381A"/>
    <w:pPr>
      <w:ind w:left="74" w:right="-170"/>
    </w:pPr>
    <w:rPr>
      <w:rFonts w:ascii="Lucida Sans Typewriter" w:hAnsi="Lucida Sans Typewriter"/>
      <w:spacing w:val="146"/>
    </w:rPr>
  </w:style>
  <w:style w:type="paragraph" w:customStyle="1" w:styleId="Marginalie">
    <w:name w:val="Marginalie"/>
    <w:basedOn w:val="Standard"/>
    <w:uiPriority w:val="99"/>
    <w:rsid w:val="00F5381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538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5381A"/>
    <w:rPr>
      <w:rFonts w:cs="Times New Roman"/>
      <w:position w:val="-2"/>
      <w:sz w:val="2"/>
    </w:rPr>
  </w:style>
  <w:style w:type="paragraph" w:customStyle="1" w:styleId="E-Datum">
    <w:name w:val="E-Datum"/>
    <w:basedOn w:val="Standard"/>
    <w:uiPriority w:val="99"/>
    <w:rsid w:val="00F5381A"/>
    <w:pPr>
      <w:framePr w:wrap="around" w:vAnchor="page" w:hAnchor="page" w:x="8971" w:y="3222"/>
      <w:spacing w:line="180" w:lineRule="exact"/>
      <w:ind w:left="0"/>
      <w:suppressOverlap/>
    </w:pPr>
  </w:style>
  <w:style w:type="paragraph" w:customStyle="1" w:styleId="M1">
    <w:name w:val="M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rsid w:val="00F5381A"/>
    <w:pPr>
      <w:spacing w:line="260" w:lineRule="atLeast"/>
    </w:pPr>
    <w:rPr>
      <w:rFonts w:eastAsia="SimSun"/>
      <w:lang w:eastAsia="en-US"/>
    </w:rPr>
  </w:style>
  <w:style w:type="character" w:styleId="Kommentarzeichen">
    <w:name w:val="annotation reference"/>
    <w:basedOn w:val="Absatz-Standardschriftart"/>
    <w:uiPriority w:val="99"/>
    <w:semiHidden/>
    <w:rsid w:val="00B51B77"/>
    <w:rPr>
      <w:rFonts w:cs="Times New Roman"/>
      <w:sz w:val="16"/>
      <w:szCs w:val="16"/>
    </w:rPr>
  </w:style>
  <w:style w:type="paragraph" w:styleId="Kommentartext">
    <w:name w:val="annotation text"/>
    <w:basedOn w:val="Standard"/>
    <w:link w:val="KommentartextZchn"/>
    <w:uiPriority w:val="99"/>
    <w:semiHidden/>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B51B77"/>
    <w:rPr>
      <w:rFonts w:ascii="Lucida Sans Unicode" w:hAnsi="Lucida Sans Unicode" w:cs="Times New Roman"/>
      <w:position w:val="-2"/>
      <w:sz w:val="20"/>
      <w:szCs w:val="20"/>
    </w:rPr>
  </w:style>
  <w:style w:type="paragraph" w:styleId="Kommentarthema">
    <w:name w:val="annotation subject"/>
    <w:basedOn w:val="Kommentartext"/>
    <w:next w:val="Kommentartext"/>
    <w:link w:val="KommentarthemaZchn"/>
    <w:uiPriority w:val="99"/>
    <w:semiHidden/>
    <w:rsid w:val="00B51B77"/>
    <w:rPr>
      <w:b/>
      <w:bCs/>
    </w:rPr>
  </w:style>
  <w:style w:type="character" w:customStyle="1" w:styleId="KommentarthemaZchn">
    <w:name w:val="Kommentarthema Zchn"/>
    <w:basedOn w:val="KommentartextZchn"/>
    <w:link w:val="Kommentarthema"/>
    <w:uiPriority w:val="99"/>
    <w:semiHidden/>
    <w:locked/>
    <w:rsid w:val="00B51B77"/>
    <w:rPr>
      <w:rFonts w:ascii="Lucida Sans Unicode" w:hAnsi="Lucida Sans Unicode" w:cs="Times New Roman"/>
      <w:b/>
      <w:bCs/>
      <w:position w:val="-2"/>
      <w:sz w:val="20"/>
      <w:szCs w:val="20"/>
    </w:rPr>
  </w:style>
  <w:style w:type="paragraph" w:customStyle="1" w:styleId="ErsteZeile">
    <w:name w:val="Erste Zeile"/>
    <w:basedOn w:val="Standard"/>
    <w:next w:val="Standard"/>
    <w:autoRedefine/>
    <w:uiPriority w:val="99"/>
    <w:rsid w:val="00712788"/>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rsid w:val="00712788"/>
    <w:pPr>
      <w:spacing w:line="300" w:lineRule="atLeast"/>
      <w:ind w:left="0" w:right="0" w:firstLine="567"/>
    </w:pPr>
    <w:rPr>
      <w:position w:val="0"/>
      <w:szCs w:val="20"/>
      <w:lang w:eastAsia="en-US"/>
    </w:rPr>
  </w:style>
  <w:style w:type="numbering" w:styleId="ArtikelAbschnitt">
    <w:name w:val="Outline List 3"/>
    <w:basedOn w:val="KeineListe"/>
    <w:uiPriority w:val="99"/>
    <w:semiHidden/>
    <w:unhideWhenUsed/>
    <w:locked/>
    <w:rsid w:val="008B41E3"/>
    <w:pPr>
      <w:numPr>
        <w:numId w:val="23"/>
      </w:numPr>
    </w:pPr>
  </w:style>
  <w:style w:type="numbering" w:styleId="1ai">
    <w:name w:val="Outline List 1"/>
    <w:basedOn w:val="KeineListe"/>
    <w:uiPriority w:val="99"/>
    <w:semiHidden/>
    <w:unhideWhenUsed/>
    <w:locked/>
    <w:rsid w:val="008B41E3"/>
    <w:pPr>
      <w:numPr>
        <w:numId w:val="22"/>
      </w:numPr>
    </w:pPr>
  </w:style>
  <w:style w:type="numbering" w:styleId="111111">
    <w:name w:val="Outline List 2"/>
    <w:basedOn w:val="KeineListe"/>
    <w:uiPriority w:val="99"/>
    <w:semiHidden/>
    <w:unhideWhenUsed/>
    <w:locked/>
    <w:rsid w:val="008B41E3"/>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F5381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5381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5381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5381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5381A"/>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5381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5381A"/>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5381A"/>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5381A"/>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5381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381A"/>
    <w:rPr>
      <w:rFonts w:ascii="Cambria" w:hAnsi="Cambria" w:cs="Times New Roman"/>
      <w:b/>
      <w:bCs/>
      <w:kern w:val="32"/>
      <w:position w:val="-2"/>
      <w:sz w:val="32"/>
      <w:szCs w:val="32"/>
    </w:rPr>
  </w:style>
  <w:style w:type="character" w:customStyle="1" w:styleId="berschrift2Zchn">
    <w:name w:val="Überschrift 2 Zchn"/>
    <w:basedOn w:val="Absatz-Standardschriftart"/>
    <w:link w:val="berschrift2"/>
    <w:uiPriority w:val="99"/>
    <w:semiHidden/>
    <w:locked/>
    <w:rsid w:val="00F5381A"/>
    <w:rPr>
      <w:rFonts w:ascii="Cambria" w:hAnsi="Cambria" w:cs="Times New Roman"/>
      <w:b/>
      <w:bCs/>
      <w:i/>
      <w:iCs/>
      <w:position w:val="-2"/>
      <w:sz w:val="28"/>
      <w:szCs w:val="28"/>
    </w:rPr>
  </w:style>
  <w:style w:type="character" w:customStyle="1" w:styleId="berschrift3Zchn">
    <w:name w:val="Überschrift 3 Zchn"/>
    <w:basedOn w:val="Absatz-Standardschriftart"/>
    <w:link w:val="berschrift3"/>
    <w:uiPriority w:val="99"/>
    <w:semiHidden/>
    <w:locked/>
    <w:rsid w:val="00F5381A"/>
    <w:rPr>
      <w:rFonts w:ascii="Cambria" w:hAnsi="Cambria" w:cs="Times New Roman"/>
      <w:b/>
      <w:bCs/>
      <w:position w:val="-2"/>
      <w:sz w:val="26"/>
      <w:szCs w:val="26"/>
    </w:rPr>
  </w:style>
  <w:style w:type="character" w:customStyle="1" w:styleId="berschrift4Zchn">
    <w:name w:val="Überschrift 4 Zchn"/>
    <w:basedOn w:val="Absatz-Standardschriftart"/>
    <w:link w:val="berschrift4"/>
    <w:uiPriority w:val="99"/>
    <w:semiHidden/>
    <w:locked/>
    <w:rsid w:val="00F5381A"/>
    <w:rPr>
      <w:rFonts w:ascii="Calibri" w:hAnsi="Calibri" w:cs="Times New Roman"/>
      <w:b/>
      <w:bCs/>
      <w:position w:val="-2"/>
      <w:sz w:val="28"/>
      <w:szCs w:val="28"/>
    </w:rPr>
  </w:style>
  <w:style w:type="character" w:customStyle="1" w:styleId="berschrift5Zchn">
    <w:name w:val="Überschrift 5 Zchn"/>
    <w:basedOn w:val="Absatz-Standardschriftart"/>
    <w:link w:val="berschrift5"/>
    <w:uiPriority w:val="99"/>
    <w:semiHidden/>
    <w:locked/>
    <w:rsid w:val="00F5381A"/>
    <w:rPr>
      <w:rFonts w:ascii="Calibri" w:hAnsi="Calibri" w:cs="Times New Roman"/>
      <w:b/>
      <w:bCs/>
      <w:i/>
      <w:iCs/>
      <w:position w:val="-2"/>
      <w:sz w:val="26"/>
      <w:szCs w:val="26"/>
    </w:rPr>
  </w:style>
  <w:style w:type="character" w:customStyle="1" w:styleId="berschrift6Zchn">
    <w:name w:val="Überschrift 6 Zchn"/>
    <w:basedOn w:val="Absatz-Standardschriftart"/>
    <w:link w:val="berschrift6"/>
    <w:uiPriority w:val="99"/>
    <w:semiHidden/>
    <w:locked/>
    <w:rsid w:val="00F5381A"/>
    <w:rPr>
      <w:rFonts w:ascii="Calibri" w:hAnsi="Calibri" w:cs="Times New Roman"/>
      <w:b/>
      <w:bCs/>
      <w:position w:val="-2"/>
    </w:rPr>
  </w:style>
  <w:style w:type="character" w:customStyle="1" w:styleId="berschrift7Zchn">
    <w:name w:val="Überschrift 7 Zchn"/>
    <w:basedOn w:val="Absatz-Standardschriftart"/>
    <w:link w:val="berschrift7"/>
    <w:uiPriority w:val="99"/>
    <w:semiHidden/>
    <w:locked/>
    <w:rsid w:val="00F5381A"/>
    <w:rPr>
      <w:rFonts w:ascii="Calibri" w:hAnsi="Calibri" w:cs="Times New Roman"/>
      <w:position w:val="-2"/>
      <w:sz w:val="24"/>
      <w:szCs w:val="24"/>
    </w:rPr>
  </w:style>
  <w:style w:type="character" w:customStyle="1" w:styleId="berschrift8Zchn">
    <w:name w:val="Überschrift 8 Zchn"/>
    <w:basedOn w:val="Absatz-Standardschriftart"/>
    <w:link w:val="berschrift8"/>
    <w:uiPriority w:val="99"/>
    <w:semiHidden/>
    <w:locked/>
    <w:rsid w:val="00F5381A"/>
    <w:rPr>
      <w:rFonts w:ascii="Calibri" w:hAnsi="Calibri" w:cs="Times New Roman"/>
      <w:i/>
      <w:iCs/>
      <w:position w:val="-2"/>
      <w:sz w:val="24"/>
      <w:szCs w:val="24"/>
    </w:rPr>
  </w:style>
  <w:style w:type="character" w:customStyle="1" w:styleId="berschrift9Zchn">
    <w:name w:val="Überschrift 9 Zchn"/>
    <w:basedOn w:val="Absatz-Standardschriftart"/>
    <w:link w:val="berschrift9"/>
    <w:uiPriority w:val="99"/>
    <w:semiHidden/>
    <w:locked/>
    <w:rsid w:val="00F5381A"/>
    <w:rPr>
      <w:rFonts w:ascii="Cambria" w:hAnsi="Cambria" w:cs="Times New Roman"/>
      <w:position w:val="-2"/>
    </w:rPr>
  </w:style>
  <w:style w:type="table" w:styleId="Tabellenraster">
    <w:name w:val="Table Grid"/>
    <w:basedOn w:val="NormaleTabelle"/>
    <w:uiPriority w:val="99"/>
    <w:semiHidden/>
    <w:rsid w:val="00F538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F5381A"/>
    <w:pPr>
      <w:tabs>
        <w:tab w:val="center" w:pos="4536"/>
        <w:tab w:val="right" w:pos="9072"/>
      </w:tabs>
    </w:pPr>
  </w:style>
  <w:style w:type="character" w:customStyle="1" w:styleId="KopfzeileZchn">
    <w:name w:val="Kopfzeile Zchn"/>
    <w:basedOn w:val="Absatz-Standardschriftart"/>
    <w:link w:val="Kopfzeile"/>
    <w:uiPriority w:val="99"/>
    <w:locked/>
    <w:rsid w:val="00F5381A"/>
    <w:rPr>
      <w:rFonts w:ascii="Lucida Sans Unicode" w:hAnsi="Lucida Sans Unicode" w:cs="Times New Roman"/>
      <w:position w:val="-2"/>
      <w:sz w:val="24"/>
      <w:szCs w:val="24"/>
    </w:rPr>
  </w:style>
  <w:style w:type="paragraph" w:styleId="Fuzeile">
    <w:name w:val="footer"/>
    <w:basedOn w:val="Standard"/>
    <w:link w:val="FuzeileZchn"/>
    <w:uiPriority w:val="99"/>
    <w:semiHidden/>
    <w:rsid w:val="00F5381A"/>
    <w:pPr>
      <w:tabs>
        <w:tab w:val="center" w:pos="4536"/>
        <w:tab w:val="right" w:pos="9072"/>
      </w:tabs>
    </w:pPr>
  </w:style>
  <w:style w:type="character" w:customStyle="1" w:styleId="FuzeileZchn">
    <w:name w:val="Fußzeile Zchn"/>
    <w:basedOn w:val="Absatz-Standardschriftart"/>
    <w:link w:val="Fuzeile"/>
    <w:uiPriority w:val="99"/>
    <w:semiHidden/>
    <w:locked/>
    <w:rsid w:val="00F5381A"/>
    <w:rPr>
      <w:rFonts w:ascii="Lucida Sans Unicode" w:hAnsi="Lucida Sans Unicode" w:cs="Times New Roman"/>
      <w:position w:val="-2"/>
      <w:sz w:val="24"/>
      <w:szCs w:val="24"/>
    </w:rPr>
  </w:style>
  <w:style w:type="paragraph" w:styleId="Anrede">
    <w:name w:val="Salutation"/>
    <w:basedOn w:val="Standard"/>
    <w:next w:val="Standard"/>
    <w:link w:val="AnredeZchn"/>
    <w:uiPriority w:val="99"/>
    <w:semiHidden/>
    <w:rsid w:val="00F5381A"/>
  </w:style>
  <w:style w:type="character" w:customStyle="1" w:styleId="AnredeZchn">
    <w:name w:val="Anrede Zchn"/>
    <w:basedOn w:val="Absatz-Standardschriftart"/>
    <w:link w:val="Anrede"/>
    <w:uiPriority w:val="99"/>
    <w:semiHidden/>
    <w:locked/>
    <w:rsid w:val="00F5381A"/>
    <w:rPr>
      <w:rFonts w:ascii="Lucida Sans Unicode" w:hAnsi="Lucida Sans Unicode" w:cs="Times New Roman"/>
      <w:position w:val="-2"/>
      <w:sz w:val="24"/>
      <w:szCs w:val="24"/>
    </w:rPr>
  </w:style>
  <w:style w:type="paragraph" w:styleId="Aufzhlungszeichen">
    <w:name w:val="List Bullet"/>
    <w:basedOn w:val="Standard"/>
    <w:uiPriority w:val="99"/>
    <w:semiHidden/>
    <w:rsid w:val="00F5381A"/>
    <w:pPr>
      <w:numPr>
        <w:numId w:val="1"/>
      </w:numPr>
    </w:pPr>
  </w:style>
  <w:style w:type="paragraph" w:styleId="Aufzhlungszeichen2">
    <w:name w:val="List Bullet 2"/>
    <w:basedOn w:val="Standard"/>
    <w:uiPriority w:val="99"/>
    <w:semiHidden/>
    <w:rsid w:val="00F5381A"/>
    <w:pPr>
      <w:numPr>
        <w:numId w:val="2"/>
      </w:numPr>
    </w:pPr>
  </w:style>
  <w:style w:type="paragraph" w:styleId="Aufzhlungszeichen3">
    <w:name w:val="List Bullet 3"/>
    <w:basedOn w:val="Standard"/>
    <w:uiPriority w:val="99"/>
    <w:semiHidden/>
    <w:rsid w:val="00F5381A"/>
    <w:pPr>
      <w:numPr>
        <w:numId w:val="3"/>
      </w:numPr>
    </w:pPr>
  </w:style>
  <w:style w:type="paragraph" w:styleId="Aufzhlungszeichen4">
    <w:name w:val="List Bullet 4"/>
    <w:basedOn w:val="Standard"/>
    <w:uiPriority w:val="99"/>
    <w:semiHidden/>
    <w:rsid w:val="00F5381A"/>
    <w:pPr>
      <w:numPr>
        <w:numId w:val="4"/>
      </w:numPr>
    </w:pPr>
  </w:style>
  <w:style w:type="paragraph" w:styleId="Aufzhlungszeichen5">
    <w:name w:val="List Bullet 5"/>
    <w:basedOn w:val="Standard"/>
    <w:uiPriority w:val="99"/>
    <w:semiHidden/>
    <w:rsid w:val="00F5381A"/>
    <w:pPr>
      <w:numPr>
        <w:numId w:val="5"/>
      </w:numPr>
    </w:pPr>
  </w:style>
  <w:style w:type="paragraph" w:styleId="Beschriftung">
    <w:name w:val="caption"/>
    <w:basedOn w:val="Standard"/>
    <w:uiPriority w:val="99"/>
    <w:qFormat/>
    <w:rsid w:val="00F5381A"/>
    <w:pPr>
      <w:spacing w:line="120" w:lineRule="exact"/>
    </w:pPr>
    <w:rPr>
      <w:bCs/>
      <w:caps/>
      <w:position w:val="0"/>
      <w:sz w:val="11"/>
      <w:szCs w:val="20"/>
    </w:rPr>
  </w:style>
  <w:style w:type="character" w:styleId="BesuchterHyperlink">
    <w:name w:val="FollowedHyperlink"/>
    <w:basedOn w:val="Absatz-Standardschriftart"/>
    <w:uiPriority w:val="99"/>
    <w:semiHidden/>
    <w:rsid w:val="00F5381A"/>
    <w:rPr>
      <w:rFonts w:cs="Times New Roman"/>
      <w:color w:val="800080"/>
      <w:u w:val="single"/>
    </w:rPr>
  </w:style>
  <w:style w:type="paragraph" w:styleId="Blocktext">
    <w:name w:val="Block Text"/>
    <w:basedOn w:val="Standard"/>
    <w:uiPriority w:val="99"/>
    <w:semiHidden/>
    <w:rsid w:val="00F5381A"/>
    <w:pPr>
      <w:spacing w:after="120"/>
      <w:ind w:left="1440" w:right="1440"/>
    </w:pPr>
  </w:style>
  <w:style w:type="paragraph" w:styleId="Datum">
    <w:name w:val="Date"/>
    <w:basedOn w:val="Standard"/>
    <w:next w:val="Standard"/>
    <w:link w:val="DatumZchn"/>
    <w:uiPriority w:val="99"/>
    <w:semiHidden/>
    <w:rsid w:val="00F5381A"/>
  </w:style>
  <w:style w:type="character" w:customStyle="1" w:styleId="DatumZchn">
    <w:name w:val="Datum Zchn"/>
    <w:basedOn w:val="Absatz-Standardschriftart"/>
    <w:link w:val="Datum"/>
    <w:uiPriority w:val="99"/>
    <w:semiHidden/>
    <w:locked/>
    <w:rsid w:val="00F5381A"/>
    <w:rPr>
      <w:rFonts w:ascii="Lucida Sans Unicode" w:hAnsi="Lucida Sans Unicode" w:cs="Times New Roman"/>
      <w:position w:val="-2"/>
      <w:sz w:val="24"/>
      <w:szCs w:val="24"/>
    </w:rPr>
  </w:style>
  <w:style w:type="paragraph" w:styleId="E-Mail-Signatur">
    <w:name w:val="E-mail Signature"/>
    <w:basedOn w:val="Standard"/>
    <w:link w:val="E-Mail-SignaturZchn"/>
    <w:uiPriority w:val="99"/>
    <w:semiHidden/>
    <w:rsid w:val="00F5381A"/>
  </w:style>
  <w:style w:type="character" w:customStyle="1" w:styleId="E-Mail-SignaturZchn">
    <w:name w:val="E-Mail-Signatur Zchn"/>
    <w:basedOn w:val="Absatz-Standardschriftart"/>
    <w:link w:val="E-Mail-Signatur"/>
    <w:uiPriority w:val="99"/>
    <w:semiHidden/>
    <w:locked/>
    <w:rsid w:val="00F5381A"/>
    <w:rPr>
      <w:rFonts w:ascii="Lucida Sans Unicode" w:hAnsi="Lucida Sans Unicode" w:cs="Times New Roman"/>
      <w:position w:val="-2"/>
      <w:sz w:val="24"/>
      <w:szCs w:val="24"/>
    </w:rPr>
  </w:style>
  <w:style w:type="character" w:styleId="Fett">
    <w:name w:val="Strong"/>
    <w:basedOn w:val="Absatz-Standardschriftart"/>
    <w:uiPriority w:val="99"/>
    <w:qFormat/>
    <w:rsid w:val="00F5381A"/>
    <w:rPr>
      <w:rFonts w:cs="Times New Roman"/>
      <w:b/>
    </w:rPr>
  </w:style>
  <w:style w:type="paragraph" w:styleId="Fu-Endnotenberschrift">
    <w:name w:val="Note Heading"/>
    <w:basedOn w:val="Standard"/>
    <w:next w:val="Standard"/>
    <w:link w:val="Fu-EndnotenberschriftZchn"/>
    <w:uiPriority w:val="99"/>
    <w:semiHidden/>
    <w:rsid w:val="00F5381A"/>
  </w:style>
  <w:style w:type="character" w:customStyle="1" w:styleId="Fu-EndnotenberschriftZchn">
    <w:name w:val="Fuß/-Endnotenüberschrift Zchn"/>
    <w:basedOn w:val="Absatz-Standardschriftart"/>
    <w:link w:val="Fu-Endnotenberschrift"/>
    <w:uiPriority w:val="99"/>
    <w:semiHidden/>
    <w:locked/>
    <w:rsid w:val="00F5381A"/>
    <w:rPr>
      <w:rFonts w:ascii="Lucida Sans Unicode" w:hAnsi="Lucida Sans Unicode" w:cs="Times New Roman"/>
      <w:position w:val="-2"/>
      <w:sz w:val="24"/>
      <w:szCs w:val="24"/>
    </w:rPr>
  </w:style>
  <w:style w:type="paragraph" w:styleId="Gruformel">
    <w:name w:val="Closing"/>
    <w:basedOn w:val="Standard"/>
    <w:link w:val="GruformelZchn"/>
    <w:uiPriority w:val="99"/>
    <w:semiHidden/>
    <w:rsid w:val="00F5381A"/>
    <w:pPr>
      <w:ind w:left="4252"/>
    </w:pPr>
  </w:style>
  <w:style w:type="character" w:customStyle="1" w:styleId="GruformelZchn">
    <w:name w:val="Grußformel Zchn"/>
    <w:basedOn w:val="Absatz-Standardschriftart"/>
    <w:link w:val="Gruformel"/>
    <w:uiPriority w:val="99"/>
    <w:semiHidden/>
    <w:locked/>
    <w:rsid w:val="00F5381A"/>
    <w:rPr>
      <w:rFonts w:ascii="Lucida Sans Unicode" w:hAnsi="Lucida Sans Unicode" w:cs="Times New Roman"/>
      <w:position w:val="-2"/>
      <w:sz w:val="24"/>
      <w:szCs w:val="24"/>
    </w:rPr>
  </w:style>
  <w:style w:type="character" w:styleId="Hervorhebung">
    <w:name w:val="Emphasis"/>
    <w:basedOn w:val="Absatz-Standardschriftart"/>
    <w:uiPriority w:val="99"/>
    <w:qFormat/>
    <w:rsid w:val="00F5381A"/>
    <w:rPr>
      <w:rFonts w:cs="Times New Roman"/>
      <w:i/>
    </w:rPr>
  </w:style>
  <w:style w:type="paragraph" w:styleId="HTMLAdresse">
    <w:name w:val="HTML Address"/>
    <w:basedOn w:val="Standard"/>
    <w:link w:val="HTMLAdresseZchn"/>
    <w:uiPriority w:val="99"/>
    <w:semiHidden/>
    <w:rsid w:val="00F5381A"/>
    <w:rPr>
      <w:i/>
      <w:iCs/>
    </w:rPr>
  </w:style>
  <w:style w:type="character" w:customStyle="1" w:styleId="HTMLAdresseZchn">
    <w:name w:val="HTML Adresse Zchn"/>
    <w:basedOn w:val="Absatz-Standardschriftart"/>
    <w:link w:val="HTMLAdresse"/>
    <w:uiPriority w:val="99"/>
    <w:semiHidden/>
    <w:locked/>
    <w:rsid w:val="00F5381A"/>
    <w:rPr>
      <w:rFonts w:ascii="Lucida Sans Unicode" w:hAnsi="Lucida Sans Unicode" w:cs="Times New Roman"/>
      <w:i/>
      <w:iCs/>
      <w:position w:val="-2"/>
      <w:sz w:val="24"/>
      <w:szCs w:val="24"/>
    </w:rPr>
  </w:style>
  <w:style w:type="character" w:styleId="HTMLAkronym">
    <w:name w:val="HTML Acronym"/>
    <w:basedOn w:val="Absatz-Standardschriftart"/>
    <w:uiPriority w:val="99"/>
    <w:semiHidden/>
    <w:rsid w:val="00F5381A"/>
    <w:rPr>
      <w:rFonts w:cs="Times New Roman"/>
    </w:rPr>
  </w:style>
  <w:style w:type="character" w:styleId="HTMLBeispiel">
    <w:name w:val="HTML Sample"/>
    <w:basedOn w:val="Absatz-Standardschriftart"/>
    <w:uiPriority w:val="99"/>
    <w:semiHidden/>
    <w:rsid w:val="00F5381A"/>
    <w:rPr>
      <w:rFonts w:ascii="Courier New" w:hAnsi="Courier New" w:cs="Times New Roman"/>
    </w:rPr>
  </w:style>
  <w:style w:type="character" w:styleId="HTMLCode">
    <w:name w:val="HTML Code"/>
    <w:basedOn w:val="Absatz-Standardschriftart"/>
    <w:uiPriority w:val="99"/>
    <w:semiHidden/>
    <w:rsid w:val="00F5381A"/>
    <w:rPr>
      <w:rFonts w:ascii="Courier New" w:hAnsi="Courier New" w:cs="Times New Roman"/>
      <w:sz w:val="20"/>
    </w:rPr>
  </w:style>
  <w:style w:type="character" w:styleId="HTMLDefinition">
    <w:name w:val="HTML Definition"/>
    <w:basedOn w:val="Absatz-Standardschriftart"/>
    <w:uiPriority w:val="99"/>
    <w:semiHidden/>
    <w:rsid w:val="00F5381A"/>
    <w:rPr>
      <w:rFonts w:cs="Times New Roman"/>
      <w:i/>
    </w:rPr>
  </w:style>
  <w:style w:type="character" w:styleId="HTMLSchreibmaschine">
    <w:name w:val="HTML Typewriter"/>
    <w:basedOn w:val="Absatz-Standardschriftart"/>
    <w:uiPriority w:val="99"/>
    <w:semiHidden/>
    <w:rsid w:val="00F5381A"/>
    <w:rPr>
      <w:rFonts w:ascii="Courier New" w:hAnsi="Courier New" w:cs="Times New Roman"/>
      <w:sz w:val="20"/>
    </w:rPr>
  </w:style>
  <w:style w:type="character" w:styleId="HTMLTastatur">
    <w:name w:val="HTML Keyboard"/>
    <w:basedOn w:val="Absatz-Standardschriftart"/>
    <w:uiPriority w:val="99"/>
    <w:semiHidden/>
    <w:rsid w:val="00F5381A"/>
    <w:rPr>
      <w:rFonts w:ascii="Courier New" w:hAnsi="Courier New" w:cs="Times New Roman"/>
      <w:sz w:val="20"/>
    </w:rPr>
  </w:style>
  <w:style w:type="character" w:styleId="HTMLVariable">
    <w:name w:val="HTML Variable"/>
    <w:basedOn w:val="Absatz-Standardschriftart"/>
    <w:uiPriority w:val="99"/>
    <w:semiHidden/>
    <w:rsid w:val="00F5381A"/>
    <w:rPr>
      <w:rFonts w:cs="Times New Roman"/>
      <w:i/>
    </w:rPr>
  </w:style>
  <w:style w:type="paragraph" w:styleId="HTMLVorformatiert">
    <w:name w:val="HTML Preformatted"/>
    <w:basedOn w:val="Standard"/>
    <w:link w:val="HTMLVorformatiertZchn"/>
    <w:uiPriority w:val="99"/>
    <w:semiHidden/>
    <w:rsid w:val="00F5381A"/>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F5381A"/>
    <w:rPr>
      <w:rFonts w:ascii="Courier New" w:hAnsi="Courier New" w:cs="Courier New"/>
      <w:position w:val="-2"/>
      <w:sz w:val="20"/>
      <w:szCs w:val="20"/>
    </w:rPr>
  </w:style>
  <w:style w:type="character" w:styleId="HTMLZitat">
    <w:name w:val="HTML Cite"/>
    <w:basedOn w:val="Absatz-Standardschriftart"/>
    <w:uiPriority w:val="99"/>
    <w:semiHidden/>
    <w:rsid w:val="00F5381A"/>
    <w:rPr>
      <w:rFonts w:cs="Times New Roman"/>
      <w:i/>
    </w:rPr>
  </w:style>
  <w:style w:type="character" w:styleId="Hyperlink">
    <w:name w:val="Hyperlink"/>
    <w:basedOn w:val="Absatz-Standardschriftart"/>
    <w:uiPriority w:val="99"/>
    <w:semiHidden/>
    <w:rsid w:val="00F5381A"/>
    <w:rPr>
      <w:rFonts w:cs="Times New Roman"/>
      <w:color w:val="0000FF"/>
      <w:u w:val="single"/>
    </w:rPr>
  </w:style>
  <w:style w:type="paragraph" w:styleId="Liste">
    <w:name w:val="List"/>
    <w:basedOn w:val="Standard"/>
    <w:uiPriority w:val="99"/>
    <w:semiHidden/>
    <w:rsid w:val="00F5381A"/>
    <w:pPr>
      <w:ind w:left="283" w:hanging="283"/>
    </w:pPr>
  </w:style>
  <w:style w:type="paragraph" w:styleId="Liste2">
    <w:name w:val="List 2"/>
    <w:basedOn w:val="Standard"/>
    <w:uiPriority w:val="99"/>
    <w:semiHidden/>
    <w:rsid w:val="00F5381A"/>
    <w:pPr>
      <w:ind w:left="566" w:hanging="283"/>
    </w:pPr>
  </w:style>
  <w:style w:type="paragraph" w:styleId="Liste3">
    <w:name w:val="List 3"/>
    <w:basedOn w:val="Standard"/>
    <w:uiPriority w:val="99"/>
    <w:semiHidden/>
    <w:rsid w:val="00F5381A"/>
    <w:pPr>
      <w:ind w:left="849" w:hanging="283"/>
    </w:pPr>
  </w:style>
  <w:style w:type="paragraph" w:styleId="Liste4">
    <w:name w:val="List 4"/>
    <w:basedOn w:val="Standard"/>
    <w:uiPriority w:val="99"/>
    <w:semiHidden/>
    <w:rsid w:val="00F5381A"/>
    <w:pPr>
      <w:ind w:left="1132" w:hanging="283"/>
    </w:pPr>
  </w:style>
  <w:style w:type="paragraph" w:styleId="Liste5">
    <w:name w:val="List 5"/>
    <w:basedOn w:val="Standard"/>
    <w:uiPriority w:val="99"/>
    <w:semiHidden/>
    <w:rsid w:val="00F5381A"/>
    <w:pPr>
      <w:ind w:left="1415" w:hanging="283"/>
    </w:pPr>
  </w:style>
  <w:style w:type="paragraph" w:styleId="Listenfortsetzung">
    <w:name w:val="List Continue"/>
    <w:basedOn w:val="Standard"/>
    <w:uiPriority w:val="99"/>
    <w:semiHidden/>
    <w:rsid w:val="00F5381A"/>
    <w:pPr>
      <w:spacing w:after="120"/>
      <w:ind w:left="283"/>
    </w:pPr>
  </w:style>
  <w:style w:type="paragraph" w:styleId="Listenfortsetzung2">
    <w:name w:val="List Continue 2"/>
    <w:basedOn w:val="Standard"/>
    <w:uiPriority w:val="99"/>
    <w:semiHidden/>
    <w:rsid w:val="00F5381A"/>
    <w:pPr>
      <w:spacing w:after="120"/>
      <w:ind w:left="566"/>
    </w:pPr>
  </w:style>
  <w:style w:type="paragraph" w:styleId="Listenfortsetzung3">
    <w:name w:val="List Continue 3"/>
    <w:basedOn w:val="Standard"/>
    <w:uiPriority w:val="99"/>
    <w:semiHidden/>
    <w:rsid w:val="00F5381A"/>
    <w:pPr>
      <w:spacing w:after="120"/>
      <w:ind w:left="849"/>
    </w:pPr>
  </w:style>
  <w:style w:type="paragraph" w:styleId="Listenfortsetzung4">
    <w:name w:val="List Continue 4"/>
    <w:basedOn w:val="Standard"/>
    <w:uiPriority w:val="99"/>
    <w:semiHidden/>
    <w:rsid w:val="00F5381A"/>
    <w:pPr>
      <w:spacing w:after="120"/>
      <w:ind w:left="1132"/>
    </w:pPr>
  </w:style>
  <w:style w:type="paragraph" w:styleId="Listenfortsetzung5">
    <w:name w:val="List Continue 5"/>
    <w:basedOn w:val="Standard"/>
    <w:uiPriority w:val="99"/>
    <w:semiHidden/>
    <w:rsid w:val="00F5381A"/>
    <w:pPr>
      <w:spacing w:after="120"/>
      <w:ind w:left="1415"/>
    </w:pPr>
  </w:style>
  <w:style w:type="paragraph" w:styleId="Listennummer">
    <w:name w:val="List Number"/>
    <w:basedOn w:val="Standard"/>
    <w:uiPriority w:val="99"/>
    <w:semiHidden/>
    <w:rsid w:val="00F5381A"/>
    <w:pPr>
      <w:numPr>
        <w:numId w:val="6"/>
      </w:numPr>
    </w:pPr>
  </w:style>
  <w:style w:type="paragraph" w:styleId="Listennummer2">
    <w:name w:val="List Number 2"/>
    <w:basedOn w:val="Standard"/>
    <w:uiPriority w:val="99"/>
    <w:semiHidden/>
    <w:rsid w:val="00F5381A"/>
    <w:pPr>
      <w:numPr>
        <w:numId w:val="7"/>
      </w:numPr>
    </w:pPr>
  </w:style>
  <w:style w:type="paragraph" w:styleId="Listennummer3">
    <w:name w:val="List Number 3"/>
    <w:basedOn w:val="Standard"/>
    <w:uiPriority w:val="99"/>
    <w:semiHidden/>
    <w:rsid w:val="00F5381A"/>
    <w:pPr>
      <w:numPr>
        <w:numId w:val="8"/>
      </w:numPr>
    </w:pPr>
  </w:style>
  <w:style w:type="paragraph" w:styleId="Listennummer4">
    <w:name w:val="List Number 4"/>
    <w:basedOn w:val="Standard"/>
    <w:uiPriority w:val="99"/>
    <w:semiHidden/>
    <w:rsid w:val="00F5381A"/>
    <w:pPr>
      <w:numPr>
        <w:numId w:val="9"/>
      </w:numPr>
    </w:pPr>
  </w:style>
  <w:style w:type="paragraph" w:styleId="Listennummer5">
    <w:name w:val="List Number 5"/>
    <w:basedOn w:val="Standard"/>
    <w:uiPriority w:val="99"/>
    <w:semiHidden/>
    <w:rsid w:val="00F5381A"/>
    <w:pPr>
      <w:numPr>
        <w:numId w:val="10"/>
      </w:numPr>
    </w:pPr>
  </w:style>
  <w:style w:type="paragraph" w:styleId="Nachrichtenkopf">
    <w:name w:val="Message Header"/>
    <w:basedOn w:val="Standard"/>
    <w:link w:val="NachrichtenkopfZchn"/>
    <w:uiPriority w:val="99"/>
    <w:semiHidden/>
    <w:rsid w:val="00F538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locked/>
    <w:rsid w:val="00F5381A"/>
    <w:rPr>
      <w:rFonts w:ascii="Cambria" w:hAnsi="Cambria" w:cs="Times New Roman"/>
      <w:position w:val="-2"/>
      <w:sz w:val="24"/>
      <w:szCs w:val="24"/>
      <w:shd w:val="pct20" w:color="auto" w:fill="auto"/>
    </w:rPr>
  </w:style>
  <w:style w:type="paragraph" w:styleId="NurText">
    <w:name w:val="Plain Text"/>
    <w:basedOn w:val="Standard"/>
    <w:link w:val="NurTextZchn"/>
    <w:uiPriority w:val="99"/>
    <w:semiHidden/>
    <w:rsid w:val="00F5381A"/>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F5381A"/>
    <w:rPr>
      <w:rFonts w:ascii="Courier New" w:hAnsi="Courier New" w:cs="Courier New"/>
      <w:position w:val="-2"/>
      <w:sz w:val="20"/>
      <w:szCs w:val="20"/>
    </w:rPr>
  </w:style>
  <w:style w:type="character" w:styleId="Seitenzahl">
    <w:name w:val="page number"/>
    <w:basedOn w:val="Absatz-Standardschriftart"/>
    <w:uiPriority w:val="99"/>
    <w:semiHidden/>
    <w:rsid w:val="00F5381A"/>
    <w:rPr>
      <w:rFonts w:cs="Times New Roman"/>
    </w:rPr>
  </w:style>
  <w:style w:type="paragraph" w:styleId="StandardWeb">
    <w:name w:val="Normal (Web)"/>
    <w:basedOn w:val="Standard"/>
    <w:uiPriority w:val="99"/>
    <w:semiHidden/>
    <w:rsid w:val="00F5381A"/>
    <w:rPr>
      <w:rFonts w:ascii="Times New Roman" w:hAnsi="Times New Roman"/>
      <w:sz w:val="24"/>
    </w:rPr>
  </w:style>
  <w:style w:type="paragraph" w:styleId="Standardeinzug">
    <w:name w:val="Normal Indent"/>
    <w:basedOn w:val="Standard"/>
    <w:uiPriority w:val="99"/>
    <w:semiHidden/>
    <w:rsid w:val="00F5381A"/>
    <w:pPr>
      <w:ind w:left="708"/>
    </w:pPr>
  </w:style>
  <w:style w:type="table" w:styleId="Tabelle3D-Effekt1">
    <w:name w:val="Table 3D effects 1"/>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5381A"/>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5381A"/>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5381A"/>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5381A"/>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5381A"/>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5381A"/>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5381A"/>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5381A"/>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5381A"/>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5381A"/>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5381A"/>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5381A"/>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5381A"/>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5381A"/>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5381A"/>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5381A"/>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5381A"/>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5381A"/>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5381A"/>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5381A"/>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5381A"/>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5381A"/>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5381A"/>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5381A"/>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5381A"/>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5381A"/>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5381A"/>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5381A"/>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5381A"/>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5381A"/>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5381A"/>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5381A"/>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5381A"/>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5381A"/>
    <w:pPr>
      <w:spacing w:after="120"/>
    </w:pPr>
  </w:style>
  <w:style w:type="character" w:customStyle="1" w:styleId="TextkrperZchn">
    <w:name w:val="Textkörper Zchn"/>
    <w:basedOn w:val="Absatz-Standardschriftart"/>
    <w:link w:val="Textkrper"/>
    <w:uiPriority w:val="99"/>
    <w:semiHidden/>
    <w:locked/>
    <w:rsid w:val="00F5381A"/>
    <w:rPr>
      <w:rFonts w:ascii="Lucida Sans Unicode" w:hAnsi="Lucida Sans Unicode" w:cs="Times New Roman"/>
      <w:position w:val="-2"/>
      <w:sz w:val="24"/>
      <w:szCs w:val="24"/>
    </w:rPr>
  </w:style>
  <w:style w:type="paragraph" w:styleId="Textkrper2">
    <w:name w:val="Body Text 2"/>
    <w:basedOn w:val="Standard"/>
    <w:link w:val="Textkrper2Zchn"/>
    <w:uiPriority w:val="99"/>
    <w:semiHidden/>
    <w:rsid w:val="00F5381A"/>
    <w:pPr>
      <w:spacing w:after="120" w:line="480" w:lineRule="auto"/>
    </w:pPr>
  </w:style>
  <w:style w:type="character" w:customStyle="1" w:styleId="Textkrper2Zchn">
    <w:name w:val="Textkörper 2 Zchn"/>
    <w:basedOn w:val="Absatz-Standardschriftart"/>
    <w:link w:val="Textkrper2"/>
    <w:uiPriority w:val="99"/>
    <w:semiHidden/>
    <w:locked/>
    <w:rsid w:val="00F5381A"/>
    <w:rPr>
      <w:rFonts w:ascii="Lucida Sans Unicode" w:hAnsi="Lucida Sans Unicode" w:cs="Times New Roman"/>
      <w:position w:val="-2"/>
      <w:sz w:val="24"/>
      <w:szCs w:val="24"/>
    </w:rPr>
  </w:style>
  <w:style w:type="paragraph" w:styleId="Textkrper3">
    <w:name w:val="Body Text 3"/>
    <w:basedOn w:val="Standard"/>
    <w:link w:val="Textkrper3Zchn"/>
    <w:uiPriority w:val="99"/>
    <w:semiHidden/>
    <w:rsid w:val="00F5381A"/>
    <w:pPr>
      <w:spacing w:after="120"/>
    </w:pPr>
    <w:rPr>
      <w:sz w:val="16"/>
      <w:szCs w:val="16"/>
    </w:rPr>
  </w:style>
  <w:style w:type="character" w:customStyle="1" w:styleId="Textkrper3Zchn">
    <w:name w:val="Textkörper 3 Zchn"/>
    <w:basedOn w:val="Absatz-Standardschriftart"/>
    <w:link w:val="Textkrper3"/>
    <w:uiPriority w:val="99"/>
    <w:semiHidden/>
    <w:locked/>
    <w:rsid w:val="00F5381A"/>
    <w:rPr>
      <w:rFonts w:ascii="Lucida Sans Unicode" w:hAnsi="Lucida Sans Unicode" w:cs="Times New Roman"/>
      <w:position w:val="-2"/>
      <w:sz w:val="16"/>
      <w:szCs w:val="16"/>
    </w:rPr>
  </w:style>
  <w:style w:type="paragraph" w:styleId="Textkrper-Einzug2">
    <w:name w:val="Body Text Indent 2"/>
    <w:basedOn w:val="Standard"/>
    <w:link w:val="Textkrper-Einzug2Zchn"/>
    <w:uiPriority w:val="99"/>
    <w:semiHidden/>
    <w:rsid w:val="00F5381A"/>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F5381A"/>
    <w:rPr>
      <w:rFonts w:ascii="Lucida Sans Unicode" w:hAnsi="Lucida Sans Unicode" w:cs="Times New Roman"/>
      <w:position w:val="-2"/>
      <w:sz w:val="24"/>
      <w:szCs w:val="24"/>
    </w:rPr>
  </w:style>
  <w:style w:type="paragraph" w:styleId="Textkrper-Einzug3">
    <w:name w:val="Body Text Indent 3"/>
    <w:basedOn w:val="Standard"/>
    <w:link w:val="Textkrper-Einzug3Zchn"/>
    <w:uiPriority w:val="99"/>
    <w:semiHidden/>
    <w:rsid w:val="00F5381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F5381A"/>
    <w:rPr>
      <w:rFonts w:ascii="Lucida Sans Unicode" w:hAnsi="Lucida Sans Unicode" w:cs="Times New Roman"/>
      <w:position w:val="-2"/>
      <w:sz w:val="16"/>
      <w:szCs w:val="16"/>
    </w:rPr>
  </w:style>
  <w:style w:type="paragraph" w:styleId="Textkrper-Erstzeileneinzug">
    <w:name w:val="Body Text First Indent"/>
    <w:basedOn w:val="Textkrper"/>
    <w:link w:val="Textkrper-ErstzeileneinzugZchn"/>
    <w:uiPriority w:val="99"/>
    <w:semiHidden/>
    <w:rsid w:val="00F5381A"/>
    <w:pPr>
      <w:ind w:firstLine="210"/>
    </w:pPr>
  </w:style>
  <w:style w:type="character" w:customStyle="1" w:styleId="Textkrper-ErstzeileneinzugZchn">
    <w:name w:val="Textkörper-Erstzeileneinzug Zchn"/>
    <w:basedOn w:val="TextkrperZchn"/>
    <w:link w:val="Textkrper-Erstzeileneinzug"/>
    <w:uiPriority w:val="99"/>
    <w:semiHidden/>
    <w:locked/>
    <w:rsid w:val="00F5381A"/>
    <w:rPr>
      <w:rFonts w:ascii="Lucida Sans Unicode" w:hAnsi="Lucida Sans Unicode" w:cs="Times New Roman"/>
      <w:position w:val="-2"/>
      <w:sz w:val="24"/>
      <w:szCs w:val="24"/>
    </w:rPr>
  </w:style>
  <w:style w:type="paragraph" w:styleId="Textkrper-Zeileneinzug">
    <w:name w:val="Body Text Indent"/>
    <w:basedOn w:val="Standard"/>
    <w:link w:val="Textkrper-ZeileneinzugZchn"/>
    <w:uiPriority w:val="99"/>
    <w:semiHidden/>
    <w:rsid w:val="00F5381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F5381A"/>
    <w:rPr>
      <w:rFonts w:ascii="Lucida Sans Unicode" w:hAnsi="Lucida Sans Unicode" w:cs="Times New Roman"/>
      <w:position w:val="-2"/>
      <w:sz w:val="24"/>
      <w:szCs w:val="24"/>
    </w:rPr>
  </w:style>
  <w:style w:type="paragraph" w:styleId="Textkrper-Erstzeileneinzug2">
    <w:name w:val="Body Text First Indent 2"/>
    <w:basedOn w:val="Textkrper-Zeileneinzug"/>
    <w:link w:val="Textkrper-Erstzeileneinzug2Zchn"/>
    <w:uiPriority w:val="99"/>
    <w:semiHidden/>
    <w:rsid w:val="00F5381A"/>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F5381A"/>
    <w:rPr>
      <w:rFonts w:ascii="Lucida Sans Unicode" w:hAnsi="Lucida Sans Unicode" w:cs="Times New Roman"/>
      <w:position w:val="-2"/>
      <w:sz w:val="24"/>
      <w:szCs w:val="24"/>
    </w:rPr>
  </w:style>
  <w:style w:type="paragraph" w:styleId="Umschlagabsenderadresse">
    <w:name w:val="envelope return"/>
    <w:basedOn w:val="Standard"/>
    <w:uiPriority w:val="99"/>
    <w:semiHidden/>
    <w:rsid w:val="00F5381A"/>
    <w:rPr>
      <w:rFonts w:ascii="Arial" w:hAnsi="Arial" w:cs="Arial"/>
      <w:sz w:val="20"/>
      <w:szCs w:val="20"/>
    </w:rPr>
  </w:style>
  <w:style w:type="paragraph" w:styleId="Umschlagadresse">
    <w:name w:val="envelope address"/>
    <w:basedOn w:val="Standard"/>
    <w:uiPriority w:val="99"/>
    <w:semiHidden/>
    <w:rsid w:val="00F5381A"/>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5381A"/>
    <w:pPr>
      <w:ind w:left="4252"/>
    </w:pPr>
  </w:style>
  <w:style w:type="character" w:customStyle="1" w:styleId="UnterschriftZchn">
    <w:name w:val="Unterschrift Zchn"/>
    <w:basedOn w:val="Absatz-Standardschriftart"/>
    <w:link w:val="Unterschrift"/>
    <w:uiPriority w:val="99"/>
    <w:semiHidden/>
    <w:locked/>
    <w:rsid w:val="00F5381A"/>
    <w:rPr>
      <w:rFonts w:ascii="Lucida Sans Unicode" w:hAnsi="Lucida Sans Unicode" w:cs="Times New Roman"/>
      <w:position w:val="-2"/>
      <w:sz w:val="24"/>
      <w:szCs w:val="24"/>
    </w:rPr>
  </w:style>
  <w:style w:type="paragraph" w:styleId="Untertitel">
    <w:name w:val="Subtitle"/>
    <w:basedOn w:val="Standard"/>
    <w:link w:val="UntertitelZchn"/>
    <w:uiPriority w:val="99"/>
    <w:qFormat/>
    <w:rsid w:val="00F5381A"/>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99"/>
    <w:locked/>
    <w:rsid w:val="00F5381A"/>
    <w:rPr>
      <w:rFonts w:ascii="Cambria" w:hAnsi="Cambria" w:cs="Times New Roman"/>
      <w:position w:val="-2"/>
      <w:sz w:val="24"/>
      <w:szCs w:val="24"/>
    </w:rPr>
  </w:style>
  <w:style w:type="character" w:styleId="Zeilennummer">
    <w:name w:val="line number"/>
    <w:basedOn w:val="Absatz-Standardschriftart"/>
    <w:uiPriority w:val="99"/>
    <w:semiHidden/>
    <w:rsid w:val="00F5381A"/>
    <w:rPr>
      <w:rFonts w:cs="Times New Roman"/>
    </w:rPr>
  </w:style>
  <w:style w:type="paragraph" w:styleId="Titel">
    <w:name w:val="Title"/>
    <w:basedOn w:val="Standard"/>
    <w:link w:val="TitelZchn"/>
    <w:uiPriority w:val="99"/>
    <w:qFormat/>
    <w:rsid w:val="00F5381A"/>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99"/>
    <w:locked/>
    <w:rsid w:val="00F5381A"/>
    <w:rPr>
      <w:rFonts w:ascii="Cambria" w:hAnsi="Cambria" w:cs="Times New Roman"/>
      <w:b/>
      <w:bCs/>
      <w:kern w:val="28"/>
      <w:position w:val="-2"/>
      <w:sz w:val="32"/>
      <w:szCs w:val="32"/>
    </w:rPr>
  </w:style>
  <w:style w:type="paragraph" w:customStyle="1" w:styleId="Zahl">
    <w:name w:val="Zahl"/>
    <w:basedOn w:val="Standard"/>
    <w:uiPriority w:val="99"/>
    <w:rsid w:val="00F5381A"/>
    <w:pPr>
      <w:ind w:left="74" w:right="-170"/>
    </w:pPr>
    <w:rPr>
      <w:rFonts w:ascii="Lucida Sans Typewriter" w:hAnsi="Lucida Sans Typewriter"/>
      <w:spacing w:val="146"/>
    </w:rPr>
  </w:style>
  <w:style w:type="paragraph" w:customStyle="1" w:styleId="Marginalie">
    <w:name w:val="Marginalie"/>
    <w:basedOn w:val="Standard"/>
    <w:uiPriority w:val="99"/>
    <w:rsid w:val="00F5381A"/>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538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5381A"/>
    <w:rPr>
      <w:rFonts w:cs="Times New Roman"/>
      <w:position w:val="-2"/>
      <w:sz w:val="2"/>
    </w:rPr>
  </w:style>
  <w:style w:type="paragraph" w:customStyle="1" w:styleId="E-Datum">
    <w:name w:val="E-Datum"/>
    <w:basedOn w:val="Standard"/>
    <w:uiPriority w:val="99"/>
    <w:rsid w:val="00F5381A"/>
    <w:pPr>
      <w:framePr w:wrap="around" w:vAnchor="page" w:hAnchor="page" w:x="8971" w:y="3222"/>
      <w:spacing w:line="180" w:lineRule="exact"/>
      <w:ind w:left="0"/>
      <w:suppressOverlap/>
    </w:pPr>
  </w:style>
  <w:style w:type="paragraph" w:customStyle="1" w:styleId="M1">
    <w:name w:val="M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5381A"/>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5381A"/>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5381A"/>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5381A"/>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5381A"/>
    <w:pPr>
      <w:framePr w:wrap="auto" w:vAnchor="page" w:hAnchor="page" w:x="8971" w:y="3222"/>
      <w:tabs>
        <w:tab w:val="left" w:pos="518"/>
      </w:tabs>
      <w:spacing w:line="180" w:lineRule="exact"/>
      <w:ind w:left="0" w:right="0"/>
      <w:suppressOverlap/>
    </w:pPr>
    <w:rPr>
      <w:position w:val="0"/>
      <w:sz w:val="13"/>
    </w:rPr>
  </w:style>
  <w:style w:type="paragraph" w:customStyle="1" w:styleId="AONormal">
    <w:name w:val="AONormal"/>
    <w:uiPriority w:val="99"/>
    <w:rsid w:val="00F5381A"/>
    <w:pPr>
      <w:spacing w:line="260" w:lineRule="atLeast"/>
    </w:pPr>
    <w:rPr>
      <w:rFonts w:eastAsia="SimSun"/>
      <w:lang w:eastAsia="en-US"/>
    </w:rPr>
  </w:style>
  <w:style w:type="character" w:styleId="Kommentarzeichen">
    <w:name w:val="annotation reference"/>
    <w:basedOn w:val="Absatz-Standardschriftart"/>
    <w:uiPriority w:val="99"/>
    <w:semiHidden/>
    <w:rsid w:val="00B51B77"/>
    <w:rPr>
      <w:rFonts w:cs="Times New Roman"/>
      <w:sz w:val="16"/>
      <w:szCs w:val="16"/>
    </w:rPr>
  </w:style>
  <w:style w:type="paragraph" w:styleId="Kommentartext">
    <w:name w:val="annotation text"/>
    <w:basedOn w:val="Standard"/>
    <w:link w:val="KommentartextZchn"/>
    <w:uiPriority w:val="99"/>
    <w:semiHidden/>
    <w:rsid w:val="00B51B77"/>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B51B77"/>
    <w:rPr>
      <w:rFonts w:ascii="Lucida Sans Unicode" w:hAnsi="Lucida Sans Unicode" w:cs="Times New Roman"/>
      <w:position w:val="-2"/>
      <w:sz w:val="20"/>
      <w:szCs w:val="20"/>
    </w:rPr>
  </w:style>
  <w:style w:type="paragraph" w:styleId="Kommentarthema">
    <w:name w:val="annotation subject"/>
    <w:basedOn w:val="Kommentartext"/>
    <w:next w:val="Kommentartext"/>
    <w:link w:val="KommentarthemaZchn"/>
    <w:uiPriority w:val="99"/>
    <w:semiHidden/>
    <w:rsid w:val="00B51B77"/>
    <w:rPr>
      <w:b/>
      <w:bCs/>
    </w:rPr>
  </w:style>
  <w:style w:type="character" w:customStyle="1" w:styleId="KommentarthemaZchn">
    <w:name w:val="Kommentarthema Zchn"/>
    <w:basedOn w:val="KommentartextZchn"/>
    <w:link w:val="Kommentarthema"/>
    <w:uiPriority w:val="99"/>
    <w:semiHidden/>
    <w:locked/>
    <w:rsid w:val="00B51B77"/>
    <w:rPr>
      <w:rFonts w:ascii="Lucida Sans Unicode" w:hAnsi="Lucida Sans Unicode" w:cs="Times New Roman"/>
      <w:b/>
      <w:bCs/>
      <w:position w:val="-2"/>
      <w:sz w:val="20"/>
      <w:szCs w:val="20"/>
    </w:rPr>
  </w:style>
  <w:style w:type="paragraph" w:customStyle="1" w:styleId="ErsteZeile">
    <w:name w:val="Erste Zeile"/>
    <w:basedOn w:val="Standard"/>
    <w:next w:val="Standard"/>
    <w:autoRedefine/>
    <w:uiPriority w:val="99"/>
    <w:rsid w:val="00712788"/>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rsid w:val="00712788"/>
    <w:pPr>
      <w:spacing w:line="300" w:lineRule="atLeast"/>
      <w:ind w:left="0" w:right="0" w:firstLine="567"/>
    </w:pPr>
    <w:rPr>
      <w:position w:val="0"/>
      <w:szCs w:val="20"/>
      <w:lang w:eastAsia="en-US"/>
    </w:rPr>
  </w:style>
  <w:style w:type="numbering" w:styleId="ArtikelAbschnitt">
    <w:name w:val="Outline List 3"/>
    <w:basedOn w:val="KeineListe"/>
    <w:uiPriority w:val="99"/>
    <w:semiHidden/>
    <w:unhideWhenUsed/>
    <w:locked/>
    <w:rsid w:val="008B41E3"/>
    <w:pPr>
      <w:numPr>
        <w:numId w:val="23"/>
      </w:numPr>
    </w:pPr>
  </w:style>
  <w:style w:type="numbering" w:styleId="1ai">
    <w:name w:val="Outline List 1"/>
    <w:basedOn w:val="KeineListe"/>
    <w:uiPriority w:val="99"/>
    <w:semiHidden/>
    <w:unhideWhenUsed/>
    <w:locked/>
    <w:rsid w:val="008B41E3"/>
    <w:pPr>
      <w:numPr>
        <w:numId w:val="22"/>
      </w:numPr>
    </w:pPr>
  </w:style>
  <w:style w:type="numbering" w:styleId="111111">
    <w:name w:val="Outline List 2"/>
    <w:basedOn w:val="KeineListe"/>
    <w:uiPriority w:val="99"/>
    <w:semiHidden/>
    <w:unhideWhenUsed/>
    <w:locked/>
    <w:rsid w:val="008B41E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730473E9</Template>
  <TotalTime>0</TotalTime>
  <Pages>8</Pages>
  <Words>2297</Words>
  <Characters>12680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_</vt:lpstr>
    </vt:vector>
  </TitlesOfParts>
  <LinksUpToDate>false</LinksUpToDate>
  <CharactersWithSpaces>14948</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2013-03-07T14:31:00Z</cp:lastPrinted>
  <dcterms:created xsi:type="dcterms:W3CDTF">2013-05-07T12:07:00Z</dcterms:created>
  <dcterms:modified xsi:type="dcterms:W3CDTF">2013-05-07T15:19:00Z</dcterms:modified>
</cp:coreProperties>
</file>