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5134AC">
            <w:pPr>
              <w:pStyle w:val="E-Datum"/>
              <w:framePr w:wrap="auto" w:vAnchor="margin" w:hAnchor="text" w:xAlign="left" w:yAlign="inline"/>
              <w:suppressOverlap w:val="0"/>
            </w:pPr>
            <w:r>
              <w:t>September 4, 2013</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1F5EB9" w:rsidTr="00B14022">
        <w:trPr>
          <w:trHeight w:hRule="exact" w:val="1222"/>
        </w:trPr>
        <w:tc>
          <w:tcPr>
            <w:tcW w:w="2271" w:type="dxa"/>
            <w:shd w:val="clear" w:color="auto" w:fill="auto"/>
          </w:tcPr>
          <w:p w:rsidR="00CC5D98" w:rsidRPr="003C3375" w:rsidRDefault="003C3375">
            <w:pPr>
              <w:pStyle w:val="M7"/>
              <w:framePr w:wrap="auto" w:vAnchor="margin" w:hAnchor="text" w:xAlign="left" w:yAlign="inline"/>
              <w:suppressOverlap w:val="0"/>
              <w:rPr>
                <w:lang w:val="en-US"/>
              </w:rPr>
            </w:pPr>
            <w:r w:rsidRPr="003C3375">
              <w:rPr>
                <w:lang w:val="en-US"/>
              </w:rPr>
              <w:t>Contact person economic press</w:t>
            </w:r>
            <w:r w:rsidR="00B14022" w:rsidRPr="003C3375">
              <w:rPr>
                <w:lang w:val="en-US"/>
              </w:rPr>
              <w:br/>
            </w:r>
            <w:r w:rsidR="00F31F7C">
              <w:rPr>
                <w:lang w:val="en-US"/>
              </w:rPr>
              <w:t>Alexandra Boy</w:t>
            </w:r>
          </w:p>
          <w:p w:rsidR="00CC5D98" w:rsidRPr="00E12886" w:rsidRDefault="00401F7D">
            <w:pPr>
              <w:pStyle w:val="M8"/>
              <w:framePr w:wrap="auto" w:vAnchor="margin" w:hAnchor="text" w:xAlign="left" w:yAlign="inline"/>
              <w:suppressOverlap w:val="0"/>
              <w:rPr>
                <w:lang w:val="en-US"/>
              </w:rPr>
            </w:pPr>
            <w:r>
              <w:rPr>
                <w:lang w:val="en-US"/>
              </w:rPr>
              <w:t xml:space="preserve">Deputy Head of </w:t>
            </w:r>
            <w:r w:rsidR="003C3375" w:rsidRPr="00E12886">
              <w:rPr>
                <w:lang w:val="en-US"/>
              </w:rPr>
              <w:t>Corporate Press</w:t>
            </w:r>
            <w:r w:rsidR="00B14022" w:rsidRPr="00E12886">
              <w:rPr>
                <w:lang w:val="en-US"/>
              </w:rPr>
              <w:t xml:space="preserve"> </w:t>
            </w:r>
          </w:p>
          <w:p w:rsidR="00CC5D98" w:rsidRPr="00E12886" w:rsidRDefault="00F31F7C">
            <w:pPr>
              <w:pStyle w:val="M9"/>
              <w:framePr w:wrap="auto" w:vAnchor="margin" w:hAnchor="text" w:xAlign="left" w:yAlign="inline"/>
              <w:suppressOverlap w:val="0"/>
              <w:rPr>
                <w:lang w:val="en-US"/>
              </w:rPr>
            </w:pPr>
            <w:r>
              <w:rPr>
                <w:lang w:val="en-US"/>
              </w:rPr>
              <w:t>Phone +49</w:t>
            </w:r>
            <w:r>
              <w:rPr>
                <w:lang w:val="en-US"/>
              </w:rPr>
              <w:tab/>
              <w:t>201 177-3167</w:t>
            </w:r>
          </w:p>
          <w:p w:rsidR="00CC5D98" w:rsidRDefault="00F31F7C">
            <w:pPr>
              <w:pStyle w:val="M10"/>
              <w:framePr w:wrap="auto" w:vAnchor="margin" w:hAnchor="text" w:xAlign="left" w:yAlign="inline"/>
              <w:suppressOverlap w:val="0"/>
            </w:pPr>
            <w:r>
              <w:t>F</w:t>
            </w:r>
            <w:r w:rsidR="00B14022">
              <w:t>ax +49</w:t>
            </w:r>
            <w:r w:rsidR="00B14022">
              <w:tab/>
              <w:t>201 177-3030</w:t>
            </w:r>
          </w:p>
          <w:p w:rsidR="00CC5D98" w:rsidRDefault="00F31F7C">
            <w:pPr>
              <w:pStyle w:val="M10"/>
              <w:framePr w:wrap="auto" w:vAnchor="margin" w:hAnchor="text" w:xAlign="left" w:yAlign="inline"/>
              <w:suppressOverlap w:val="0"/>
            </w:pPr>
            <w:r>
              <w:t>alexandra.boy</w:t>
            </w:r>
            <w:r w:rsidR="00B14022">
              <w:t>@evonik.com</w:t>
            </w:r>
            <w:r w:rsidR="00B14022">
              <w:rPr>
                <w:lang w:val="sv-SE"/>
              </w:rPr>
              <w:t xml:space="preserve"> </w:t>
            </w:r>
          </w:p>
        </w:tc>
      </w:tr>
      <w:tr w:rsidR="00CC5D98" w:rsidRPr="001F5EB9"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F31F7C" w:rsidRDefault="00CC5D98" w:rsidP="005134AC">
            <w:pPr>
              <w:pStyle w:val="M1"/>
              <w:framePr w:wrap="auto" w:vAnchor="margin" w:hAnchor="text" w:xAlign="left" w:yAlign="inline"/>
              <w:suppressOverlap w:val="0"/>
              <w:rPr>
                <w:lang w:val="en-US"/>
              </w:rPr>
            </w:pPr>
          </w:p>
        </w:tc>
      </w:tr>
      <w:tr w:rsidR="00CC5D98" w:rsidRPr="003C3375" w:rsidTr="00B14022">
        <w:trPr>
          <w:trHeight w:hRule="exact" w:val="7880"/>
        </w:trPr>
        <w:tc>
          <w:tcPr>
            <w:tcW w:w="2271" w:type="dxa"/>
            <w:shd w:val="clear" w:color="auto" w:fill="auto"/>
            <w:vAlign w:val="bottom"/>
          </w:tcPr>
          <w:p w:rsidR="00CC5D98" w:rsidRPr="00F31F7C" w:rsidRDefault="00CC5D98">
            <w:pPr>
              <w:pStyle w:val="Marginalie"/>
              <w:framePr w:w="0" w:hSpace="0" w:wrap="auto" w:vAnchor="margin" w:hAnchor="text" w:xAlign="left" w:yAlign="inline"/>
              <w:rPr>
                <w:b/>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4A78CD">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4A78CD">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4A78CD" w:rsidRPr="001F5EB9">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4A78CD" w:rsidRPr="001F5EB9">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4A78CD" w:rsidRPr="001F5EB9">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4A78CD">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4A78CD">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4A78CD">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4A78CD" w:rsidRPr="001F5EB9">
              <w:rPr>
                <w:noProof/>
                <w:lang w:val="en-US"/>
              </w:rPr>
              <w:t>Executive Board</w:t>
            </w:r>
            <w:r>
              <w:fldChar w:fldCharType="end"/>
            </w:r>
          </w:p>
          <w:p w:rsidR="00CC5D98" w:rsidRPr="005073C7"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5073C7">
              <w:instrText xml:space="preserve"> FORMTEXT </w:instrText>
            </w:r>
            <w:r>
              <w:fldChar w:fldCharType="separate"/>
            </w:r>
            <w:r w:rsidR="004A78CD">
              <w:rPr>
                <w:noProof/>
              </w:rPr>
              <w:t>Dr. Klaus Engel</w:t>
            </w:r>
            <w:r>
              <w:fldChar w:fldCharType="end"/>
            </w:r>
            <w:r w:rsidRPr="005073C7">
              <w:t xml:space="preserve">, </w:t>
            </w:r>
            <w:r w:rsidR="003C3375" w:rsidRPr="005073C7">
              <w:t>Chairman</w:t>
            </w:r>
          </w:p>
          <w:p w:rsidR="00CC5D98"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sidR="004A78CD">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sidR="004A78CD">
              <w:rPr>
                <w:noProof/>
              </w:rPr>
              <w:t>Dr. Thomas Haeberle</w:t>
            </w:r>
            <w:r>
              <w:fldChar w:fldCharType="end"/>
            </w:r>
            <w:r>
              <w:t xml:space="preserve">, </w:t>
            </w:r>
            <w:r w:rsidR="003C3375">
              <w:br/>
            </w:r>
            <w:r>
              <w:t>Thomas Wessel,</w:t>
            </w:r>
            <w:r w:rsidR="00A654E9">
              <w:t xml:space="preserve"> </w:t>
            </w:r>
            <w:r>
              <w:fldChar w:fldCharType="begin">
                <w:ffData>
                  <w:name w:val=""/>
                  <w:enabled/>
                  <w:calcOnExit w:val="0"/>
                  <w:textInput>
                    <w:default w:val="Patrik Wohlhauser"/>
                  </w:textInput>
                </w:ffData>
              </w:fldChar>
            </w:r>
            <w:r>
              <w:instrText xml:space="preserve"> FORMTEXT </w:instrText>
            </w:r>
            <w:r>
              <w:fldChar w:fldCharType="separate"/>
            </w:r>
            <w:r w:rsidR="004A78CD">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sidR="004A78CD">
              <w:rPr>
                <w:noProof/>
              </w:rPr>
              <w:t>Dr. Dahai Yu</w:t>
            </w:r>
            <w:r>
              <w:fldChar w:fldCharType="end"/>
            </w:r>
          </w:p>
          <w:p w:rsidR="00CC5D98"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5134AC" w:rsidRPr="005134AC" w:rsidRDefault="005134AC" w:rsidP="0083331D">
      <w:pPr>
        <w:spacing w:line="300" w:lineRule="atLeast"/>
        <w:ind w:left="0"/>
        <w:rPr>
          <w:b/>
          <w:bCs/>
          <w:sz w:val="24"/>
          <w:lang w:val="en-US"/>
        </w:rPr>
      </w:pPr>
      <w:bookmarkStart w:id="0" w:name="_GoBack"/>
      <w:proofErr w:type="spellStart"/>
      <w:r w:rsidRPr="005134AC">
        <w:rPr>
          <w:b/>
          <w:bCs/>
          <w:sz w:val="24"/>
          <w:lang w:val="en-US"/>
        </w:rPr>
        <w:lastRenderedPageBreak/>
        <w:t>Evonik</w:t>
      </w:r>
      <w:proofErr w:type="spellEnd"/>
      <w:r w:rsidRPr="005134AC">
        <w:rPr>
          <w:b/>
          <w:bCs/>
          <w:sz w:val="24"/>
          <w:lang w:val="en-US"/>
        </w:rPr>
        <w:t xml:space="preserve"> secures €1.75 billion </w:t>
      </w:r>
      <w:r w:rsidR="000967F0">
        <w:rPr>
          <w:b/>
          <w:bCs/>
          <w:sz w:val="24"/>
          <w:lang w:val="en-US"/>
        </w:rPr>
        <w:t>credit facility</w:t>
      </w:r>
    </w:p>
    <w:bookmarkEnd w:id="0"/>
    <w:p w:rsidR="005134AC" w:rsidRDefault="005134AC" w:rsidP="0083331D">
      <w:pPr>
        <w:spacing w:line="300" w:lineRule="atLeast"/>
        <w:ind w:left="0"/>
        <w:rPr>
          <w:sz w:val="22"/>
          <w:szCs w:val="22"/>
          <w:lang w:val="en-US"/>
        </w:rPr>
      </w:pPr>
    </w:p>
    <w:p w:rsidR="0053664C" w:rsidRPr="0053664C" w:rsidRDefault="0053664C" w:rsidP="0083331D">
      <w:pPr>
        <w:spacing w:line="300" w:lineRule="atLeast"/>
        <w:ind w:left="0" w:right="0"/>
        <w:outlineLvl w:val="3"/>
        <w:rPr>
          <w:sz w:val="22"/>
          <w:szCs w:val="22"/>
          <w:lang w:val="en-US"/>
        </w:rPr>
      </w:pPr>
      <w:r w:rsidRPr="0053664C">
        <w:rPr>
          <w:sz w:val="22"/>
          <w:szCs w:val="22"/>
          <w:lang w:val="en-US"/>
        </w:rPr>
        <w:t xml:space="preserve">On September 3, 2013 </w:t>
      </w:r>
      <w:proofErr w:type="spellStart"/>
      <w:r w:rsidRPr="0053664C">
        <w:rPr>
          <w:sz w:val="22"/>
          <w:szCs w:val="22"/>
          <w:lang w:val="en-US"/>
        </w:rPr>
        <w:t>Evonik</w:t>
      </w:r>
      <w:proofErr w:type="spellEnd"/>
      <w:r w:rsidRPr="0053664C">
        <w:rPr>
          <w:sz w:val="22"/>
          <w:szCs w:val="22"/>
          <w:lang w:val="en-US"/>
        </w:rPr>
        <w:t xml:space="preserve"> Industries AG agreed a €1.75</w:t>
      </w:r>
      <w:r w:rsidR="005073C7">
        <w:rPr>
          <w:sz w:val="22"/>
          <w:szCs w:val="22"/>
          <w:lang w:val="en-US"/>
        </w:rPr>
        <w:t xml:space="preserve"> </w:t>
      </w:r>
      <w:r w:rsidRPr="0053664C">
        <w:rPr>
          <w:sz w:val="22"/>
          <w:szCs w:val="22"/>
          <w:lang w:val="en-US"/>
        </w:rPr>
        <w:t>b</w:t>
      </w:r>
      <w:r w:rsidR="00071FC8">
        <w:rPr>
          <w:sz w:val="22"/>
          <w:szCs w:val="22"/>
          <w:lang w:val="en-US"/>
        </w:rPr>
        <w:t>illio</w:t>
      </w:r>
      <w:r w:rsidRPr="0053664C">
        <w:rPr>
          <w:sz w:val="22"/>
          <w:szCs w:val="22"/>
          <w:lang w:val="en-US"/>
        </w:rPr>
        <w:t xml:space="preserve">n syndicated revolving credit facility with its core banking group. The credit facility is split into two tranches of €875 million with initial maturities of three and five years. Both tranches also have two extension options of one year each. The credit facility serves as the central liquidity reserve of the Group and is currently not </w:t>
      </w:r>
      <w:proofErr w:type="spellStart"/>
      <w:r w:rsidRPr="0053664C">
        <w:rPr>
          <w:sz w:val="22"/>
          <w:szCs w:val="22"/>
          <w:lang w:val="en-US"/>
        </w:rPr>
        <w:t>utilised</w:t>
      </w:r>
      <w:proofErr w:type="spellEnd"/>
      <w:r w:rsidRPr="0053664C">
        <w:rPr>
          <w:sz w:val="22"/>
          <w:szCs w:val="22"/>
          <w:lang w:val="en-US"/>
        </w:rPr>
        <w:t>.</w:t>
      </w:r>
    </w:p>
    <w:p w:rsidR="0053664C" w:rsidRDefault="0053664C" w:rsidP="0083331D">
      <w:pPr>
        <w:spacing w:line="300" w:lineRule="atLeast"/>
        <w:ind w:left="0" w:right="0"/>
        <w:rPr>
          <w:sz w:val="22"/>
          <w:szCs w:val="22"/>
          <w:lang w:val="en-US"/>
        </w:rPr>
      </w:pPr>
      <w:r w:rsidRPr="0053664C">
        <w:rPr>
          <w:sz w:val="22"/>
          <w:szCs w:val="22"/>
          <w:lang w:val="en-US"/>
        </w:rPr>
        <w:t xml:space="preserve">With the credit facility, </w:t>
      </w:r>
      <w:proofErr w:type="spellStart"/>
      <w:r w:rsidRPr="0053664C">
        <w:rPr>
          <w:sz w:val="22"/>
          <w:szCs w:val="22"/>
          <w:lang w:val="en-US"/>
        </w:rPr>
        <w:t>Evonik</w:t>
      </w:r>
      <w:proofErr w:type="spellEnd"/>
      <w:r w:rsidRPr="0053664C">
        <w:rPr>
          <w:sz w:val="22"/>
          <w:szCs w:val="22"/>
          <w:lang w:val="en-US"/>
        </w:rPr>
        <w:t xml:space="preserve"> benefits from the currently </w:t>
      </w:r>
      <w:proofErr w:type="spellStart"/>
      <w:r w:rsidRPr="0053664C">
        <w:rPr>
          <w:sz w:val="22"/>
          <w:szCs w:val="22"/>
          <w:lang w:val="en-US"/>
        </w:rPr>
        <w:t>favo</w:t>
      </w:r>
      <w:r w:rsidR="00CB3F61">
        <w:rPr>
          <w:sz w:val="22"/>
          <w:szCs w:val="22"/>
          <w:lang w:val="en-US"/>
        </w:rPr>
        <w:t>u</w:t>
      </w:r>
      <w:r w:rsidRPr="0053664C">
        <w:rPr>
          <w:sz w:val="22"/>
          <w:szCs w:val="22"/>
          <w:lang w:val="en-US"/>
        </w:rPr>
        <w:t>rable</w:t>
      </w:r>
      <w:proofErr w:type="spellEnd"/>
      <w:r w:rsidRPr="0053664C">
        <w:rPr>
          <w:sz w:val="22"/>
          <w:szCs w:val="22"/>
          <w:lang w:val="en-US"/>
        </w:rPr>
        <w:t xml:space="preserve"> financing environment for German companies with good credit ratings and secures financial flexibility for the coming years. This credit facility replaces the previous €1.5</w:t>
      </w:r>
      <w:r w:rsidR="00071FC8">
        <w:rPr>
          <w:sz w:val="22"/>
          <w:szCs w:val="22"/>
          <w:lang w:val="en-US"/>
        </w:rPr>
        <w:t xml:space="preserve"> </w:t>
      </w:r>
      <w:r w:rsidRPr="0053664C">
        <w:rPr>
          <w:sz w:val="22"/>
          <w:szCs w:val="22"/>
          <w:lang w:val="en-US"/>
        </w:rPr>
        <w:t>b</w:t>
      </w:r>
      <w:r w:rsidR="00071FC8">
        <w:rPr>
          <w:sz w:val="22"/>
          <w:szCs w:val="22"/>
          <w:lang w:val="en-US"/>
        </w:rPr>
        <w:t>illio</w:t>
      </w:r>
      <w:r w:rsidRPr="0053664C">
        <w:rPr>
          <w:sz w:val="22"/>
          <w:szCs w:val="22"/>
          <w:lang w:val="en-US"/>
        </w:rPr>
        <w:t>n facility signed in 2011.</w:t>
      </w:r>
    </w:p>
    <w:p w:rsidR="0083331D" w:rsidRPr="0053664C" w:rsidRDefault="0083331D" w:rsidP="0083331D">
      <w:pPr>
        <w:spacing w:line="300" w:lineRule="atLeast"/>
        <w:ind w:left="0" w:right="0"/>
        <w:rPr>
          <w:sz w:val="22"/>
          <w:szCs w:val="22"/>
          <w:lang w:val="en-US"/>
        </w:rPr>
      </w:pPr>
    </w:p>
    <w:p w:rsidR="0053664C" w:rsidRDefault="0053664C" w:rsidP="0083331D">
      <w:pPr>
        <w:spacing w:line="300" w:lineRule="atLeast"/>
        <w:ind w:left="0" w:right="0"/>
        <w:rPr>
          <w:sz w:val="22"/>
          <w:szCs w:val="22"/>
          <w:lang w:val="en-US"/>
        </w:rPr>
      </w:pPr>
      <w:r w:rsidRPr="0053664C">
        <w:rPr>
          <w:sz w:val="22"/>
          <w:szCs w:val="22"/>
          <w:lang w:val="en-US"/>
        </w:rPr>
        <w:t xml:space="preserve">Wolfgang </w:t>
      </w:r>
      <w:proofErr w:type="spellStart"/>
      <w:r w:rsidRPr="0053664C">
        <w:rPr>
          <w:sz w:val="22"/>
          <w:szCs w:val="22"/>
          <w:lang w:val="en-US"/>
        </w:rPr>
        <w:t>Colberg</w:t>
      </w:r>
      <w:proofErr w:type="spellEnd"/>
      <w:r w:rsidRPr="0053664C">
        <w:rPr>
          <w:sz w:val="22"/>
          <w:szCs w:val="22"/>
          <w:lang w:val="en-US"/>
        </w:rPr>
        <w:t xml:space="preserve">, Chief </w:t>
      </w:r>
      <w:r w:rsidR="00E50CA5">
        <w:rPr>
          <w:sz w:val="22"/>
          <w:szCs w:val="22"/>
          <w:lang w:val="en-US"/>
        </w:rPr>
        <w:t xml:space="preserve">Financial Officer at </w:t>
      </w:r>
      <w:proofErr w:type="spellStart"/>
      <w:r w:rsidR="00E50CA5">
        <w:rPr>
          <w:sz w:val="22"/>
          <w:szCs w:val="22"/>
          <w:lang w:val="en-US"/>
        </w:rPr>
        <w:t>Evonik</w:t>
      </w:r>
      <w:proofErr w:type="spellEnd"/>
      <w:r w:rsidR="00E50CA5">
        <w:rPr>
          <w:sz w:val="22"/>
          <w:szCs w:val="22"/>
          <w:lang w:val="en-US"/>
        </w:rPr>
        <w:t>, sai</w:t>
      </w:r>
      <w:r w:rsidR="00071FC8">
        <w:rPr>
          <w:sz w:val="22"/>
          <w:szCs w:val="22"/>
          <w:lang w:val="en-US"/>
        </w:rPr>
        <w:t>d</w:t>
      </w:r>
      <w:r w:rsidRPr="0053664C">
        <w:rPr>
          <w:sz w:val="22"/>
          <w:szCs w:val="22"/>
          <w:lang w:val="en-US"/>
        </w:rPr>
        <w:t xml:space="preserve">: “All invited banks participated in the financing. The new loan thus underscores the trust that the banking industry has in </w:t>
      </w:r>
      <w:proofErr w:type="spellStart"/>
      <w:r w:rsidRPr="0053664C">
        <w:rPr>
          <w:sz w:val="22"/>
          <w:szCs w:val="22"/>
          <w:lang w:val="en-US"/>
        </w:rPr>
        <w:t>Evonik’s</w:t>
      </w:r>
      <w:proofErr w:type="spellEnd"/>
      <w:r w:rsidRPr="0053664C">
        <w:rPr>
          <w:sz w:val="22"/>
          <w:szCs w:val="22"/>
          <w:lang w:val="en-US"/>
        </w:rPr>
        <w:t xml:space="preserve"> strategy and financial reliability.”</w:t>
      </w:r>
    </w:p>
    <w:p w:rsidR="0083331D" w:rsidRPr="0053664C" w:rsidRDefault="0083331D" w:rsidP="0083331D">
      <w:pPr>
        <w:spacing w:line="300" w:lineRule="atLeast"/>
        <w:ind w:left="0" w:right="0"/>
        <w:rPr>
          <w:sz w:val="22"/>
          <w:szCs w:val="22"/>
          <w:lang w:val="en-US"/>
        </w:rPr>
      </w:pPr>
    </w:p>
    <w:p w:rsidR="0053664C" w:rsidRDefault="0053664C" w:rsidP="0083331D">
      <w:pPr>
        <w:spacing w:line="300" w:lineRule="atLeast"/>
        <w:ind w:left="0" w:right="0"/>
        <w:rPr>
          <w:sz w:val="22"/>
          <w:szCs w:val="22"/>
          <w:lang w:val="en-US"/>
        </w:rPr>
      </w:pPr>
      <w:r w:rsidRPr="0053664C">
        <w:rPr>
          <w:sz w:val="22"/>
          <w:szCs w:val="22"/>
          <w:lang w:val="en-US"/>
        </w:rPr>
        <w:t xml:space="preserve">Ute Wolf, </w:t>
      </w:r>
      <w:r w:rsidR="00922B46">
        <w:rPr>
          <w:sz w:val="22"/>
          <w:szCs w:val="22"/>
          <w:lang w:val="en-US"/>
        </w:rPr>
        <w:t>Group Finance Director</w:t>
      </w:r>
      <w:r w:rsidRPr="0053664C">
        <w:rPr>
          <w:sz w:val="22"/>
          <w:szCs w:val="22"/>
          <w:lang w:val="en-US"/>
        </w:rPr>
        <w:t xml:space="preserve"> at </w:t>
      </w:r>
      <w:proofErr w:type="spellStart"/>
      <w:r w:rsidRPr="0053664C">
        <w:rPr>
          <w:sz w:val="22"/>
          <w:szCs w:val="22"/>
          <w:lang w:val="en-US"/>
        </w:rPr>
        <w:t>Evonik</w:t>
      </w:r>
      <w:proofErr w:type="spellEnd"/>
      <w:r w:rsidRPr="0053664C">
        <w:rPr>
          <w:sz w:val="22"/>
          <w:szCs w:val="22"/>
          <w:lang w:val="en-US"/>
        </w:rPr>
        <w:t xml:space="preserve">, added: “With this new credit facility, our banking partners are giving us the backing we need to drive forward our growth-focused strategy on an international level.” </w:t>
      </w:r>
    </w:p>
    <w:p w:rsidR="0083331D" w:rsidRPr="0053664C" w:rsidRDefault="0083331D" w:rsidP="0083331D">
      <w:pPr>
        <w:spacing w:line="300" w:lineRule="atLeast"/>
        <w:ind w:left="0" w:right="0"/>
        <w:rPr>
          <w:sz w:val="22"/>
          <w:szCs w:val="22"/>
          <w:lang w:val="en-US"/>
        </w:rPr>
      </w:pPr>
    </w:p>
    <w:p w:rsidR="0053664C" w:rsidRDefault="0053664C" w:rsidP="0083331D">
      <w:pPr>
        <w:spacing w:line="300" w:lineRule="atLeast"/>
        <w:ind w:left="0" w:right="0"/>
        <w:rPr>
          <w:sz w:val="22"/>
          <w:szCs w:val="22"/>
          <w:lang w:val="en-US"/>
        </w:rPr>
      </w:pPr>
      <w:r w:rsidRPr="0053664C">
        <w:rPr>
          <w:sz w:val="22"/>
          <w:szCs w:val="22"/>
          <w:lang w:val="en-US"/>
        </w:rPr>
        <w:t xml:space="preserve">In total, 27 banks from the following countries are participating in the refinancing: Germany (7), the U.S. (5), Great Britain (4), France (3), Japan (2), China (2), Italy, Sweden, Switzerland, and Spain (one each). </w:t>
      </w:r>
    </w:p>
    <w:p w:rsidR="0083331D" w:rsidRDefault="0083331D" w:rsidP="0083331D">
      <w:pPr>
        <w:spacing w:line="300" w:lineRule="atLeast"/>
        <w:ind w:left="0" w:right="0"/>
        <w:rPr>
          <w:sz w:val="22"/>
          <w:szCs w:val="22"/>
          <w:lang w:val="en-US"/>
        </w:rPr>
      </w:pPr>
    </w:p>
    <w:p w:rsidR="0083331D" w:rsidRPr="0053664C" w:rsidRDefault="0083331D" w:rsidP="0083331D">
      <w:pPr>
        <w:spacing w:line="300" w:lineRule="atLeast"/>
        <w:ind w:left="0" w:right="0"/>
        <w:rPr>
          <w:sz w:val="22"/>
          <w:szCs w:val="22"/>
          <w:lang w:val="en-US"/>
        </w:rPr>
      </w:pPr>
    </w:p>
    <w:p w:rsidR="0083331D" w:rsidRDefault="0053664C" w:rsidP="0083331D">
      <w:pPr>
        <w:spacing w:line="300" w:lineRule="atLeast"/>
        <w:ind w:left="0" w:right="0"/>
        <w:rPr>
          <w:b/>
          <w:sz w:val="22"/>
          <w:szCs w:val="22"/>
          <w:lang w:val="en-US"/>
        </w:rPr>
      </w:pPr>
      <w:r w:rsidRPr="0053664C">
        <w:rPr>
          <w:b/>
          <w:sz w:val="22"/>
          <w:szCs w:val="22"/>
          <w:lang w:val="en-US"/>
        </w:rPr>
        <w:t xml:space="preserve">Mandated lead arrangers &amp; </w:t>
      </w:r>
      <w:proofErr w:type="spellStart"/>
      <w:r w:rsidRPr="0053664C">
        <w:rPr>
          <w:b/>
          <w:sz w:val="22"/>
          <w:szCs w:val="22"/>
          <w:lang w:val="en-US"/>
        </w:rPr>
        <w:t>bookrunners</w:t>
      </w:r>
      <w:proofErr w:type="spellEnd"/>
      <w:r w:rsidRPr="0053664C">
        <w:rPr>
          <w:b/>
          <w:sz w:val="22"/>
          <w:szCs w:val="22"/>
          <w:lang w:val="en-US"/>
        </w:rPr>
        <w:t xml:space="preserve">: </w:t>
      </w:r>
    </w:p>
    <w:p w:rsidR="0053664C" w:rsidRDefault="0053664C" w:rsidP="0083331D">
      <w:pPr>
        <w:spacing w:line="300" w:lineRule="atLeast"/>
        <w:ind w:left="0" w:right="0"/>
        <w:rPr>
          <w:sz w:val="22"/>
          <w:szCs w:val="22"/>
          <w:lang w:val="en-US"/>
        </w:rPr>
      </w:pPr>
      <w:proofErr w:type="spellStart"/>
      <w:r w:rsidRPr="0053664C">
        <w:rPr>
          <w:sz w:val="22"/>
          <w:szCs w:val="22"/>
          <w:lang w:val="en-US"/>
        </w:rPr>
        <w:t>Banco</w:t>
      </w:r>
      <w:proofErr w:type="spellEnd"/>
      <w:r w:rsidRPr="0053664C">
        <w:rPr>
          <w:sz w:val="22"/>
          <w:szCs w:val="22"/>
          <w:lang w:val="en-US"/>
        </w:rPr>
        <w:t xml:space="preserve"> Bilbao </w:t>
      </w:r>
      <w:proofErr w:type="spellStart"/>
      <w:r w:rsidRPr="0053664C">
        <w:rPr>
          <w:sz w:val="22"/>
          <w:szCs w:val="22"/>
          <w:lang w:val="en-US"/>
        </w:rPr>
        <w:t>Vizcaya</w:t>
      </w:r>
      <w:proofErr w:type="spellEnd"/>
      <w:r w:rsidRPr="0053664C">
        <w:rPr>
          <w:sz w:val="22"/>
          <w:szCs w:val="22"/>
          <w:lang w:val="en-US"/>
        </w:rPr>
        <w:t xml:space="preserve"> </w:t>
      </w:r>
      <w:proofErr w:type="spellStart"/>
      <w:r w:rsidRPr="0053664C">
        <w:rPr>
          <w:sz w:val="22"/>
          <w:szCs w:val="22"/>
          <w:lang w:val="en-US"/>
        </w:rPr>
        <w:t>Argentaria</w:t>
      </w:r>
      <w:proofErr w:type="spellEnd"/>
      <w:r w:rsidRPr="0053664C">
        <w:rPr>
          <w:sz w:val="22"/>
          <w:szCs w:val="22"/>
          <w:lang w:val="en-US"/>
        </w:rPr>
        <w:t xml:space="preserve"> (BBVA), Bank of America Merrill Lynch, Bank of China, Barclays, </w:t>
      </w:r>
      <w:proofErr w:type="spellStart"/>
      <w:r w:rsidRPr="0053664C">
        <w:rPr>
          <w:sz w:val="22"/>
          <w:szCs w:val="22"/>
          <w:lang w:val="en-US"/>
        </w:rPr>
        <w:t>BayernLB</w:t>
      </w:r>
      <w:proofErr w:type="spellEnd"/>
      <w:r w:rsidRPr="0053664C">
        <w:rPr>
          <w:sz w:val="22"/>
          <w:szCs w:val="22"/>
          <w:lang w:val="en-US"/>
        </w:rPr>
        <w:t xml:space="preserve">, BNP Paribas, Citi, Commerzbank, </w:t>
      </w:r>
      <w:proofErr w:type="spellStart"/>
      <w:r w:rsidRPr="0053664C">
        <w:rPr>
          <w:sz w:val="22"/>
          <w:szCs w:val="22"/>
          <w:lang w:val="en-US"/>
        </w:rPr>
        <w:t>Crédit</w:t>
      </w:r>
      <w:proofErr w:type="spellEnd"/>
      <w:r w:rsidRPr="0053664C">
        <w:rPr>
          <w:sz w:val="22"/>
          <w:szCs w:val="22"/>
          <w:lang w:val="en-US"/>
        </w:rPr>
        <w:t xml:space="preserve"> </w:t>
      </w:r>
      <w:proofErr w:type="spellStart"/>
      <w:r w:rsidRPr="0053664C">
        <w:rPr>
          <w:sz w:val="22"/>
          <w:szCs w:val="22"/>
          <w:lang w:val="en-US"/>
        </w:rPr>
        <w:t>Agricole</w:t>
      </w:r>
      <w:proofErr w:type="spellEnd"/>
      <w:r w:rsidRPr="0053664C">
        <w:rPr>
          <w:sz w:val="22"/>
          <w:szCs w:val="22"/>
          <w:lang w:val="en-US"/>
        </w:rPr>
        <w:t xml:space="preserve">, Credit Suisse, Deutsche Bank, DZ Bank, Goldman Sachs, HSBC, J.P. Morgan, </w:t>
      </w:r>
      <w:proofErr w:type="spellStart"/>
      <w:r w:rsidRPr="0053664C">
        <w:rPr>
          <w:sz w:val="22"/>
          <w:szCs w:val="22"/>
          <w:lang w:val="en-US"/>
        </w:rPr>
        <w:t>Landesbank</w:t>
      </w:r>
      <w:proofErr w:type="spellEnd"/>
      <w:r w:rsidRPr="0053664C">
        <w:rPr>
          <w:sz w:val="22"/>
          <w:szCs w:val="22"/>
          <w:lang w:val="en-US"/>
        </w:rPr>
        <w:t xml:space="preserve"> Baden-Württemberg, </w:t>
      </w:r>
      <w:proofErr w:type="spellStart"/>
      <w:r w:rsidRPr="0053664C">
        <w:rPr>
          <w:sz w:val="22"/>
          <w:szCs w:val="22"/>
          <w:lang w:val="en-US"/>
        </w:rPr>
        <w:t>Landesbank</w:t>
      </w:r>
      <w:proofErr w:type="spellEnd"/>
      <w:r w:rsidRPr="0053664C">
        <w:rPr>
          <w:sz w:val="22"/>
          <w:szCs w:val="22"/>
          <w:lang w:val="en-US"/>
        </w:rPr>
        <w:t xml:space="preserve"> Hessen-Thüringen, Mizuho, Morgan </w:t>
      </w:r>
      <w:r w:rsidRPr="0053664C">
        <w:rPr>
          <w:sz w:val="22"/>
          <w:szCs w:val="22"/>
          <w:lang w:val="en-US"/>
        </w:rPr>
        <w:lastRenderedPageBreak/>
        <w:t xml:space="preserve">Stanley, SEB, </w:t>
      </w:r>
      <w:proofErr w:type="spellStart"/>
      <w:r w:rsidRPr="0053664C">
        <w:rPr>
          <w:sz w:val="22"/>
          <w:szCs w:val="22"/>
          <w:lang w:val="en-US"/>
        </w:rPr>
        <w:t>Société</w:t>
      </w:r>
      <w:proofErr w:type="spellEnd"/>
      <w:r w:rsidRPr="0053664C">
        <w:rPr>
          <w:sz w:val="22"/>
          <w:szCs w:val="22"/>
          <w:lang w:val="en-US"/>
        </w:rPr>
        <w:t xml:space="preserve"> </w:t>
      </w:r>
      <w:proofErr w:type="spellStart"/>
      <w:r w:rsidRPr="0053664C">
        <w:rPr>
          <w:sz w:val="22"/>
          <w:szCs w:val="22"/>
          <w:lang w:val="en-US"/>
        </w:rPr>
        <w:t>Générale</w:t>
      </w:r>
      <w:proofErr w:type="spellEnd"/>
      <w:r w:rsidRPr="0053664C">
        <w:rPr>
          <w:sz w:val="22"/>
          <w:szCs w:val="22"/>
          <w:lang w:val="en-US"/>
        </w:rPr>
        <w:t xml:space="preserve">, Standard Chartered, The Bank of Tokyo-Mitsubishi UFJ, The Royal Bank of Scotland, </w:t>
      </w:r>
      <w:proofErr w:type="spellStart"/>
      <w:r w:rsidRPr="0053664C">
        <w:rPr>
          <w:sz w:val="22"/>
          <w:szCs w:val="22"/>
          <w:lang w:val="en-US"/>
        </w:rPr>
        <w:t>UniCredit</w:t>
      </w:r>
      <w:proofErr w:type="spellEnd"/>
      <w:r w:rsidR="0053518A">
        <w:rPr>
          <w:sz w:val="22"/>
          <w:szCs w:val="22"/>
          <w:lang w:val="en-US"/>
        </w:rPr>
        <w:t>.</w:t>
      </w:r>
      <w:r w:rsidRPr="0053664C">
        <w:rPr>
          <w:sz w:val="22"/>
          <w:szCs w:val="22"/>
          <w:lang w:val="en-US"/>
        </w:rPr>
        <w:t xml:space="preserve"> </w:t>
      </w:r>
    </w:p>
    <w:p w:rsidR="0083331D" w:rsidRDefault="0083331D" w:rsidP="0083331D">
      <w:pPr>
        <w:spacing w:line="300" w:lineRule="atLeast"/>
        <w:ind w:left="0" w:right="0"/>
        <w:rPr>
          <w:sz w:val="22"/>
          <w:szCs w:val="22"/>
          <w:lang w:val="en-US"/>
        </w:rPr>
      </w:pPr>
    </w:p>
    <w:p w:rsidR="0083331D" w:rsidRDefault="0083331D" w:rsidP="0083331D">
      <w:pPr>
        <w:spacing w:line="300" w:lineRule="atLeast"/>
        <w:ind w:left="0" w:right="0"/>
        <w:rPr>
          <w:sz w:val="22"/>
          <w:szCs w:val="22"/>
          <w:lang w:val="en-US"/>
        </w:rPr>
      </w:pPr>
    </w:p>
    <w:p w:rsidR="0083331D" w:rsidRDefault="0053664C" w:rsidP="0083331D">
      <w:pPr>
        <w:spacing w:line="300" w:lineRule="atLeast"/>
        <w:ind w:left="0" w:right="0"/>
        <w:rPr>
          <w:b/>
          <w:sz w:val="22"/>
          <w:szCs w:val="22"/>
          <w:lang w:val="en-US"/>
        </w:rPr>
      </w:pPr>
      <w:r w:rsidRPr="0053664C">
        <w:rPr>
          <w:b/>
          <w:sz w:val="22"/>
          <w:szCs w:val="22"/>
          <w:lang w:val="en-US"/>
        </w:rPr>
        <w:t>Lead arranger</w:t>
      </w:r>
      <w:r w:rsidR="00CB3F61">
        <w:rPr>
          <w:b/>
          <w:sz w:val="22"/>
          <w:szCs w:val="22"/>
          <w:lang w:val="en-US"/>
        </w:rPr>
        <w:t>s</w:t>
      </w:r>
      <w:r w:rsidRPr="0053664C">
        <w:rPr>
          <w:b/>
          <w:sz w:val="22"/>
          <w:szCs w:val="22"/>
          <w:lang w:val="en-US"/>
        </w:rPr>
        <w:t xml:space="preserve">: </w:t>
      </w:r>
    </w:p>
    <w:p w:rsidR="0053518A" w:rsidRDefault="0053664C" w:rsidP="0083331D">
      <w:pPr>
        <w:spacing w:line="300" w:lineRule="atLeast"/>
        <w:ind w:left="0" w:right="0"/>
        <w:rPr>
          <w:sz w:val="22"/>
          <w:szCs w:val="22"/>
          <w:lang w:val="en-US"/>
        </w:rPr>
      </w:pPr>
      <w:r w:rsidRPr="0053664C">
        <w:rPr>
          <w:sz w:val="22"/>
          <w:szCs w:val="22"/>
          <w:lang w:val="en-US"/>
        </w:rPr>
        <w:t>Industrial and Commercial Bank of China (ICBC), WGZ Bank</w:t>
      </w:r>
    </w:p>
    <w:p w:rsidR="0053664C" w:rsidRPr="0053664C" w:rsidRDefault="0053664C" w:rsidP="0083331D">
      <w:pPr>
        <w:spacing w:line="300" w:lineRule="atLeast"/>
        <w:ind w:left="0" w:right="0"/>
        <w:rPr>
          <w:sz w:val="22"/>
          <w:szCs w:val="22"/>
          <w:lang w:val="en-US"/>
        </w:rPr>
      </w:pPr>
    </w:p>
    <w:p w:rsidR="0053664C" w:rsidRPr="0053664C" w:rsidRDefault="0053664C" w:rsidP="0083331D">
      <w:pPr>
        <w:spacing w:line="300" w:lineRule="atLeast"/>
        <w:ind w:left="0" w:right="0"/>
        <w:rPr>
          <w:sz w:val="22"/>
          <w:szCs w:val="22"/>
          <w:lang w:val="en-US"/>
        </w:rPr>
      </w:pPr>
      <w:r w:rsidRPr="0053664C">
        <w:rPr>
          <w:sz w:val="22"/>
          <w:szCs w:val="22"/>
          <w:lang w:val="en-US"/>
        </w:rPr>
        <w:t xml:space="preserve">The transaction was structured with the support of Barclays, BNP Paribas, and </w:t>
      </w:r>
      <w:proofErr w:type="spellStart"/>
      <w:r w:rsidRPr="0053664C">
        <w:rPr>
          <w:sz w:val="22"/>
          <w:szCs w:val="22"/>
          <w:lang w:val="en-US"/>
        </w:rPr>
        <w:t>Unicredit</w:t>
      </w:r>
      <w:proofErr w:type="spellEnd"/>
      <w:r w:rsidRPr="0053664C">
        <w:rPr>
          <w:sz w:val="22"/>
          <w:szCs w:val="22"/>
          <w:lang w:val="en-US"/>
        </w:rPr>
        <w:t xml:space="preserve"> as coordinators. Facility Agent is Deutsche Bank.</w:t>
      </w:r>
    </w:p>
    <w:p w:rsidR="005134AC" w:rsidRPr="005134AC" w:rsidRDefault="005134AC" w:rsidP="0083331D">
      <w:pPr>
        <w:spacing w:line="300" w:lineRule="atLeast"/>
        <w:ind w:left="0"/>
        <w:rPr>
          <w:sz w:val="22"/>
          <w:szCs w:val="22"/>
          <w:lang w:val="en-US"/>
        </w:rPr>
      </w:pPr>
    </w:p>
    <w:p w:rsidR="00CC5D98" w:rsidRDefault="00CC5D98" w:rsidP="0083331D">
      <w:pPr>
        <w:spacing w:line="300" w:lineRule="atLeast"/>
        <w:ind w:left="0"/>
        <w:rPr>
          <w:sz w:val="22"/>
          <w:szCs w:val="22"/>
          <w:lang w:val="en-US"/>
        </w:rPr>
      </w:pPr>
    </w:p>
    <w:p w:rsidR="0083331D" w:rsidRDefault="0083331D" w:rsidP="0083331D">
      <w:pPr>
        <w:spacing w:line="300" w:lineRule="atLeast"/>
        <w:ind w:left="0"/>
        <w:rPr>
          <w:sz w:val="22"/>
          <w:szCs w:val="22"/>
          <w:lang w:val="en-US"/>
        </w:rPr>
      </w:pPr>
    </w:p>
    <w:p w:rsidR="0083331D" w:rsidRDefault="0083331D" w:rsidP="0083331D">
      <w:pPr>
        <w:spacing w:line="300" w:lineRule="atLeast"/>
        <w:ind w:left="0"/>
        <w:rPr>
          <w:sz w:val="22"/>
          <w:szCs w:val="22"/>
          <w:lang w:val="en-US"/>
        </w:rPr>
      </w:pPr>
    </w:p>
    <w:p w:rsidR="0083331D" w:rsidRDefault="0083331D" w:rsidP="0083331D">
      <w:pPr>
        <w:spacing w:line="300" w:lineRule="atLeast"/>
        <w:ind w:left="0"/>
        <w:rPr>
          <w:sz w:val="22"/>
          <w:szCs w:val="22"/>
          <w:lang w:val="en-US"/>
        </w:rPr>
      </w:pPr>
    </w:p>
    <w:p w:rsidR="0083331D" w:rsidRDefault="0083331D" w:rsidP="0083331D">
      <w:pPr>
        <w:spacing w:line="300" w:lineRule="atLeast"/>
        <w:ind w:left="0"/>
        <w:rPr>
          <w:sz w:val="22"/>
          <w:szCs w:val="22"/>
          <w:lang w:val="en-US"/>
        </w:rPr>
      </w:pPr>
    </w:p>
    <w:p w:rsidR="0083331D" w:rsidRPr="003C3375" w:rsidRDefault="0083331D" w:rsidP="0083331D">
      <w:pPr>
        <w:spacing w:line="300" w:lineRule="atLeast"/>
        <w:ind w:left="0"/>
        <w:rPr>
          <w:sz w:val="22"/>
          <w:szCs w:val="22"/>
          <w:lang w:val="en-US"/>
        </w:rPr>
      </w:pPr>
    </w:p>
    <w:p w:rsidR="00CC5D98" w:rsidRPr="003C3375" w:rsidRDefault="00CC5D98" w:rsidP="0083331D">
      <w:pPr>
        <w:spacing w:line="300" w:lineRule="atLeast"/>
        <w:ind w:left="0"/>
        <w:rPr>
          <w:sz w:val="22"/>
          <w:szCs w:val="22"/>
          <w:lang w:val="en-US"/>
        </w:rPr>
      </w:pPr>
    </w:p>
    <w:p w:rsidR="00CC5D98" w:rsidRPr="003C3375" w:rsidRDefault="00CC5D98" w:rsidP="0083331D">
      <w:pPr>
        <w:spacing w:line="300" w:lineRule="atLeast"/>
        <w:ind w:left="0"/>
        <w:rPr>
          <w:sz w:val="22"/>
          <w:szCs w:val="22"/>
          <w:lang w:val="en-US"/>
        </w:rPr>
      </w:pPr>
    </w:p>
    <w:p w:rsidR="003C3375" w:rsidRDefault="003C3375" w:rsidP="0083331D">
      <w:pPr>
        <w:spacing w:line="240" w:lineRule="auto"/>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1834A4" w:rsidRDefault="001834A4" w:rsidP="0083331D">
      <w:pPr>
        <w:autoSpaceDE w:val="0"/>
        <w:autoSpaceDN w:val="0"/>
        <w:adjustRightInd w:val="0"/>
        <w:spacing w:line="240" w:lineRule="auto"/>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1834A4" w:rsidRDefault="001834A4" w:rsidP="0083331D">
      <w:pPr>
        <w:autoSpaceDE w:val="0"/>
        <w:autoSpaceDN w:val="0"/>
        <w:adjustRightInd w:val="0"/>
        <w:spacing w:line="240" w:lineRule="auto"/>
        <w:ind w:left="0"/>
        <w:rPr>
          <w:rFonts w:cs="Lucida Sans Unicode"/>
          <w:szCs w:val="18"/>
          <w:lang w:val="en-US"/>
        </w:rPr>
      </w:pPr>
    </w:p>
    <w:p w:rsidR="001834A4" w:rsidRDefault="001834A4" w:rsidP="0083331D">
      <w:pPr>
        <w:autoSpaceDE w:val="0"/>
        <w:autoSpaceDN w:val="0"/>
        <w:adjustRightInd w:val="0"/>
        <w:spacing w:line="240" w:lineRule="auto"/>
        <w:ind w:left="0"/>
        <w:rPr>
          <w:rFonts w:cs="Lucida Sans Unicode"/>
          <w:szCs w:val="18"/>
          <w:lang w:val="en-US"/>
        </w:rPr>
      </w:pPr>
      <w:r>
        <w:rPr>
          <w:rFonts w:cs="Lucida Sans Unicode"/>
          <w:szCs w:val="18"/>
          <w:lang w:val="en-US"/>
        </w:rPr>
        <w:t>Evonik is active in over 100 countries around the world. In fiscal 2012 more than 33,000 employees generated sales of around €13.6 billion and an operating profit (adjusted EBITDA) of about €2.6 billion.</w:t>
      </w:r>
    </w:p>
    <w:p w:rsidR="003C3375" w:rsidRDefault="003C3375" w:rsidP="0083331D">
      <w:pPr>
        <w:spacing w:line="240" w:lineRule="auto"/>
        <w:ind w:left="0"/>
        <w:rPr>
          <w:szCs w:val="18"/>
          <w:lang w:val="en-US"/>
        </w:rPr>
      </w:pPr>
    </w:p>
    <w:p w:rsidR="003C3375" w:rsidRDefault="003C3375" w:rsidP="0083331D">
      <w:pPr>
        <w:spacing w:line="240" w:lineRule="auto"/>
        <w:ind w:left="0"/>
        <w:rPr>
          <w:szCs w:val="18"/>
          <w:lang w:val="en-US"/>
        </w:rPr>
      </w:pPr>
    </w:p>
    <w:p w:rsidR="003C3375" w:rsidRDefault="003C3375" w:rsidP="0083331D">
      <w:pPr>
        <w:spacing w:line="240" w:lineRule="auto"/>
        <w:ind w:left="0"/>
        <w:outlineLvl w:val="0"/>
        <w:rPr>
          <w:rFonts w:cs="Lucida Sans Unicode"/>
          <w:b/>
          <w:bCs/>
          <w:color w:val="000000"/>
          <w:sz w:val="16"/>
          <w:szCs w:val="16"/>
          <w:lang w:val="en-US"/>
        </w:rPr>
      </w:pPr>
      <w:r>
        <w:rPr>
          <w:rFonts w:cs="Lucida Sans Unicode"/>
          <w:b/>
          <w:bCs/>
          <w:color w:val="000000"/>
          <w:sz w:val="16"/>
          <w:szCs w:val="16"/>
          <w:lang w:val="en-US"/>
        </w:rPr>
        <w:t>Disclaimer</w:t>
      </w:r>
    </w:p>
    <w:p w:rsidR="003C3375" w:rsidRDefault="003C3375" w:rsidP="0083331D">
      <w:pPr>
        <w:spacing w:line="240" w:lineRule="auto"/>
        <w:ind w:left="0"/>
        <w:rPr>
          <w:rFonts w:cs="Lucida Sans Unicode"/>
          <w:color w:val="000000"/>
          <w:sz w:val="16"/>
          <w:szCs w:val="16"/>
          <w:lang w:val="en-US"/>
        </w:rPr>
      </w:pPr>
      <w:r>
        <w:rPr>
          <w:rFonts w:cs="Lucida Sans Unicode"/>
          <w:color w:val="000000"/>
          <w:sz w:val="16"/>
          <w:szCs w:val="16"/>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CC5D98" w:rsidRPr="003C3375" w:rsidRDefault="00CC5D98" w:rsidP="00F5444B">
      <w:pPr>
        <w:spacing w:line="240" w:lineRule="auto"/>
        <w:ind w:left="0" w:right="0"/>
        <w:rPr>
          <w:rFonts w:cs="Lucida Sans Unicode"/>
          <w:position w:val="0"/>
          <w:szCs w:val="18"/>
          <w:lang w:val="en-US"/>
        </w:rPr>
      </w:pPr>
    </w:p>
    <w:sectPr w:rsidR="00CC5D98" w:rsidRPr="003C3375">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4AC" w:rsidRDefault="005134AC">
      <w:r>
        <w:separator/>
      </w:r>
    </w:p>
    <w:p w:rsidR="005134AC" w:rsidRDefault="005134AC"/>
  </w:endnote>
  <w:endnote w:type="continuationSeparator" w:id="0">
    <w:p w:rsidR="005134AC" w:rsidRDefault="005134AC">
      <w:r>
        <w:continuationSeparator/>
      </w:r>
    </w:p>
    <w:p w:rsidR="005134AC" w:rsidRDefault="005134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1F5EB9">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1F5EB9">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1F5EB9">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1F5EB9">
      <w:rPr>
        <w:rStyle w:val="Seitenzahl"/>
        <w:noProof/>
      </w:rPr>
      <w:t>1</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4AC" w:rsidRDefault="005134AC">
      <w:r>
        <w:separator/>
      </w:r>
    </w:p>
    <w:p w:rsidR="005134AC" w:rsidRDefault="005134AC"/>
  </w:footnote>
  <w:footnote w:type="continuationSeparator" w:id="0">
    <w:p w:rsidR="005134AC" w:rsidRDefault="005134AC">
      <w:r>
        <w:continuationSeparator/>
      </w:r>
    </w:p>
    <w:p w:rsidR="005134AC" w:rsidRDefault="005134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lang w:val="en-US" w:eastAsia="en-US"/>
      </w:rPr>
      <w:drawing>
        <wp:anchor distT="0" distB="0" distL="114300" distR="114300" simplePos="0" relativeHeight="251661312" behindDoc="1" locked="0" layoutInCell="1" allowOverlap="1" wp14:anchorId="0BC224C6" wp14:editId="320975E1">
          <wp:simplePos x="0" y="0"/>
          <wp:positionH relativeFrom="page">
            <wp:posOffset>868045</wp:posOffset>
          </wp:positionH>
          <wp:positionV relativeFrom="page">
            <wp:posOffset>612140</wp:posOffset>
          </wp:positionV>
          <wp:extent cx="982980" cy="133350"/>
          <wp:effectExtent l="0" t="0" r="7620" b="0"/>
          <wp:wrapNone/>
          <wp:docPr id="9" name="Grafik 9"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7216" behindDoc="1" locked="0" layoutInCell="1" allowOverlap="1" wp14:anchorId="2FFC0A30" wp14:editId="731F97EB">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lang w:val="en-US" w:eastAsia="en-US"/>
      </w:rPr>
      <w:drawing>
        <wp:anchor distT="0" distB="0" distL="114300" distR="114300" simplePos="0" relativeHeight="251660288" behindDoc="1" locked="0" layoutInCell="1" allowOverlap="1" wp14:anchorId="1E141353" wp14:editId="033621DC">
          <wp:simplePos x="0" y="0"/>
          <wp:positionH relativeFrom="page">
            <wp:posOffset>868045</wp:posOffset>
          </wp:positionH>
          <wp:positionV relativeFrom="page">
            <wp:posOffset>612140</wp:posOffset>
          </wp:positionV>
          <wp:extent cx="982980" cy="133350"/>
          <wp:effectExtent l="0" t="0" r="7620" b="0"/>
          <wp:wrapNone/>
          <wp:docPr id="10" name="Grafik 10"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6192" behindDoc="1" locked="0" layoutInCell="1" allowOverlap="1" wp14:anchorId="4EBDAC12" wp14:editId="5D7EFC64">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4AC"/>
    <w:rsid w:val="00071FC8"/>
    <w:rsid w:val="000967F0"/>
    <w:rsid w:val="001834A4"/>
    <w:rsid w:val="001F5EB9"/>
    <w:rsid w:val="002B5E41"/>
    <w:rsid w:val="00380605"/>
    <w:rsid w:val="003C3375"/>
    <w:rsid w:val="00401F7D"/>
    <w:rsid w:val="004A78CD"/>
    <w:rsid w:val="005073C7"/>
    <w:rsid w:val="005134AC"/>
    <w:rsid w:val="0053518A"/>
    <w:rsid w:val="0053664C"/>
    <w:rsid w:val="007748FC"/>
    <w:rsid w:val="00794AB9"/>
    <w:rsid w:val="008174AA"/>
    <w:rsid w:val="0083331D"/>
    <w:rsid w:val="008B5E1C"/>
    <w:rsid w:val="00922B46"/>
    <w:rsid w:val="00955ABF"/>
    <w:rsid w:val="009F45AE"/>
    <w:rsid w:val="00A51C53"/>
    <w:rsid w:val="00A654E9"/>
    <w:rsid w:val="00B14022"/>
    <w:rsid w:val="00CB3F61"/>
    <w:rsid w:val="00CC5D98"/>
    <w:rsid w:val="00D67928"/>
    <w:rsid w:val="00E12886"/>
    <w:rsid w:val="00E3471C"/>
    <w:rsid w:val="00E50CA5"/>
    <w:rsid w:val="00EF4253"/>
    <w:rsid w:val="00F31F7C"/>
    <w:rsid w:val="00F5444B"/>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7BE9DBD6</Template>
  <TotalTime>0</TotalTime>
  <Pages>2</Pages>
  <Words>549</Words>
  <Characters>3461</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secures €1.75 billion credit facility</dc:title>
  <dc:creator>IDM_C_Evonik Industries AG</dc:creator>
  <cp:lastModifiedBy>Bach, Katrin</cp:lastModifiedBy>
  <cp:revision>2</cp:revision>
  <cp:lastPrinted>2013-09-03T14:18:00Z</cp:lastPrinted>
  <dcterms:created xsi:type="dcterms:W3CDTF">2013-09-03T14:30:00Z</dcterms:created>
  <dcterms:modified xsi:type="dcterms:W3CDTF">2013-09-03T14:30:00Z</dcterms:modified>
</cp:coreProperties>
</file>