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rsidP="00EF521C">
      <w:pPr>
        <w:spacing w:line="300" w:lineRule="exact"/>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A632E" w:rsidP="00A029E1">
            <w:pPr>
              <w:pStyle w:val="E-Datum"/>
              <w:framePr w:wrap="auto" w:vAnchor="margin" w:hAnchor="text" w:xAlign="left" w:yAlign="inline"/>
              <w:suppressOverlap w:val="0"/>
            </w:pPr>
            <w:proofErr w:type="spellStart"/>
            <w:r>
              <w:t>July</w:t>
            </w:r>
            <w:proofErr w:type="spellEnd"/>
            <w:r>
              <w:t xml:space="preserve"> 31</w:t>
            </w:r>
            <w:r w:rsidR="00552E51">
              <w:t>, 2014</w:t>
            </w:r>
          </w:p>
        </w:tc>
      </w:tr>
      <w:tr w:rsidR="00CC5D98" w:rsidTr="00B14022">
        <w:trPr>
          <w:trHeight w:hRule="exact" w:val="304"/>
        </w:trPr>
        <w:tc>
          <w:tcPr>
            <w:tcW w:w="2271" w:type="dxa"/>
            <w:shd w:val="clear" w:color="auto" w:fill="auto"/>
          </w:tcPr>
          <w:p w:rsidR="00CC5D98" w:rsidRDefault="00CC5D98" w:rsidP="00A029E1">
            <w:pPr>
              <w:spacing w:line="180" w:lineRule="exact"/>
              <w:ind w:left="0"/>
            </w:pPr>
          </w:p>
        </w:tc>
      </w:tr>
      <w:tr w:rsidR="00CC5D98" w:rsidRPr="005A0594" w:rsidTr="00B14022">
        <w:trPr>
          <w:trHeight w:hRule="exact" w:val="1222"/>
        </w:trPr>
        <w:tc>
          <w:tcPr>
            <w:tcW w:w="2271" w:type="dxa"/>
            <w:shd w:val="clear" w:color="auto" w:fill="auto"/>
          </w:tcPr>
          <w:p w:rsidR="00CC5D98" w:rsidRPr="003C3375" w:rsidRDefault="00552E51" w:rsidP="00A029E1">
            <w:pPr>
              <w:pStyle w:val="M7"/>
              <w:framePr w:wrap="auto" w:vAnchor="margin" w:hAnchor="text" w:xAlign="left" w:yAlign="inline"/>
              <w:suppressOverlap w:val="0"/>
              <w:rPr>
                <w:lang w:val="en-US"/>
              </w:rPr>
            </w:pPr>
            <w:r>
              <w:rPr>
                <w:lang w:val="en-US"/>
              </w:rPr>
              <w:t>Barbara Müller</w:t>
            </w:r>
          </w:p>
          <w:p w:rsidR="00CC5D98" w:rsidRPr="00E12886" w:rsidRDefault="00552E51" w:rsidP="00A029E1">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rsidP="00A029E1">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552E51">
              <w:rPr>
                <w:lang w:val="en-US"/>
              </w:rPr>
              <w:t>201 177-3423</w:t>
            </w:r>
          </w:p>
          <w:p w:rsidR="00CC5D98" w:rsidRDefault="00F31F7C" w:rsidP="00A029E1">
            <w:pPr>
              <w:pStyle w:val="M10"/>
              <w:framePr w:wrap="auto" w:vAnchor="margin" w:hAnchor="text" w:xAlign="left" w:yAlign="inline"/>
              <w:suppressOverlap w:val="0"/>
            </w:pPr>
            <w:r>
              <w:t>F</w:t>
            </w:r>
            <w:r w:rsidR="00B81424">
              <w:t>ax +49</w:t>
            </w:r>
            <w:r w:rsidR="00B81424">
              <w:tab/>
            </w:r>
            <w:r w:rsidR="00552E51">
              <w:t>201 177-3030</w:t>
            </w:r>
          </w:p>
          <w:p w:rsidR="00CC5D98" w:rsidRDefault="00552E51" w:rsidP="00A029E1">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5A0594" w:rsidTr="00B14022">
        <w:trPr>
          <w:trHeight w:val="2609"/>
        </w:trPr>
        <w:tc>
          <w:tcPr>
            <w:tcW w:w="2271" w:type="dxa"/>
            <w:shd w:val="clear" w:color="auto" w:fill="auto"/>
          </w:tcPr>
          <w:p w:rsidR="00CC5D98" w:rsidRPr="00E12886" w:rsidRDefault="00CC5D98" w:rsidP="00A029E1">
            <w:pPr>
              <w:pStyle w:val="M12"/>
              <w:framePr w:wrap="auto" w:vAnchor="margin" w:hAnchor="text" w:xAlign="left" w:yAlign="inline"/>
              <w:suppressOverlap w:val="0"/>
              <w:rPr>
                <w:lang w:val="en-US"/>
              </w:rPr>
            </w:pPr>
          </w:p>
          <w:p w:rsidR="00CC5D98" w:rsidRPr="003C3375" w:rsidRDefault="00552E51" w:rsidP="00A029E1">
            <w:pPr>
              <w:pStyle w:val="M7"/>
              <w:framePr w:wrap="auto" w:vAnchor="margin" w:hAnchor="text" w:xAlign="left" w:yAlign="inline"/>
              <w:suppressOverlap w:val="0"/>
              <w:rPr>
                <w:lang w:val="en-US"/>
              </w:rPr>
            </w:pPr>
            <w:r>
              <w:rPr>
                <w:lang w:val="en-US"/>
              </w:rPr>
              <w:t>Alexandra Boy</w:t>
            </w:r>
          </w:p>
          <w:p w:rsidR="00552E51" w:rsidRPr="00F31F7C" w:rsidRDefault="00552E51" w:rsidP="00A029E1">
            <w:pPr>
              <w:pStyle w:val="M8"/>
              <w:framePr w:wrap="auto" w:vAnchor="margin" w:hAnchor="text" w:xAlign="left" w:yAlign="inline"/>
              <w:suppressOverlap w:val="0"/>
              <w:rPr>
                <w:lang w:val="en-US"/>
              </w:rPr>
            </w:pPr>
            <w:r>
              <w:rPr>
                <w:lang w:val="en-US"/>
              </w:rPr>
              <w:t>Deputy Head Corporate Press</w:t>
            </w:r>
          </w:p>
          <w:p w:rsidR="00CC5D98" w:rsidRPr="00BC3F95" w:rsidRDefault="00F31F7C" w:rsidP="00A029E1">
            <w:pPr>
              <w:pStyle w:val="M9"/>
              <w:framePr w:wrap="auto" w:vAnchor="margin" w:hAnchor="text" w:xAlign="left" w:yAlign="inline"/>
              <w:suppressOverlap w:val="0"/>
              <w:rPr>
                <w:lang w:val="en-US"/>
              </w:rPr>
            </w:pPr>
            <w:r w:rsidRPr="00BC3F95">
              <w:rPr>
                <w:lang w:val="en-US"/>
              </w:rPr>
              <w:t>Phone</w:t>
            </w:r>
            <w:r w:rsidR="00B14022" w:rsidRPr="00BC3F95">
              <w:rPr>
                <w:lang w:val="en-US"/>
              </w:rPr>
              <w:t xml:space="preserve"> +49</w:t>
            </w:r>
            <w:r w:rsidR="00B14022" w:rsidRPr="00BC3F95">
              <w:rPr>
                <w:lang w:val="en-US"/>
              </w:rPr>
              <w:tab/>
            </w:r>
            <w:r w:rsidR="00552E51" w:rsidRPr="00BC3F95">
              <w:rPr>
                <w:lang w:val="en-US"/>
              </w:rPr>
              <w:t>201 177-3167</w:t>
            </w:r>
          </w:p>
          <w:p w:rsidR="00CC5D98" w:rsidRDefault="00F31F7C" w:rsidP="00A029E1">
            <w:pPr>
              <w:pStyle w:val="M10"/>
              <w:framePr w:wrap="auto" w:vAnchor="margin" w:hAnchor="text" w:xAlign="left" w:yAlign="inline"/>
              <w:suppressOverlap w:val="0"/>
            </w:pPr>
            <w:r>
              <w:t>F</w:t>
            </w:r>
            <w:r w:rsidR="00B14022">
              <w:t>ax +49</w:t>
            </w:r>
            <w:r w:rsidR="00B14022">
              <w:tab/>
            </w:r>
            <w:r w:rsidR="00552E51">
              <w:t>201 177-3030</w:t>
            </w:r>
            <w:r w:rsidR="00B14022">
              <w:tab/>
            </w:r>
          </w:p>
          <w:p w:rsidR="00CC5D98" w:rsidRDefault="00552E51" w:rsidP="00A029E1">
            <w:pPr>
              <w:pStyle w:val="M10"/>
              <w:framePr w:wrap="auto" w:vAnchor="margin" w:hAnchor="text" w:xAlign="left" w:yAlign="inline"/>
              <w:suppressOverlap w:val="0"/>
            </w:pPr>
            <w:r>
              <w:t>alexandra.boy</w:t>
            </w:r>
            <w:r w:rsidR="00B14022">
              <w:t>@evonik.com</w:t>
            </w:r>
          </w:p>
          <w:p w:rsidR="00CC5D98" w:rsidRPr="00BC3F95" w:rsidRDefault="00B14022" w:rsidP="00A029E1">
            <w:pPr>
              <w:pStyle w:val="M12"/>
              <w:framePr w:wrap="auto" w:vAnchor="margin" w:hAnchor="text" w:xAlign="left" w:yAlign="inline"/>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rsidP="00A029E1">
            <w:pPr>
              <w:pStyle w:val="Marginalie"/>
              <w:framePr w:w="0" w:hSpace="0" w:wrap="auto" w:vAnchor="margin" w:hAnchor="text" w:xAlign="left" w:yAlign="inline"/>
              <w:rPr>
                <w:b/>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CC5D98" w:rsidRDefault="00B14022" w:rsidP="00A029E1">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203D8">
              <w:rPr>
                <w:noProof/>
              </w:rPr>
              <w:t>Evonik Industries AG</w:t>
            </w:r>
            <w:r>
              <w:fldChar w:fldCharType="end"/>
            </w:r>
          </w:p>
          <w:p w:rsidR="00CC5D98" w:rsidRDefault="00B14022" w:rsidP="00A029E1">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203D8">
              <w:rPr>
                <w:noProof/>
              </w:rPr>
              <w:t>Rellinghauser Straße 1-11</w:t>
            </w:r>
            <w:r>
              <w:fldChar w:fldCharType="end"/>
            </w:r>
          </w:p>
          <w:p w:rsidR="00CC5D98" w:rsidRPr="00F31F7C" w:rsidRDefault="00B14022" w:rsidP="00A029E1">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2203D8">
              <w:rPr>
                <w:noProof/>
              </w:rPr>
              <w:t>45128 Essen</w:t>
            </w:r>
            <w:r>
              <w:fldChar w:fldCharType="end"/>
            </w:r>
            <w:r w:rsidR="003C3375" w:rsidRPr="00BC3F95">
              <w:rPr>
                <w:lang w:val="en-US"/>
              </w:rPr>
              <w:br/>
              <w:t>Ger</w:t>
            </w:r>
            <w:r w:rsidR="003C3375" w:rsidRPr="00F31F7C">
              <w:rPr>
                <w:lang w:val="en-US"/>
              </w:rPr>
              <w:t>many</w:t>
            </w:r>
          </w:p>
          <w:p w:rsidR="00CC5D98" w:rsidRPr="00E12886" w:rsidRDefault="003C3375" w:rsidP="00A029E1">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203D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203D8">
              <w:rPr>
                <w:noProof/>
              </w:rPr>
              <w:t>-</w:t>
            </w:r>
            <w:r w:rsidR="00B14022">
              <w:fldChar w:fldCharType="end"/>
            </w:r>
            <w:r w:rsidR="00B14022" w:rsidRPr="00E12886">
              <w:rPr>
                <w:lang w:val="en-US"/>
              </w:rPr>
              <w:t>01</w:t>
            </w:r>
          </w:p>
          <w:p w:rsidR="00CC5D98" w:rsidRDefault="00B14022" w:rsidP="00A029E1">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203D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203D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203D8">
              <w:rPr>
                <w:noProof/>
              </w:rPr>
              <w:t>-</w:t>
            </w:r>
            <w:r>
              <w:fldChar w:fldCharType="end"/>
            </w:r>
            <w:r>
              <w:t>3475</w:t>
            </w:r>
          </w:p>
          <w:p w:rsidR="00CC5D98" w:rsidRPr="00E12886" w:rsidRDefault="00B14022" w:rsidP="00A029E1">
            <w:pPr>
              <w:pStyle w:val="V6"/>
              <w:framePr w:wrap="auto" w:vAnchor="margin" w:hAnchor="text" w:xAlign="left" w:yAlign="inline"/>
              <w:suppressOverlap w:val="0"/>
              <w:rPr>
                <w:lang w:val="en-US"/>
              </w:rPr>
            </w:pPr>
            <w:r w:rsidRPr="00E12886">
              <w:rPr>
                <w:lang w:val="en-US"/>
              </w:rPr>
              <w:t>www.evonik.de</w:t>
            </w:r>
          </w:p>
          <w:p w:rsidR="00CC5D98" w:rsidRPr="00E12886" w:rsidRDefault="00CC5D98" w:rsidP="00A029E1">
            <w:pPr>
              <w:pStyle w:val="Marginalie"/>
              <w:framePr w:w="0" w:hSpace="0" w:wrap="auto" w:vAnchor="margin" w:hAnchor="text" w:xAlign="left" w:yAlign="inline"/>
              <w:rPr>
                <w:lang w:val="en-US"/>
              </w:rPr>
            </w:pPr>
          </w:p>
          <w:p w:rsidR="00CC5D98" w:rsidRPr="00E12886" w:rsidRDefault="003C3375" w:rsidP="00A029E1">
            <w:pPr>
              <w:pStyle w:val="Marginalie"/>
              <w:framePr w:w="0" w:hSpace="0" w:wrap="auto" w:vAnchor="margin" w:hAnchor="text" w:xAlign="left" w:yAlign="inline"/>
              <w:rPr>
                <w:b/>
                <w:bCs/>
                <w:lang w:val="en-US"/>
              </w:rPr>
            </w:pPr>
            <w:r w:rsidRPr="00E12886">
              <w:rPr>
                <w:b/>
                <w:bCs/>
                <w:lang w:val="en-US"/>
              </w:rPr>
              <w:t>Supervisory Board</w:t>
            </w:r>
          </w:p>
          <w:p w:rsidR="00CC5D98" w:rsidRDefault="00B14022" w:rsidP="00A029E1">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rsidP="00A029E1">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203D8">
              <w:rPr>
                <w:noProof/>
              </w:rPr>
              <w:t>Executive Board</w:t>
            </w:r>
            <w:r>
              <w:fldChar w:fldCharType="end"/>
            </w:r>
          </w:p>
          <w:p w:rsidR="00CC5D98" w:rsidRDefault="00B14022" w:rsidP="00A029E1">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45C89">
              <w:instrText xml:space="preserve"> FORMTEXT </w:instrText>
            </w:r>
            <w:r>
              <w:fldChar w:fldCharType="separate"/>
            </w:r>
            <w:r w:rsidR="002203D8">
              <w:rPr>
                <w:noProof/>
              </w:rPr>
              <w:t>Dr. Klaus Engel</w:t>
            </w:r>
            <w:r>
              <w:fldChar w:fldCharType="end"/>
            </w:r>
            <w:r w:rsidRPr="00945C89">
              <w:t xml:space="preserve">, </w:t>
            </w:r>
            <w:r w:rsidR="003C3375" w:rsidRPr="00945C89">
              <w:t>Chairman</w:t>
            </w:r>
          </w:p>
          <w:p w:rsidR="009B3F1F" w:rsidRPr="00945C89" w:rsidRDefault="009B3F1F" w:rsidP="00A029E1">
            <w:pPr>
              <w:pStyle w:val="V10"/>
              <w:framePr w:wrap="auto" w:vAnchor="margin" w:hAnchor="text" w:xAlign="left" w:yAlign="inline"/>
              <w:suppressOverlap w:val="0"/>
            </w:pPr>
            <w:r>
              <w:t>Christian Kullmann</w:t>
            </w:r>
          </w:p>
          <w:p w:rsidR="00CC5D98" w:rsidRDefault="00B14022" w:rsidP="00A029E1">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203D8">
              <w:rPr>
                <w:noProof/>
              </w:rPr>
              <w:t>Patrik Wohlhauser</w:t>
            </w:r>
            <w:r>
              <w:fldChar w:fldCharType="end"/>
            </w:r>
            <w:r w:rsidR="00554BE4">
              <w:br/>
              <w:t>Ute Wolf</w:t>
            </w:r>
            <w:r w:rsidR="00554BE4">
              <w:br/>
            </w:r>
          </w:p>
          <w:p w:rsidR="00CC5D98" w:rsidRPr="003C3375" w:rsidRDefault="003C3375" w:rsidP="00A029E1">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rsidP="00A029E1">
            <w:pPr>
              <w:pStyle w:val="V15"/>
              <w:framePr w:wrap="auto" w:vAnchor="margin" w:hAnchor="text" w:xAlign="left" w:yAlign="inline"/>
              <w:suppressOverlap w:val="0"/>
              <w:rPr>
                <w:lang w:val="en-US"/>
              </w:rPr>
            </w:pPr>
            <w:r w:rsidRPr="003C3375">
              <w:rPr>
                <w:lang w:val="en-US"/>
              </w:rPr>
              <w:t>Registered court</w:t>
            </w:r>
          </w:p>
          <w:p w:rsidR="00CC5D98" w:rsidRPr="003C3375" w:rsidRDefault="003C3375" w:rsidP="00A029E1">
            <w:pPr>
              <w:pStyle w:val="V16"/>
              <w:framePr w:wrap="auto" w:vAnchor="margin" w:hAnchor="text" w:xAlign="left" w:yAlign="inline"/>
              <w:suppressOverlap w:val="0"/>
              <w:rPr>
                <w:lang w:val="en-US"/>
              </w:rPr>
            </w:pPr>
            <w:r w:rsidRPr="003C3375">
              <w:rPr>
                <w:lang w:val="en-US"/>
              </w:rPr>
              <w:t>Essen local court</w:t>
            </w:r>
          </w:p>
          <w:p w:rsidR="00CC5D98" w:rsidRPr="00E12886" w:rsidRDefault="003C3375" w:rsidP="00A029E1">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rsidP="00A029E1">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rsidP="00A029E1">
            <w:pPr>
              <w:pStyle w:val="V18"/>
              <w:framePr w:wrap="auto" w:vAnchor="margin" w:hAnchor="text" w:xAlign="left" w:yAlign="inline"/>
              <w:suppressOverlap w:val="0"/>
              <w:rPr>
                <w:lang w:val="en-US"/>
              </w:rPr>
            </w:pPr>
          </w:p>
        </w:tc>
      </w:tr>
    </w:tbl>
    <w:p w:rsidR="00620F6D" w:rsidRPr="00620F6D" w:rsidRDefault="00620F6D" w:rsidP="00620F6D">
      <w:pPr>
        <w:rPr>
          <w:u w:val="single"/>
          <w:lang w:val="en-US"/>
        </w:rPr>
      </w:pPr>
      <w:r w:rsidRPr="00620F6D">
        <w:rPr>
          <w:u w:val="single"/>
          <w:lang w:val="en-US"/>
        </w:rPr>
        <w:lastRenderedPageBreak/>
        <w:t>Key Financial Data: First half/second quarter 2014</w:t>
      </w:r>
    </w:p>
    <w:p w:rsidR="00620F6D" w:rsidRPr="00620F6D" w:rsidRDefault="00620F6D" w:rsidP="00620F6D">
      <w:pPr>
        <w:spacing w:line="300" w:lineRule="exact"/>
        <w:rPr>
          <w:u w:val="single"/>
          <w:lang w:val="en-US"/>
        </w:rPr>
      </w:pPr>
    </w:p>
    <w:p w:rsidR="00620F6D" w:rsidRDefault="00620F6D" w:rsidP="00620F6D">
      <w:pPr>
        <w:rPr>
          <w:b/>
          <w:sz w:val="22"/>
          <w:lang w:val="en-US"/>
        </w:rPr>
      </w:pPr>
    </w:p>
    <w:p w:rsidR="00620F6D" w:rsidRPr="00620F6D" w:rsidRDefault="00620F6D" w:rsidP="00620F6D">
      <w:pPr>
        <w:rPr>
          <w:b/>
          <w:bCs/>
          <w:sz w:val="22"/>
          <w:szCs w:val="22"/>
          <w:lang w:val="en-US"/>
        </w:rPr>
      </w:pPr>
      <w:r w:rsidRPr="00620F6D">
        <w:rPr>
          <w:b/>
          <w:sz w:val="22"/>
          <w:lang w:val="en-US"/>
        </w:rPr>
        <w:t>A solid performance in Q2 2014—</w:t>
      </w:r>
      <w:r w:rsidRPr="00620F6D">
        <w:rPr>
          <w:b/>
          <w:bCs/>
          <w:sz w:val="22"/>
          <w:szCs w:val="22"/>
          <w:lang w:val="en-US"/>
        </w:rPr>
        <w:br/>
      </w:r>
      <w:r w:rsidRPr="00620F6D">
        <w:rPr>
          <w:b/>
          <w:sz w:val="22"/>
          <w:lang w:val="en-US"/>
        </w:rPr>
        <w:t xml:space="preserve">Slight operating improvement compared with first quarter </w:t>
      </w:r>
    </w:p>
    <w:p w:rsidR="00620F6D" w:rsidRPr="00620F6D" w:rsidRDefault="00620F6D" w:rsidP="00620F6D">
      <w:pPr>
        <w:rPr>
          <w:b/>
          <w:bCs/>
          <w:sz w:val="22"/>
          <w:szCs w:val="22"/>
          <w:lang w:val="en-US"/>
        </w:rPr>
      </w:pPr>
    </w:p>
    <w:p w:rsidR="00620F6D" w:rsidRPr="00620F6D" w:rsidRDefault="00620F6D" w:rsidP="00620F6D">
      <w:pPr>
        <w:rPr>
          <w:b/>
          <w:bCs/>
          <w:sz w:val="20"/>
          <w:szCs w:val="20"/>
          <w:lang w:val="en-US"/>
        </w:rPr>
      </w:pPr>
    </w:p>
    <w:p w:rsidR="00620F6D" w:rsidRPr="001C719C" w:rsidRDefault="00620F6D" w:rsidP="00620F6D">
      <w:pPr>
        <w:rPr>
          <w:b/>
          <w:bCs/>
          <w:sz w:val="20"/>
          <w:szCs w:val="20"/>
        </w:rPr>
      </w:pPr>
      <w:r>
        <w:rPr>
          <w:b/>
          <w:sz w:val="20"/>
        </w:rPr>
        <w:t xml:space="preserve">Key </w:t>
      </w:r>
      <w:proofErr w:type="spellStart"/>
      <w:r>
        <w:rPr>
          <w:b/>
          <w:sz w:val="20"/>
        </w:rPr>
        <w:t>data</w:t>
      </w:r>
      <w:proofErr w:type="spellEnd"/>
      <w:r>
        <w:rPr>
          <w:b/>
          <w:sz w:val="20"/>
        </w:rPr>
        <w:t xml:space="preserve"> on Q2 2014:</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3 percent organic sales growth—pleasing increase in volumes accompanied by declining price pressure</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Adjusted EBITDA €473 million, down year-on-year but higher than in Q1 2014</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All segments posted slightly better results than in Q1 2014</w:t>
      </w:r>
      <w:r w:rsidRPr="00620F6D">
        <w:rPr>
          <w:rFonts w:cs="Lucida Sans Unicode"/>
          <w:b/>
          <w:bCs/>
          <w:position w:val="0"/>
          <w:sz w:val="20"/>
          <w:szCs w:val="20"/>
          <w:lang w:val="en-US"/>
        </w:rPr>
        <w:br/>
      </w:r>
    </w:p>
    <w:p w:rsidR="00620F6D" w:rsidRPr="004938BD" w:rsidRDefault="00620F6D" w:rsidP="00620F6D">
      <w:pPr>
        <w:rPr>
          <w:b/>
          <w:bCs/>
          <w:sz w:val="20"/>
          <w:szCs w:val="20"/>
        </w:rPr>
      </w:pPr>
      <w:r>
        <w:rPr>
          <w:b/>
          <w:sz w:val="20"/>
        </w:rPr>
        <w:t xml:space="preserve">Key </w:t>
      </w:r>
      <w:proofErr w:type="spellStart"/>
      <w:r>
        <w:rPr>
          <w:b/>
          <w:sz w:val="20"/>
        </w:rPr>
        <w:t>data</w:t>
      </w:r>
      <w:proofErr w:type="spellEnd"/>
      <w:r>
        <w:rPr>
          <w:b/>
          <w:sz w:val="20"/>
        </w:rPr>
        <w:t xml:space="preserve"> on H1 2014:</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Slight organic sales growth to €6.4 billion</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Adjusted EBITDA at a solid level but below the good prior-year figure</w:t>
      </w:r>
    </w:p>
    <w:p w:rsidR="00620F6D" w:rsidRPr="00A02C86"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rPr>
      </w:pPr>
      <w:proofErr w:type="spellStart"/>
      <w:r>
        <w:rPr>
          <w:b/>
          <w:position w:val="0"/>
          <w:sz w:val="20"/>
        </w:rPr>
        <w:t>Adjusted</w:t>
      </w:r>
      <w:proofErr w:type="spellEnd"/>
      <w:r>
        <w:rPr>
          <w:b/>
          <w:position w:val="0"/>
          <w:sz w:val="20"/>
        </w:rPr>
        <w:t xml:space="preserve"> EBITDA </w:t>
      </w:r>
      <w:proofErr w:type="spellStart"/>
      <w:r>
        <w:rPr>
          <w:b/>
          <w:position w:val="0"/>
          <w:sz w:val="20"/>
        </w:rPr>
        <w:t>margin</w:t>
      </w:r>
      <w:proofErr w:type="spellEnd"/>
      <w:r>
        <w:rPr>
          <w:b/>
          <w:position w:val="0"/>
          <w:sz w:val="20"/>
        </w:rPr>
        <w:t xml:space="preserve"> 14.5 </w:t>
      </w:r>
      <w:proofErr w:type="spellStart"/>
      <w:r>
        <w:rPr>
          <w:b/>
          <w:position w:val="0"/>
          <w:sz w:val="20"/>
        </w:rPr>
        <w:t>percent</w:t>
      </w:r>
      <w:proofErr w:type="spellEnd"/>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Cash flow from operating activities increased considerably to €308 million</w:t>
      </w:r>
    </w:p>
    <w:p w:rsidR="00620F6D" w:rsidRPr="00620F6D" w:rsidRDefault="0069514A"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Pr>
          <w:b/>
          <w:position w:val="0"/>
          <w:sz w:val="20"/>
          <w:lang w:val="en-US"/>
        </w:rPr>
        <w:t>Adjusted n</w:t>
      </w:r>
      <w:r w:rsidR="00620F6D" w:rsidRPr="00620F6D">
        <w:rPr>
          <w:b/>
          <w:position w:val="0"/>
          <w:sz w:val="20"/>
          <w:lang w:val="en-US"/>
        </w:rPr>
        <w:t>et income dropped 28 percent to €361 million</w:t>
      </w:r>
    </w:p>
    <w:p w:rsidR="00620F6D" w:rsidRPr="00620F6D" w:rsidRDefault="00620F6D" w:rsidP="00620F6D">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620F6D">
        <w:rPr>
          <w:b/>
          <w:position w:val="0"/>
          <w:sz w:val="20"/>
          <w:lang w:val="en-US"/>
        </w:rPr>
        <w:t xml:space="preserve">Outlook for 2014 confirmed and </w:t>
      </w:r>
      <w:r w:rsidR="00787E54">
        <w:rPr>
          <w:b/>
          <w:position w:val="0"/>
          <w:sz w:val="20"/>
          <w:lang w:val="en-US"/>
        </w:rPr>
        <w:t>specified</w:t>
      </w:r>
      <w:r w:rsidRPr="00620F6D">
        <w:rPr>
          <w:rFonts w:cs="Lucida Sans Unicode"/>
          <w:b/>
          <w:bCs/>
          <w:position w:val="0"/>
          <w:sz w:val="20"/>
          <w:szCs w:val="20"/>
          <w:lang w:val="en-US"/>
        </w:rPr>
        <w:br/>
      </w:r>
    </w:p>
    <w:p w:rsidR="00620F6D" w:rsidRPr="00620F6D" w:rsidRDefault="00620F6D" w:rsidP="00620F6D">
      <w:pPr>
        <w:spacing w:line="300" w:lineRule="exact"/>
        <w:rPr>
          <w:rFonts w:cs="Lucida Sans Unicode"/>
          <w:sz w:val="20"/>
          <w:szCs w:val="20"/>
          <w:lang w:val="en-US"/>
        </w:rPr>
      </w:pPr>
      <w:r w:rsidRPr="00620F6D">
        <w:rPr>
          <w:sz w:val="20"/>
          <w:lang w:val="en-US"/>
        </w:rPr>
        <w:t xml:space="preserve">Essen. "Strong demand for our products was registered worldwide in the second quarter of 2014 in a slightly positive economic environment. Our business developed solidly overall," said Klaus Engel, Chairman of the Executive Board of Evonik Industries AG, today, when the Group presented its key financial data for the second quarter and first half of 2014. "Overall, the clear downward price trend for some important products observed in previous quarters slowed perceptibly. The </w:t>
      </w:r>
      <w:r w:rsidR="0069514A">
        <w:rPr>
          <w:sz w:val="20"/>
          <w:lang w:val="en-US"/>
        </w:rPr>
        <w:t xml:space="preserve">earnings </w:t>
      </w:r>
      <w:r w:rsidRPr="00620F6D">
        <w:rPr>
          <w:sz w:val="20"/>
          <w:lang w:val="en-US"/>
        </w:rPr>
        <w:t>performance of all our segments improved slightly compared with the first quarter."</w:t>
      </w:r>
    </w:p>
    <w:p w:rsidR="00620F6D" w:rsidRPr="00620F6D" w:rsidRDefault="00620F6D" w:rsidP="00620F6D">
      <w:pPr>
        <w:spacing w:line="300" w:lineRule="exact"/>
        <w:rPr>
          <w:rFonts w:cs="Lucida Sans Unicode"/>
          <w:sz w:val="20"/>
          <w:szCs w:val="20"/>
          <w:lang w:val="en-US"/>
        </w:rPr>
      </w:pPr>
    </w:p>
    <w:p w:rsidR="00620F6D" w:rsidRPr="00620F6D" w:rsidRDefault="00620F6D" w:rsidP="00620F6D">
      <w:pPr>
        <w:spacing w:line="300" w:lineRule="exact"/>
        <w:rPr>
          <w:rFonts w:cs="Lucida Sans Unicode"/>
          <w:sz w:val="20"/>
          <w:szCs w:val="20"/>
          <w:lang w:val="en-US"/>
        </w:rPr>
      </w:pPr>
      <w:r w:rsidRPr="00620F6D">
        <w:rPr>
          <w:sz w:val="20"/>
          <w:lang w:val="en-US"/>
        </w:rPr>
        <w:t xml:space="preserve">Overall, the Group achieved organic sales growth in the first six months of 2014. The operating results were solid, although they were below the good prior-year level due to the erosion of selling prices for some important products. </w:t>
      </w:r>
    </w:p>
    <w:p w:rsidR="00620F6D" w:rsidRPr="00620F6D" w:rsidRDefault="00620F6D" w:rsidP="00620F6D">
      <w:pPr>
        <w:spacing w:line="300" w:lineRule="exact"/>
        <w:rPr>
          <w:rFonts w:cs="Lucida Sans Unicode"/>
          <w:sz w:val="20"/>
          <w:szCs w:val="20"/>
          <w:lang w:val="en-US"/>
        </w:rPr>
      </w:pPr>
    </w:p>
    <w:p w:rsidR="00620F6D" w:rsidRPr="00620F6D" w:rsidRDefault="00620F6D" w:rsidP="00620F6D">
      <w:pPr>
        <w:spacing w:line="300" w:lineRule="exact"/>
        <w:rPr>
          <w:rFonts w:cs="Lucida Sans Unicode"/>
          <w:sz w:val="20"/>
          <w:szCs w:val="20"/>
          <w:lang w:val="en-US"/>
        </w:rPr>
      </w:pPr>
      <w:r w:rsidRPr="00620F6D">
        <w:rPr>
          <w:sz w:val="20"/>
          <w:lang w:val="en-US"/>
        </w:rPr>
        <w:t xml:space="preserve">Evonik is confirming and </w:t>
      </w:r>
      <w:r w:rsidR="00787E54">
        <w:rPr>
          <w:sz w:val="20"/>
          <w:lang w:val="en-US"/>
        </w:rPr>
        <w:t>specifying</w:t>
      </w:r>
      <w:r w:rsidRPr="00620F6D">
        <w:rPr>
          <w:sz w:val="20"/>
          <w:lang w:val="en-US"/>
        </w:rPr>
        <w:t xml:space="preserve"> its outlook for 2014 as a whole. </w:t>
      </w:r>
    </w:p>
    <w:p w:rsidR="00620F6D" w:rsidRPr="00620F6D" w:rsidRDefault="00620F6D" w:rsidP="00620F6D">
      <w:pPr>
        <w:spacing w:line="300" w:lineRule="exact"/>
        <w:rPr>
          <w:rFonts w:cs="Lucida Sans Unicode"/>
          <w:sz w:val="20"/>
          <w:szCs w:val="20"/>
          <w:lang w:val="en-US"/>
        </w:rPr>
      </w:pPr>
    </w:p>
    <w:p w:rsidR="00620F6D" w:rsidRPr="00620F6D" w:rsidRDefault="00620F6D" w:rsidP="00CA632E">
      <w:pPr>
        <w:spacing w:line="300" w:lineRule="exact"/>
        <w:rPr>
          <w:rFonts w:cs="Lucida Sans Unicode"/>
          <w:b/>
          <w:bCs/>
          <w:position w:val="0"/>
          <w:sz w:val="20"/>
          <w:szCs w:val="20"/>
          <w:lang w:val="en-US"/>
        </w:rPr>
      </w:pPr>
    </w:p>
    <w:p w:rsidR="00CA632E" w:rsidRDefault="00CA632E">
      <w:pPr>
        <w:spacing w:line="240" w:lineRule="auto"/>
        <w:ind w:left="0" w:right="0"/>
        <w:rPr>
          <w:b/>
          <w:lang w:val="en-US"/>
        </w:rPr>
      </w:pPr>
      <w:r>
        <w:rPr>
          <w:b/>
          <w:lang w:val="en-US"/>
        </w:rPr>
        <w:br w:type="page"/>
      </w:r>
    </w:p>
    <w:p w:rsidR="00620F6D" w:rsidRPr="00620F6D" w:rsidRDefault="00620F6D" w:rsidP="00620F6D">
      <w:pPr>
        <w:spacing w:line="300" w:lineRule="exact"/>
        <w:rPr>
          <w:rFonts w:cs="Lucida Sans Unicode"/>
          <w:sz w:val="20"/>
          <w:szCs w:val="20"/>
          <w:lang w:val="en-US"/>
        </w:rPr>
      </w:pPr>
      <w:r w:rsidRPr="00620F6D">
        <w:rPr>
          <w:sz w:val="20"/>
          <w:lang w:val="en-US"/>
        </w:rPr>
        <w:lastRenderedPageBreak/>
        <w:t xml:space="preserve">The company still anticipates that </w:t>
      </w:r>
      <w:r w:rsidRPr="00620F6D">
        <w:rPr>
          <w:b/>
          <w:sz w:val="20"/>
          <w:lang w:val="en-US"/>
        </w:rPr>
        <w:t>sales</w:t>
      </w:r>
      <w:r w:rsidRPr="00620F6D">
        <w:rPr>
          <w:sz w:val="20"/>
          <w:lang w:val="en-US"/>
        </w:rPr>
        <w:t xml:space="preserve"> will rise slightly (2013: €12.7 billion) and that adjusted </w:t>
      </w:r>
      <w:r w:rsidRPr="00620F6D">
        <w:rPr>
          <w:b/>
          <w:sz w:val="20"/>
          <w:lang w:val="en-US"/>
        </w:rPr>
        <w:t>EBITDA</w:t>
      </w:r>
      <w:r w:rsidRPr="00620F6D">
        <w:rPr>
          <w:sz w:val="20"/>
          <w:lang w:val="en-US"/>
        </w:rPr>
        <w:t xml:space="preserve"> will be between €1.8 billion and €2.1 billion (2013: €2.0 billion). </w:t>
      </w:r>
    </w:p>
    <w:p w:rsidR="00620F6D" w:rsidRPr="00620F6D" w:rsidRDefault="00620F6D" w:rsidP="00620F6D">
      <w:pPr>
        <w:spacing w:line="300" w:lineRule="atLeast"/>
        <w:rPr>
          <w:rFonts w:cs="Lucida Sans Unicode"/>
          <w:sz w:val="20"/>
          <w:szCs w:val="20"/>
          <w:lang w:val="en-US"/>
        </w:rPr>
      </w:pPr>
    </w:p>
    <w:p w:rsidR="00620F6D" w:rsidRPr="00620F6D" w:rsidRDefault="00620F6D" w:rsidP="00620F6D">
      <w:pPr>
        <w:spacing w:line="300" w:lineRule="exact"/>
        <w:rPr>
          <w:rFonts w:cs="Lucida Sans Unicode"/>
          <w:sz w:val="20"/>
          <w:szCs w:val="20"/>
          <w:lang w:val="en-US"/>
        </w:rPr>
      </w:pPr>
      <w:r w:rsidRPr="00620F6D">
        <w:rPr>
          <w:sz w:val="20"/>
          <w:lang w:val="en-US"/>
        </w:rPr>
        <w:t xml:space="preserve">On the price front, Evonik expects the stabilization that has been evident so far to continue. In some businesses, a slightly positive price trend is visible. However, so far this does not apply to the Specialty Materials segment, where price trends have remained below the original expectations. If this should continue for the remainder of this year, Evonik currently assumes that adjusted </w:t>
      </w:r>
      <w:r w:rsidRPr="00620F6D">
        <w:rPr>
          <w:b/>
          <w:sz w:val="20"/>
          <w:lang w:val="en-US"/>
        </w:rPr>
        <w:t>EBITDA</w:t>
      </w:r>
      <w:r w:rsidRPr="00620F6D">
        <w:rPr>
          <w:sz w:val="20"/>
          <w:lang w:val="en-US"/>
        </w:rPr>
        <w:t xml:space="preserve"> will probably be in the lower rather than the upper part of the €1.8 billion to €2.1 billion range.</w:t>
      </w:r>
    </w:p>
    <w:p w:rsidR="00620F6D" w:rsidRPr="00620F6D" w:rsidRDefault="00620F6D" w:rsidP="00620F6D">
      <w:pPr>
        <w:spacing w:line="300" w:lineRule="exact"/>
        <w:rPr>
          <w:b/>
          <w:sz w:val="20"/>
          <w:szCs w:val="20"/>
          <w:lang w:val="en-US"/>
        </w:rPr>
      </w:pPr>
    </w:p>
    <w:p w:rsidR="00620F6D" w:rsidRPr="00620F6D" w:rsidRDefault="00620F6D" w:rsidP="00620F6D">
      <w:pPr>
        <w:spacing w:line="300" w:lineRule="exact"/>
        <w:rPr>
          <w:b/>
          <w:sz w:val="20"/>
          <w:szCs w:val="20"/>
          <w:lang w:val="en-US"/>
        </w:rPr>
      </w:pPr>
    </w:p>
    <w:p w:rsidR="00620F6D" w:rsidRPr="00620F6D" w:rsidRDefault="00620F6D" w:rsidP="00620F6D">
      <w:pPr>
        <w:spacing w:line="300" w:lineRule="exact"/>
        <w:rPr>
          <w:b/>
          <w:sz w:val="20"/>
          <w:szCs w:val="20"/>
          <w:lang w:val="en-US"/>
        </w:rPr>
      </w:pPr>
      <w:r w:rsidRPr="00620F6D">
        <w:rPr>
          <w:b/>
          <w:sz w:val="20"/>
          <w:lang w:val="en-US"/>
        </w:rPr>
        <w:t>Business performance in H1 2014</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The overall global economic development was slightly weaker than expected in the first half of 2014. Although the sustained upward trend in global growth continued, no additional momentum was generated in the second quarter.</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lang w:val="en-US"/>
        </w:rPr>
      </w:pPr>
      <w:r w:rsidRPr="00620F6D">
        <w:rPr>
          <w:sz w:val="20"/>
          <w:lang w:val="en-US"/>
        </w:rPr>
        <w:t xml:space="preserve">In the first six months of 2014, </w:t>
      </w:r>
      <w:r w:rsidRPr="00620F6D">
        <w:rPr>
          <w:b/>
          <w:sz w:val="20"/>
          <w:lang w:val="en-US"/>
        </w:rPr>
        <w:t>Group sales</w:t>
      </w:r>
      <w:r w:rsidRPr="00620F6D">
        <w:rPr>
          <w:sz w:val="20"/>
          <w:lang w:val="en-US"/>
        </w:rPr>
        <w:t xml:space="preserve"> posted organic growth of 2 percent. This was driven by higher volumes (5 percentage points), while selling prices were lower (-3 percentage points). Taking into account currency effects (-2 percentage points), sales amounted to €6,448 million, up from the prior-period figure of €6,421 million.</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Adjusted </w:t>
      </w:r>
      <w:r w:rsidRPr="00620F6D">
        <w:rPr>
          <w:b/>
          <w:sz w:val="20"/>
          <w:lang w:val="en-US"/>
        </w:rPr>
        <w:t>EBITDA</w:t>
      </w:r>
      <w:r w:rsidRPr="00620F6D">
        <w:rPr>
          <w:sz w:val="20"/>
          <w:lang w:val="en-US"/>
        </w:rPr>
        <w:t xml:space="preserve"> fell 16 percent to €936 million (H1 2013: €1,115 million), mainly due to erosion of selling prices for some important products. The adjusted </w:t>
      </w:r>
      <w:r w:rsidRPr="00620F6D">
        <w:rPr>
          <w:b/>
          <w:sz w:val="20"/>
          <w:lang w:val="en-US"/>
        </w:rPr>
        <w:t>EBITDA margin</w:t>
      </w:r>
      <w:r w:rsidRPr="00620F6D">
        <w:rPr>
          <w:sz w:val="20"/>
          <w:lang w:val="en-US"/>
        </w:rPr>
        <w:t xml:space="preserve"> therefore declined from 17.4 percent to 14.5 percent.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w:t>
      </w:r>
      <w:r w:rsidRPr="00620F6D">
        <w:rPr>
          <w:b/>
          <w:sz w:val="20"/>
          <w:lang w:val="en-US"/>
        </w:rPr>
        <w:t>adjustments</w:t>
      </w:r>
      <w:r w:rsidRPr="00620F6D">
        <w:rPr>
          <w:sz w:val="20"/>
          <w:lang w:val="en-US"/>
        </w:rPr>
        <w:t xml:space="preserve"> of minus €79 million relate, among other things, to restructuring expenses, impairment losses, mainly in connection with a project in the Specialty Materials segment that was terminated following a routine review of investment projects, and the at-equity carrying amount of STEAG. The prior-year figure of minus €93 million mainly comprised income, expenses and impairment losses in connection with the shutdown of production plants in the Resource Efficiency and Specialty Materials segments.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lastRenderedPageBreak/>
        <w:t>Income before income taxes, continuing operations</w:t>
      </w:r>
      <w:r w:rsidRPr="00620F6D">
        <w:rPr>
          <w:sz w:val="20"/>
          <w:lang w:val="en-US"/>
        </w:rPr>
        <w:t xml:space="preserve"> was 29 percent lower at €424 million (H1 2013: €601 million).</w:t>
      </w:r>
      <w:r w:rsidRPr="00620F6D">
        <w:rPr>
          <w:b/>
          <w:sz w:val="20"/>
          <w:lang w:val="en-US"/>
        </w:rPr>
        <w:t xml:space="preserve"> Income after taxes, discontinued operations</w:t>
      </w:r>
      <w:r w:rsidRPr="00620F6D">
        <w:rPr>
          <w:sz w:val="20"/>
          <w:lang w:val="en-US"/>
        </w:rPr>
        <w:t xml:space="preserve"> totaled €21 million. It mainly related to the lithium-ion business and resulted principally from revaluation in connection with the sale of the shares in Li-Tec Battery and Deutsche </w:t>
      </w:r>
      <w:proofErr w:type="spellStart"/>
      <w:r w:rsidRPr="00620F6D">
        <w:rPr>
          <w:sz w:val="20"/>
          <w:lang w:val="en-US"/>
        </w:rPr>
        <w:t>Accumotive</w:t>
      </w:r>
      <w:proofErr w:type="spellEnd"/>
      <w:r w:rsidRPr="00620F6D">
        <w:rPr>
          <w:sz w:val="20"/>
          <w:lang w:val="en-US"/>
        </w:rPr>
        <w:t xml:space="preserve"> to Daimler AG.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Overall, the Group's </w:t>
      </w:r>
      <w:r w:rsidRPr="00620F6D">
        <w:rPr>
          <w:b/>
          <w:sz w:val="20"/>
          <w:lang w:val="en-US"/>
        </w:rPr>
        <w:t>net income</w:t>
      </w:r>
      <w:r w:rsidRPr="00620F6D">
        <w:rPr>
          <w:sz w:val="20"/>
          <w:lang w:val="en-US"/>
        </w:rPr>
        <w:t xml:space="preserve"> dropped 37 percent to €305 million in the first six months of 2014 (H1 2013: €486 million).</w:t>
      </w:r>
      <w:r w:rsidRPr="00620F6D">
        <w:rPr>
          <w:sz w:val="20"/>
          <w:highlight w:val="yellow"/>
          <w:lang w:val="en-US"/>
        </w:rPr>
        <w:t xml:space="preserve">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t>Adjusted net income</w:t>
      </w:r>
      <w:r w:rsidRPr="00620F6D">
        <w:rPr>
          <w:sz w:val="20"/>
          <w:lang w:val="en-US"/>
        </w:rPr>
        <w:t xml:space="preserve">, which reflects the operating performance of the continuing operations, declined by 28 percent to €361 million (H1 2013: €499 million). </w:t>
      </w:r>
      <w:r w:rsidRPr="00620F6D">
        <w:rPr>
          <w:b/>
          <w:sz w:val="20"/>
          <w:lang w:val="en-US"/>
        </w:rPr>
        <w:t>Adjusted earnings per share</w:t>
      </w:r>
      <w:r w:rsidRPr="00620F6D">
        <w:rPr>
          <w:sz w:val="20"/>
          <w:lang w:val="en-US"/>
        </w:rPr>
        <w:t xml:space="preserve"> therefore decreased from €1.07 to €0.77.</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w:t>
      </w:r>
      <w:r w:rsidRPr="00620F6D">
        <w:rPr>
          <w:b/>
          <w:sz w:val="20"/>
          <w:lang w:val="en-US"/>
        </w:rPr>
        <w:t>cash flow from operating activities, continuing operations</w:t>
      </w:r>
      <w:r w:rsidRPr="00620F6D">
        <w:rPr>
          <w:sz w:val="20"/>
          <w:lang w:val="en-US"/>
        </w:rPr>
        <w:t xml:space="preserve"> increased by €111 million to €303 million in the first six months of 2014, mainly due to a considerably lower increase in net working capital and lower income tax payments. Including the cash flow from discontinued operations, the </w:t>
      </w:r>
      <w:r w:rsidRPr="00620F6D">
        <w:rPr>
          <w:b/>
          <w:sz w:val="20"/>
          <w:lang w:val="en-US"/>
        </w:rPr>
        <w:t>cash flow from operating activities</w:t>
      </w:r>
      <w:r w:rsidRPr="00620F6D">
        <w:rPr>
          <w:sz w:val="20"/>
          <w:lang w:val="en-US"/>
        </w:rPr>
        <w:t xml:space="preserve"> increased by €99 million to €308 million.</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t>Capital expenditures</w:t>
      </w:r>
      <w:r w:rsidRPr="00620F6D">
        <w:rPr>
          <w:sz w:val="20"/>
          <w:lang w:val="en-US"/>
        </w:rPr>
        <w:t xml:space="preserve"> increased 14 percent to €478 million (H1 2013: €419 million). 43 percent of capital expenditures were allocated to the Consumer, Health &amp; Nutrition segment, 24 percent to the Specialty Materials segment, and 21 percent to the Resource Efficiency segment.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To extend its leading market positions, Evonik started up new production capacity in Asia. More than €100 million has been invested in an integrated production complex for </w:t>
      </w:r>
      <w:proofErr w:type="spellStart"/>
      <w:r w:rsidRPr="00620F6D">
        <w:rPr>
          <w:sz w:val="20"/>
          <w:lang w:val="en-US"/>
        </w:rPr>
        <w:t>isophorone</w:t>
      </w:r>
      <w:proofErr w:type="spellEnd"/>
      <w:r w:rsidRPr="00620F6D">
        <w:rPr>
          <w:sz w:val="20"/>
          <w:lang w:val="en-US"/>
        </w:rPr>
        <w:t xml:space="preserve"> and </w:t>
      </w:r>
      <w:proofErr w:type="spellStart"/>
      <w:r w:rsidRPr="00620F6D">
        <w:rPr>
          <w:sz w:val="20"/>
          <w:lang w:val="en-US"/>
        </w:rPr>
        <w:t>isophorone</w:t>
      </w:r>
      <w:proofErr w:type="spellEnd"/>
      <w:r w:rsidRPr="00620F6D">
        <w:rPr>
          <w:sz w:val="20"/>
          <w:lang w:val="en-US"/>
        </w:rPr>
        <w:t xml:space="preserve"> </w:t>
      </w:r>
      <w:proofErr w:type="spellStart"/>
      <w:r w:rsidRPr="00620F6D">
        <w:rPr>
          <w:sz w:val="20"/>
          <w:lang w:val="en-US"/>
        </w:rPr>
        <w:t>diamine</w:t>
      </w:r>
      <w:proofErr w:type="spellEnd"/>
      <w:r w:rsidRPr="00620F6D">
        <w:rPr>
          <w:sz w:val="20"/>
          <w:lang w:val="en-US"/>
        </w:rPr>
        <w:t xml:space="preserve"> in Shanghai (China). </w:t>
      </w:r>
      <w:proofErr w:type="spellStart"/>
      <w:r w:rsidRPr="00620F6D">
        <w:rPr>
          <w:sz w:val="20"/>
          <w:lang w:val="en-US"/>
        </w:rPr>
        <w:t>Isophorone</w:t>
      </w:r>
      <w:proofErr w:type="spellEnd"/>
      <w:r w:rsidRPr="00620F6D">
        <w:rPr>
          <w:sz w:val="20"/>
          <w:lang w:val="en-US"/>
        </w:rPr>
        <w:t xml:space="preserve"> chemicals increase the </w:t>
      </w:r>
      <w:r w:rsidR="0069514A">
        <w:rPr>
          <w:sz w:val="20"/>
          <w:lang w:val="en-US"/>
        </w:rPr>
        <w:t xml:space="preserve">service </w:t>
      </w:r>
      <w:r w:rsidRPr="00620F6D">
        <w:rPr>
          <w:sz w:val="20"/>
          <w:lang w:val="en-US"/>
        </w:rPr>
        <w:t xml:space="preserve">life of, for example, heavy-duty surfaces, and also facilitate environment-friendly coating technologies. In </w:t>
      </w:r>
      <w:proofErr w:type="spellStart"/>
      <w:r w:rsidRPr="00620F6D">
        <w:rPr>
          <w:sz w:val="20"/>
          <w:lang w:val="en-US"/>
        </w:rPr>
        <w:t>Rayong</w:t>
      </w:r>
      <w:proofErr w:type="spellEnd"/>
      <w:r w:rsidRPr="00620F6D">
        <w:rPr>
          <w:sz w:val="20"/>
          <w:lang w:val="en-US"/>
        </w:rPr>
        <w:t xml:space="preserve"> (Thailand),</w:t>
      </w:r>
      <w:r w:rsidRPr="00620F6D">
        <w:rPr>
          <w:lang w:val="en-US"/>
        </w:rPr>
        <w:t xml:space="preserve"> </w:t>
      </w:r>
      <w:r w:rsidRPr="00620F6D">
        <w:rPr>
          <w:sz w:val="20"/>
          <w:lang w:val="en-US"/>
        </w:rPr>
        <w:t xml:space="preserve">an extended production plant for precipitated silica was brought into service. Growth in South-East Asia is driven principally by </w:t>
      </w:r>
      <w:r w:rsidR="0069514A">
        <w:rPr>
          <w:sz w:val="20"/>
          <w:lang w:val="en-US"/>
        </w:rPr>
        <w:t xml:space="preserve">fuel-saving </w:t>
      </w:r>
      <w:r w:rsidRPr="00620F6D">
        <w:rPr>
          <w:sz w:val="20"/>
          <w:lang w:val="en-US"/>
        </w:rPr>
        <w:t>tires and life-science applications. A new hydrogen peroxide plant with production capacity of 230,000 metric tons p.a. has been completed in Jilin (China). The product will be supplied to a neighboring Chinese partner, which will use it to produce propylene oxide at a newly erected plant based on an innovative process devel</w:t>
      </w:r>
      <w:r>
        <w:rPr>
          <w:sz w:val="20"/>
          <w:lang w:val="en-US"/>
        </w:rPr>
        <w:t xml:space="preserve">oped by Evonik and ThyssenKrupp </w:t>
      </w:r>
      <w:proofErr w:type="spellStart"/>
      <w:r w:rsidRPr="00620F6D">
        <w:rPr>
          <w:sz w:val="20"/>
          <w:lang w:val="en-US"/>
        </w:rPr>
        <w:t>Uhde</w:t>
      </w:r>
      <w:proofErr w:type="spellEnd"/>
      <w:r w:rsidRPr="00620F6D">
        <w:rPr>
          <w:sz w:val="20"/>
          <w:lang w:val="en-US"/>
        </w:rPr>
        <w:t xml:space="preserve">.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At the end of June 2014, </w:t>
      </w:r>
      <w:r w:rsidRPr="00620F6D">
        <w:rPr>
          <w:b/>
          <w:sz w:val="20"/>
          <w:lang w:val="en-US"/>
        </w:rPr>
        <w:t>net financial debt</w:t>
      </w:r>
      <w:r w:rsidRPr="00620F6D">
        <w:rPr>
          <w:sz w:val="20"/>
          <w:lang w:val="en-US"/>
        </w:rPr>
        <w:t xml:space="preserve"> was €150 million, partly due to ongoing investment spending and the dividend of €466 million for </w:t>
      </w:r>
      <w:r w:rsidR="0069514A">
        <w:rPr>
          <w:sz w:val="20"/>
          <w:lang w:val="en-US"/>
        </w:rPr>
        <w:t xml:space="preserve">fiscal </w:t>
      </w:r>
      <w:r w:rsidRPr="00620F6D">
        <w:rPr>
          <w:sz w:val="20"/>
          <w:lang w:val="en-US"/>
        </w:rPr>
        <w:t>201</w:t>
      </w:r>
      <w:r w:rsidR="0069514A">
        <w:rPr>
          <w:sz w:val="20"/>
          <w:lang w:val="en-US"/>
        </w:rPr>
        <w:t>3</w:t>
      </w:r>
      <w:r w:rsidRPr="00620F6D">
        <w:rPr>
          <w:sz w:val="20"/>
          <w:lang w:val="en-US"/>
        </w:rPr>
        <w:t xml:space="preserve">, which was paid in May. At year-end 2013 Evonik had </w:t>
      </w:r>
      <w:r w:rsidRPr="00620F6D">
        <w:rPr>
          <w:b/>
          <w:sz w:val="20"/>
          <w:lang w:val="en-US"/>
        </w:rPr>
        <w:t>net financial assets</w:t>
      </w:r>
      <w:r w:rsidRPr="00620F6D">
        <w:rPr>
          <w:sz w:val="20"/>
          <w:lang w:val="en-US"/>
        </w:rPr>
        <w:t xml:space="preserve"> of €571 million.</w:t>
      </w:r>
    </w:p>
    <w:p w:rsidR="00620F6D" w:rsidRPr="00620F6D" w:rsidRDefault="00620F6D" w:rsidP="00620F6D">
      <w:pPr>
        <w:spacing w:line="300" w:lineRule="exact"/>
        <w:rPr>
          <w:b/>
          <w:sz w:val="20"/>
          <w:szCs w:val="20"/>
          <w:lang w:val="en-US"/>
        </w:rPr>
      </w:pPr>
    </w:p>
    <w:p w:rsidR="00620F6D" w:rsidRPr="00620F6D" w:rsidRDefault="00620F6D" w:rsidP="00620F6D">
      <w:pPr>
        <w:spacing w:line="300" w:lineRule="exact"/>
        <w:rPr>
          <w:b/>
          <w:sz w:val="20"/>
          <w:szCs w:val="20"/>
          <w:lang w:val="en-US"/>
        </w:rPr>
      </w:pPr>
    </w:p>
    <w:p w:rsidR="00620F6D" w:rsidRPr="00620F6D" w:rsidRDefault="00620F6D" w:rsidP="00620F6D">
      <w:pPr>
        <w:spacing w:line="300" w:lineRule="exact"/>
        <w:rPr>
          <w:b/>
          <w:sz w:val="20"/>
          <w:szCs w:val="20"/>
          <w:lang w:val="en-US"/>
        </w:rPr>
      </w:pPr>
      <w:r w:rsidRPr="00620F6D">
        <w:rPr>
          <w:b/>
          <w:sz w:val="20"/>
          <w:lang w:val="en-US"/>
        </w:rPr>
        <w:t>Business performance in Q2 2014</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Evonik registered strong demand for its products worldwide in the second quarter of 2014. The clear downward price trend observed in previous quarters slowed perceptibly. Both sales and adjusted EBITDA improved slightly compared to the first quarter of 2014, with all segments contributing to the improvement in earnings.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t>Group sales</w:t>
      </w:r>
      <w:r w:rsidRPr="00620F6D">
        <w:rPr>
          <w:sz w:val="20"/>
          <w:lang w:val="en-US"/>
        </w:rPr>
        <w:t xml:space="preserve"> grew 1 percent to €3,247 million in the second quarter of 2014 (Q2 2013: €3,209 million). Evonik posted organic sales growth of 3 percent, driven by a considerable rise in volumes (5 percentage points), which was countered by slight erosion of selling prices </w:t>
      </w:r>
      <w:r w:rsidRPr="00620F6D">
        <w:rPr>
          <w:sz w:val="20"/>
          <w:lang w:val="en-US"/>
        </w:rPr>
        <w:br/>
        <w:t>(-2 percentage points). Currency effects clipped sales by 2 percentage points.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Adjusted </w:t>
      </w:r>
      <w:proofErr w:type="gramStart"/>
      <w:r w:rsidRPr="00620F6D">
        <w:rPr>
          <w:b/>
          <w:sz w:val="20"/>
          <w:lang w:val="en-US"/>
        </w:rPr>
        <w:t>EBITDA</w:t>
      </w:r>
      <w:r w:rsidRPr="00620F6D">
        <w:rPr>
          <w:sz w:val="20"/>
          <w:lang w:val="en-US"/>
        </w:rPr>
        <w:t xml:space="preserve">  was</w:t>
      </w:r>
      <w:proofErr w:type="gramEnd"/>
      <w:r w:rsidRPr="00620F6D">
        <w:rPr>
          <w:sz w:val="20"/>
          <w:lang w:val="en-US"/>
        </w:rPr>
        <w:t xml:space="preserve"> €473 million, 7 percent below the year-back figure of €509 million, mainly due to lower selling prices for some important products. The adjusted </w:t>
      </w:r>
      <w:r w:rsidRPr="00620F6D">
        <w:rPr>
          <w:b/>
          <w:sz w:val="20"/>
          <w:lang w:val="en-US"/>
        </w:rPr>
        <w:t>EBITDA margin</w:t>
      </w:r>
      <w:r w:rsidRPr="00620F6D">
        <w:rPr>
          <w:sz w:val="20"/>
          <w:lang w:val="en-US"/>
        </w:rPr>
        <w:t xml:space="preserve"> slipped from 15.9 percent to 14.6 percent.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b/>
          <w:sz w:val="20"/>
          <w:szCs w:val="20"/>
          <w:lang w:val="en-US"/>
        </w:rPr>
      </w:pPr>
      <w:r w:rsidRPr="00620F6D">
        <w:rPr>
          <w:b/>
          <w:sz w:val="20"/>
          <w:lang w:val="en-US"/>
        </w:rPr>
        <w:t>Performance of the segments in H1 2014</w:t>
      </w:r>
    </w:p>
    <w:p w:rsidR="00620F6D" w:rsidRPr="00620F6D" w:rsidRDefault="00620F6D" w:rsidP="00620F6D">
      <w:pPr>
        <w:spacing w:line="300" w:lineRule="exact"/>
        <w:rPr>
          <w:sz w:val="20"/>
          <w:szCs w:val="20"/>
          <w:lang w:val="en-US"/>
        </w:rPr>
      </w:pPr>
    </w:p>
    <w:p w:rsidR="00620F6D" w:rsidRDefault="00620F6D" w:rsidP="00620F6D">
      <w:pPr>
        <w:spacing w:line="300" w:lineRule="exact"/>
        <w:rPr>
          <w:b/>
          <w:sz w:val="20"/>
          <w:szCs w:val="20"/>
        </w:rPr>
      </w:pPr>
      <w:r>
        <w:rPr>
          <w:b/>
          <w:sz w:val="20"/>
        </w:rPr>
        <w:t>Consumer, Health &amp; Nutrition</w:t>
      </w:r>
    </w:p>
    <w:p w:rsidR="00620F6D" w:rsidRDefault="00620F6D" w:rsidP="00620F6D">
      <w:pPr>
        <w:spacing w:line="300" w:lineRule="exact"/>
        <w:rPr>
          <w:b/>
          <w:sz w:val="20"/>
          <w:szCs w:val="20"/>
        </w:rPr>
      </w:pPr>
    </w:p>
    <w:p w:rsidR="00620F6D" w:rsidRPr="009E699E" w:rsidRDefault="00620F6D" w:rsidP="00620F6D">
      <w:pPr>
        <w:pStyle w:val="Listenabsatz"/>
        <w:numPr>
          <w:ilvl w:val="0"/>
          <w:numId w:val="19"/>
        </w:numPr>
        <w:spacing w:line="300" w:lineRule="exact"/>
        <w:rPr>
          <w:sz w:val="20"/>
          <w:szCs w:val="20"/>
        </w:rPr>
      </w:pPr>
      <w:r>
        <w:rPr>
          <w:sz w:val="20"/>
        </w:rPr>
        <w:t>Higher volumes, lower selling prices</w:t>
      </w:r>
    </w:p>
    <w:p w:rsidR="00620F6D" w:rsidRPr="009E699E" w:rsidRDefault="00620F6D" w:rsidP="00620F6D">
      <w:pPr>
        <w:pStyle w:val="Listenabsatz"/>
        <w:numPr>
          <w:ilvl w:val="0"/>
          <w:numId w:val="19"/>
        </w:numPr>
        <w:spacing w:line="300" w:lineRule="exact"/>
        <w:rPr>
          <w:sz w:val="20"/>
          <w:szCs w:val="20"/>
        </w:rPr>
      </w:pPr>
      <w:r>
        <w:rPr>
          <w:sz w:val="20"/>
        </w:rPr>
        <w:t>Adjusted EBITDA below the high prior-period level</w:t>
      </w:r>
    </w:p>
    <w:p w:rsidR="00620F6D" w:rsidRPr="009E699E" w:rsidRDefault="00620F6D" w:rsidP="00620F6D">
      <w:pPr>
        <w:pStyle w:val="Listenabsatz"/>
        <w:numPr>
          <w:ilvl w:val="0"/>
          <w:numId w:val="19"/>
        </w:numPr>
        <w:spacing w:line="300" w:lineRule="exact"/>
        <w:rPr>
          <w:sz w:val="20"/>
          <w:szCs w:val="20"/>
        </w:rPr>
      </w:pPr>
      <w:r>
        <w:rPr>
          <w:sz w:val="20"/>
        </w:rPr>
        <w:t>Adjusted EBITDA margin</w:t>
      </w:r>
      <w:r>
        <w:rPr>
          <w:b/>
          <w:sz w:val="20"/>
        </w:rPr>
        <w:t xml:space="preserve"> </w:t>
      </w:r>
      <w:r>
        <w:rPr>
          <w:sz w:val="20"/>
        </w:rPr>
        <w:t>at a good level of 19.0 percent in H1 2014</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w:t>
      </w:r>
      <w:r w:rsidRPr="00620F6D">
        <w:rPr>
          <w:b/>
          <w:sz w:val="20"/>
          <w:lang w:val="en-US"/>
        </w:rPr>
        <w:t>Consumer, Health &amp; Nutrition</w:t>
      </w:r>
      <w:r w:rsidRPr="00620F6D">
        <w:rPr>
          <w:sz w:val="20"/>
          <w:lang w:val="en-US"/>
        </w:rPr>
        <w:t xml:space="preserve"> segment produces specialty chemicals, principally for applications in the consumer goods, animal nutrition and healthcare sectors. It comprises the Consumer Specialties and Health &amp; Nutrition Business Units.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In the first six months of 2014, this segment's </w:t>
      </w:r>
      <w:r w:rsidRPr="00620F6D">
        <w:rPr>
          <w:b/>
          <w:sz w:val="20"/>
          <w:lang w:val="en-US"/>
        </w:rPr>
        <w:t>sales</w:t>
      </w:r>
      <w:r w:rsidRPr="00620F6D">
        <w:rPr>
          <w:sz w:val="20"/>
          <w:lang w:val="en-US"/>
        </w:rPr>
        <w:t xml:space="preserve"> dropped by 5 percent to €1,981 million (H1 2013: €2,076 million). Slight volume growth was more than offset by declining selling prices and negative currency effects. Demand for amino acids for animal nutrition continued to rise but </w:t>
      </w:r>
      <w:proofErr w:type="spellStart"/>
      <w:r w:rsidRPr="00620F6D">
        <w:rPr>
          <w:sz w:val="20"/>
          <w:lang w:val="en-US"/>
        </w:rPr>
        <w:t>superabsorbents</w:t>
      </w:r>
      <w:proofErr w:type="spellEnd"/>
      <w:r w:rsidRPr="00620F6D">
        <w:rPr>
          <w:sz w:val="20"/>
          <w:lang w:val="en-US"/>
        </w:rPr>
        <w:t xml:space="preserve"> did not match the high volume sales registered in the first half of the previous year. Adjusted </w:t>
      </w:r>
      <w:r w:rsidRPr="00620F6D">
        <w:rPr>
          <w:b/>
          <w:sz w:val="20"/>
          <w:lang w:val="en-US"/>
        </w:rPr>
        <w:t>EBITDA</w:t>
      </w:r>
      <w:r w:rsidRPr="00620F6D">
        <w:rPr>
          <w:sz w:val="20"/>
          <w:lang w:val="en-US"/>
        </w:rPr>
        <w:t xml:space="preserve"> dropped 26 percent to €376 million (H1 2013: €508 million) as a result of lower selling prices, especially for amino acids for animal nutrition, and start-up expenses for new production capacity. Selling prices for the most important amino acid, </w:t>
      </w:r>
      <w:proofErr w:type="gramStart"/>
      <w:r w:rsidRPr="00620F6D">
        <w:rPr>
          <w:sz w:val="20"/>
          <w:lang w:val="en-US"/>
        </w:rPr>
        <w:t>methionine,</w:t>
      </w:r>
      <w:proofErr w:type="gramEnd"/>
      <w:r w:rsidRPr="00620F6D">
        <w:rPr>
          <w:sz w:val="20"/>
          <w:lang w:val="en-US"/>
        </w:rPr>
        <w:t xml:space="preserve"> have stabilized since the start of the year. The adjusted </w:t>
      </w:r>
      <w:r w:rsidRPr="00620F6D">
        <w:rPr>
          <w:b/>
          <w:sz w:val="20"/>
          <w:lang w:val="en-US"/>
        </w:rPr>
        <w:t>EBITDA margin</w:t>
      </w:r>
      <w:r w:rsidRPr="00620F6D">
        <w:rPr>
          <w:sz w:val="20"/>
          <w:lang w:val="en-US"/>
        </w:rPr>
        <w:t xml:space="preserve"> was good at 19.0 percent (H1 2013: 24.5 percent).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p>
    <w:p w:rsidR="00620F6D" w:rsidRPr="009B6B5E" w:rsidRDefault="00620F6D" w:rsidP="00620F6D">
      <w:pPr>
        <w:spacing w:line="300" w:lineRule="exact"/>
        <w:rPr>
          <w:b/>
          <w:sz w:val="20"/>
          <w:szCs w:val="20"/>
        </w:rPr>
      </w:pPr>
      <w:r>
        <w:rPr>
          <w:b/>
          <w:sz w:val="20"/>
        </w:rPr>
        <w:t>Resource Efficiency</w:t>
      </w:r>
    </w:p>
    <w:p w:rsidR="00620F6D" w:rsidRDefault="00620F6D" w:rsidP="00620F6D">
      <w:pPr>
        <w:spacing w:line="300" w:lineRule="exact"/>
        <w:rPr>
          <w:sz w:val="20"/>
          <w:szCs w:val="20"/>
        </w:rPr>
      </w:pPr>
    </w:p>
    <w:p w:rsidR="00620F6D" w:rsidRPr="009E699E" w:rsidRDefault="00620F6D" w:rsidP="00620F6D">
      <w:pPr>
        <w:pStyle w:val="Listenabsatz"/>
        <w:numPr>
          <w:ilvl w:val="0"/>
          <w:numId w:val="19"/>
        </w:numPr>
        <w:spacing w:line="300" w:lineRule="exact"/>
        <w:rPr>
          <w:sz w:val="20"/>
          <w:szCs w:val="20"/>
        </w:rPr>
      </w:pPr>
      <w:r>
        <w:rPr>
          <w:sz w:val="20"/>
        </w:rPr>
        <w:t>Far higher demand and stable selling prices</w:t>
      </w:r>
    </w:p>
    <w:p w:rsidR="00620F6D" w:rsidRDefault="00620F6D" w:rsidP="00620F6D">
      <w:pPr>
        <w:pStyle w:val="Listenabsatz"/>
        <w:numPr>
          <w:ilvl w:val="0"/>
          <w:numId w:val="19"/>
        </w:numPr>
        <w:spacing w:line="300" w:lineRule="exact"/>
        <w:rPr>
          <w:sz w:val="20"/>
          <w:szCs w:val="20"/>
        </w:rPr>
      </w:pPr>
      <w:r>
        <w:rPr>
          <w:sz w:val="20"/>
        </w:rPr>
        <w:t>Further improvement in adjusted EBITDA</w:t>
      </w:r>
    </w:p>
    <w:p w:rsidR="00620F6D" w:rsidRPr="009B6B5E" w:rsidRDefault="00620F6D" w:rsidP="00620F6D">
      <w:pPr>
        <w:pStyle w:val="Listenabsatz"/>
        <w:numPr>
          <w:ilvl w:val="0"/>
          <w:numId w:val="19"/>
        </w:numPr>
        <w:spacing w:line="300" w:lineRule="exact"/>
        <w:rPr>
          <w:sz w:val="20"/>
          <w:szCs w:val="20"/>
        </w:rPr>
      </w:pPr>
      <w:r>
        <w:rPr>
          <w:sz w:val="20"/>
        </w:rPr>
        <w:t>Adjusted EBITDA margin rose to an excellent 23.2 percent in the first six months</w:t>
      </w:r>
    </w:p>
    <w:p w:rsidR="00620F6D" w:rsidRPr="00620F6D" w:rsidRDefault="00620F6D" w:rsidP="00620F6D">
      <w:pPr>
        <w:spacing w:line="300" w:lineRule="exact"/>
        <w:rPr>
          <w:sz w:val="20"/>
          <w:szCs w:val="20"/>
          <w:lang w:val="en-US"/>
        </w:rPr>
      </w:pPr>
      <w:r w:rsidRPr="00620F6D">
        <w:rPr>
          <w:sz w:val="20"/>
          <w:szCs w:val="20"/>
          <w:lang w:val="en-US"/>
        </w:rPr>
        <w:br/>
      </w:r>
      <w:r w:rsidRPr="00620F6D">
        <w:rPr>
          <w:sz w:val="20"/>
          <w:lang w:val="en-US"/>
        </w:rPr>
        <w:t xml:space="preserve">The </w:t>
      </w:r>
      <w:r w:rsidRPr="005A0594">
        <w:rPr>
          <w:b/>
          <w:sz w:val="20"/>
          <w:lang w:val="en-US"/>
        </w:rPr>
        <w:t>Resource Efficiency</w:t>
      </w:r>
      <w:r w:rsidRPr="00620F6D">
        <w:rPr>
          <w:sz w:val="20"/>
          <w:lang w:val="en-US"/>
        </w:rPr>
        <w:t xml:space="preserve"> segment provides environment-friendly and energy-efficient system solutions. It comprises the Inorganic Materials and Coatings &amp; Additives Business Units.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t>Sales</w:t>
      </w:r>
      <w:r w:rsidRPr="00620F6D">
        <w:rPr>
          <w:sz w:val="20"/>
          <w:lang w:val="en-US"/>
        </w:rPr>
        <w:t xml:space="preserve"> grew 4 percent to €1,635 million in the first half of 2014 (H1 2013: €1,572 million). The strong volume growth was offset by a slight decline in selling prices and negative currency effects. In particular, business with silicas and </w:t>
      </w:r>
      <w:proofErr w:type="spellStart"/>
      <w:r w:rsidRPr="00620F6D">
        <w:rPr>
          <w:sz w:val="20"/>
          <w:lang w:val="en-US"/>
        </w:rPr>
        <w:t>silanes</w:t>
      </w:r>
      <w:proofErr w:type="spellEnd"/>
      <w:r w:rsidRPr="00620F6D">
        <w:rPr>
          <w:sz w:val="20"/>
          <w:lang w:val="en-US"/>
        </w:rPr>
        <w:t xml:space="preserve"> remained very pleasing thanks to high demand from the tire industry. The Coatings &amp; Additives Business Unit was able to lift volumes considerably and benefited from high demand from the automotive and construction industries. Adjusted </w:t>
      </w:r>
      <w:r w:rsidRPr="00620F6D">
        <w:rPr>
          <w:b/>
          <w:sz w:val="20"/>
          <w:lang w:val="en-US"/>
        </w:rPr>
        <w:t>EBITDA</w:t>
      </w:r>
      <w:r w:rsidRPr="00620F6D">
        <w:rPr>
          <w:sz w:val="20"/>
          <w:lang w:val="en-US"/>
        </w:rPr>
        <w:t xml:space="preserve"> increased 10 percent to €380 million (H1 2013: €346 million), mainly because of the rise in volumes. The adjusted </w:t>
      </w:r>
      <w:r w:rsidRPr="00620F6D">
        <w:rPr>
          <w:b/>
          <w:sz w:val="20"/>
          <w:lang w:val="en-US"/>
        </w:rPr>
        <w:t>EBITDA margin</w:t>
      </w:r>
      <w:r w:rsidRPr="00620F6D">
        <w:rPr>
          <w:sz w:val="20"/>
          <w:lang w:val="en-US"/>
        </w:rPr>
        <w:t xml:space="preserve"> rose from 22.0 percent to 23.2 percent.</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b/>
          <w:sz w:val="20"/>
          <w:szCs w:val="20"/>
          <w:lang w:val="en-US"/>
        </w:rPr>
      </w:pPr>
      <w:r w:rsidRPr="00620F6D">
        <w:rPr>
          <w:b/>
          <w:sz w:val="20"/>
          <w:lang w:val="en-US"/>
        </w:rPr>
        <w:br w:type="page"/>
      </w:r>
      <w:r w:rsidRPr="00620F6D">
        <w:rPr>
          <w:b/>
          <w:sz w:val="20"/>
          <w:lang w:val="en-US"/>
        </w:rPr>
        <w:lastRenderedPageBreak/>
        <w:t>Specialty Materials</w:t>
      </w:r>
    </w:p>
    <w:p w:rsidR="00620F6D" w:rsidRPr="00620F6D" w:rsidRDefault="00620F6D" w:rsidP="00620F6D">
      <w:pPr>
        <w:spacing w:line="300" w:lineRule="exact"/>
        <w:rPr>
          <w:sz w:val="20"/>
          <w:szCs w:val="20"/>
          <w:lang w:val="en-US"/>
        </w:rPr>
      </w:pPr>
    </w:p>
    <w:p w:rsidR="00620F6D" w:rsidRPr="009B6B5E" w:rsidRDefault="00620F6D" w:rsidP="00620F6D">
      <w:pPr>
        <w:pStyle w:val="Listenabsatz"/>
        <w:numPr>
          <w:ilvl w:val="0"/>
          <w:numId w:val="19"/>
        </w:numPr>
        <w:spacing w:line="300" w:lineRule="exact"/>
        <w:rPr>
          <w:sz w:val="20"/>
          <w:szCs w:val="20"/>
        </w:rPr>
      </w:pPr>
      <w:r>
        <w:rPr>
          <w:sz w:val="20"/>
        </w:rPr>
        <w:t>Far higher volumes, lower selling prices</w:t>
      </w:r>
    </w:p>
    <w:p w:rsidR="00620F6D" w:rsidRPr="009B6B5E" w:rsidRDefault="00620F6D" w:rsidP="00620F6D">
      <w:pPr>
        <w:pStyle w:val="Listenabsatz"/>
        <w:numPr>
          <w:ilvl w:val="0"/>
          <w:numId w:val="19"/>
        </w:numPr>
        <w:spacing w:line="300" w:lineRule="exact"/>
        <w:rPr>
          <w:sz w:val="20"/>
          <w:szCs w:val="20"/>
        </w:rPr>
      </w:pPr>
      <w:r>
        <w:rPr>
          <w:sz w:val="20"/>
        </w:rPr>
        <w:t>Adjusted EBITDA down year-on-year</w:t>
      </w:r>
    </w:p>
    <w:p w:rsidR="00620F6D" w:rsidRPr="009B6B5E" w:rsidRDefault="00620F6D" w:rsidP="00620F6D">
      <w:pPr>
        <w:pStyle w:val="Listenabsatz"/>
        <w:numPr>
          <w:ilvl w:val="0"/>
          <w:numId w:val="19"/>
        </w:numPr>
        <w:spacing w:line="300" w:lineRule="exact"/>
        <w:rPr>
          <w:sz w:val="20"/>
          <w:szCs w:val="20"/>
        </w:rPr>
      </w:pPr>
      <w:r>
        <w:rPr>
          <w:sz w:val="20"/>
        </w:rPr>
        <w:t>Adjusted EBITDA margin slipped to a weak 9.5 percent in the first six months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heart of the </w:t>
      </w:r>
      <w:r w:rsidRPr="00620F6D">
        <w:rPr>
          <w:b/>
          <w:sz w:val="20"/>
          <w:lang w:val="en-US"/>
        </w:rPr>
        <w:t>Specialty Materials</w:t>
      </w:r>
      <w:r w:rsidRPr="00620F6D">
        <w:rPr>
          <w:sz w:val="20"/>
          <w:lang w:val="en-US"/>
        </w:rPr>
        <w:t xml:space="preserve"> segment is the production of polymer materials and intermediates, mainly for the rubber and plastics industries. It comprises the Performance Polymers and Advanced Intermediates Business Units.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This segment's </w:t>
      </w:r>
      <w:r w:rsidRPr="00620F6D">
        <w:rPr>
          <w:b/>
          <w:sz w:val="20"/>
          <w:lang w:val="en-US"/>
        </w:rPr>
        <w:t>sales</w:t>
      </w:r>
      <w:r w:rsidRPr="00620F6D">
        <w:rPr>
          <w:sz w:val="20"/>
          <w:lang w:val="en-US"/>
        </w:rPr>
        <w:t xml:space="preserve"> rose 2 percent to €2,350 million in the first six months of 2014 (H1 2013: €2,299 million), driven by far higher volume</w:t>
      </w:r>
      <w:r w:rsidR="0069514A">
        <w:rPr>
          <w:sz w:val="20"/>
          <w:lang w:val="en-US"/>
        </w:rPr>
        <w:t>s</w:t>
      </w:r>
      <w:r w:rsidRPr="00620F6D">
        <w:rPr>
          <w:sz w:val="20"/>
          <w:lang w:val="en-US"/>
        </w:rPr>
        <w:t xml:space="preserve">, while sales growth was held back by lower selling prices, especially for butadiene. A further increase in demand was registered for almost all </w:t>
      </w:r>
      <w:r w:rsidR="00C96A06">
        <w:rPr>
          <w:sz w:val="20"/>
          <w:lang w:val="en-US"/>
        </w:rPr>
        <w:br/>
      </w:r>
      <w:r w:rsidRPr="00620F6D">
        <w:rPr>
          <w:sz w:val="20"/>
          <w:lang w:val="en-US"/>
        </w:rPr>
        <w:t>C</w:t>
      </w:r>
      <w:r w:rsidRPr="00DB5B19">
        <w:rPr>
          <w:sz w:val="20"/>
          <w:vertAlign w:val="subscript"/>
          <w:lang w:val="en-US"/>
        </w:rPr>
        <w:t>4</w:t>
      </w:r>
      <w:r w:rsidRPr="00620F6D">
        <w:rPr>
          <w:sz w:val="20"/>
          <w:lang w:val="en-US"/>
        </w:rPr>
        <w:t xml:space="preserve"> </w:t>
      </w:r>
      <w:r w:rsidR="0069514A">
        <w:rPr>
          <w:sz w:val="20"/>
          <w:lang w:val="en-US"/>
        </w:rPr>
        <w:t>c</w:t>
      </w:r>
      <w:r w:rsidRPr="00620F6D">
        <w:rPr>
          <w:sz w:val="20"/>
          <w:lang w:val="en-US"/>
        </w:rPr>
        <w:t xml:space="preserve">hemistry products, and for polyamide 12 products and </w:t>
      </w:r>
      <w:proofErr w:type="spellStart"/>
      <w:r w:rsidRPr="00620F6D">
        <w:rPr>
          <w:sz w:val="20"/>
          <w:lang w:val="en-US"/>
        </w:rPr>
        <w:t>methacrylates</w:t>
      </w:r>
      <w:proofErr w:type="spellEnd"/>
      <w:r w:rsidRPr="00620F6D">
        <w:rPr>
          <w:sz w:val="20"/>
          <w:lang w:val="en-US"/>
        </w:rPr>
        <w:t xml:space="preserve">. Adjusted </w:t>
      </w:r>
      <w:r w:rsidRPr="00620F6D">
        <w:rPr>
          <w:b/>
          <w:sz w:val="20"/>
          <w:lang w:val="en-US"/>
        </w:rPr>
        <w:t>EBITDA</w:t>
      </w:r>
      <w:r w:rsidRPr="00620F6D">
        <w:rPr>
          <w:sz w:val="20"/>
          <w:lang w:val="en-US"/>
        </w:rPr>
        <w:t xml:space="preserve"> dropped 28 percent to €224 million (H1 2013: €310 million), mainly because of the reduction in selling prices.  The adjusted </w:t>
      </w:r>
      <w:r w:rsidRPr="00620F6D">
        <w:rPr>
          <w:b/>
          <w:sz w:val="20"/>
          <w:lang w:val="en-US"/>
        </w:rPr>
        <w:t xml:space="preserve">EBITDA margin </w:t>
      </w:r>
      <w:r w:rsidRPr="00620F6D">
        <w:rPr>
          <w:sz w:val="20"/>
          <w:lang w:val="en-US"/>
        </w:rPr>
        <w:t>dropped from 13.5 percent to 9.5 percent.</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b/>
          <w:sz w:val="20"/>
          <w:szCs w:val="20"/>
          <w:lang w:val="en-US"/>
        </w:rPr>
      </w:pPr>
      <w:r w:rsidRPr="00620F6D">
        <w:rPr>
          <w:b/>
          <w:sz w:val="20"/>
          <w:lang w:val="en-US"/>
        </w:rPr>
        <w:t>Services</w:t>
      </w:r>
      <w:bookmarkStart w:id="0" w:name="_GoBack"/>
      <w:bookmarkEnd w:id="0"/>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w:t>
      </w:r>
      <w:r w:rsidRPr="005A0594">
        <w:rPr>
          <w:b/>
          <w:sz w:val="20"/>
          <w:lang w:val="en-US"/>
        </w:rPr>
        <w:t>Services</w:t>
      </w:r>
      <w:r w:rsidRPr="00620F6D">
        <w:rPr>
          <w:sz w:val="20"/>
          <w:lang w:val="en-US"/>
        </w:rPr>
        <w:t xml:space="preserve"> segment mainly provides services for the specialty chemicals segments and the Corporate Center, but also serves third parties.</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b/>
          <w:sz w:val="20"/>
          <w:lang w:val="en-US"/>
        </w:rPr>
        <w:t>Sales</w:t>
      </w:r>
      <w:r w:rsidRPr="00620F6D">
        <w:rPr>
          <w:sz w:val="20"/>
          <w:lang w:val="en-US"/>
        </w:rPr>
        <w:t xml:space="preserve"> grew 3 percent to €449 million in the first half of 2014 (H1 2013: €437 million). Adjusted </w:t>
      </w:r>
      <w:r w:rsidRPr="00620F6D">
        <w:rPr>
          <w:b/>
          <w:sz w:val="20"/>
          <w:lang w:val="en-US"/>
        </w:rPr>
        <w:t>EBITDA</w:t>
      </w:r>
      <w:r w:rsidRPr="00620F6D">
        <w:rPr>
          <w:sz w:val="20"/>
          <w:lang w:val="en-US"/>
        </w:rPr>
        <w:t xml:space="preserve"> dropped 2 percent, from €107 million in the first half of 2013 to €105 million in the first half of 2014.</w:t>
      </w:r>
    </w:p>
    <w:p w:rsidR="00620F6D" w:rsidRPr="00620F6D" w:rsidRDefault="00620F6D" w:rsidP="00620F6D">
      <w:pPr>
        <w:spacing w:line="240" w:lineRule="auto"/>
        <w:ind w:left="0" w:right="0"/>
        <w:rPr>
          <w:sz w:val="20"/>
          <w:szCs w:val="20"/>
          <w:lang w:val="en-US"/>
        </w:rPr>
      </w:pPr>
      <w:r w:rsidRPr="00620F6D">
        <w:rPr>
          <w:lang w:val="en-US"/>
        </w:rPr>
        <w:br w:type="page"/>
      </w:r>
    </w:p>
    <w:p w:rsidR="00620F6D" w:rsidRPr="00620F6D" w:rsidRDefault="00620F6D" w:rsidP="00620F6D">
      <w:pPr>
        <w:spacing w:line="300" w:lineRule="exact"/>
        <w:rPr>
          <w:sz w:val="20"/>
          <w:szCs w:val="20"/>
          <w:lang w:val="en-US"/>
        </w:rPr>
      </w:pPr>
    </w:p>
    <w:p w:rsidR="00620F6D" w:rsidRPr="002B77FA" w:rsidRDefault="00620F6D" w:rsidP="00620F6D">
      <w:pPr>
        <w:spacing w:line="300" w:lineRule="exact"/>
        <w:rPr>
          <w:b/>
          <w:sz w:val="20"/>
          <w:szCs w:val="20"/>
          <w:lang w:val="en-US"/>
        </w:rPr>
      </w:pPr>
      <w:r w:rsidRPr="002B77FA">
        <w:rPr>
          <w:b/>
          <w:sz w:val="20"/>
          <w:lang w:val="en-US"/>
        </w:rPr>
        <w:t>Outlook for 2014</w:t>
      </w:r>
    </w:p>
    <w:p w:rsidR="00620F6D" w:rsidRPr="002B77FA"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Looking at the global economic background, even though the development in the first six months was somewhat weaker than had been anticipated, Evonik still expects to see a slight upturn in global growth in 2014 as a whole. That said</w:t>
      </w:r>
      <w:proofErr w:type="gramStart"/>
      <w:r w:rsidRPr="00620F6D">
        <w:rPr>
          <w:sz w:val="20"/>
          <w:lang w:val="en-US"/>
        </w:rPr>
        <w:t>,</w:t>
      </w:r>
      <w:proofErr w:type="gramEnd"/>
      <w:r w:rsidRPr="00620F6D">
        <w:rPr>
          <w:sz w:val="20"/>
          <w:lang w:val="en-US"/>
        </w:rPr>
        <w:t xml:space="preserve"> the stepwise recovery in the global economy is affected by increasing structural challenges in the emerging markets and the uncertainty arising from ongoing political disputes and military conflicts. Despite the expected upturn in demand, the decline in producer prices observed in 2013 will not be reversed in all end-customer industries in 2014.</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Overall, Evonik </w:t>
      </w:r>
      <w:r>
        <w:rPr>
          <w:sz w:val="20"/>
          <w:lang w:val="en-US"/>
        </w:rPr>
        <w:t>i</w:t>
      </w:r>
      <w:r w:rsidRPr="00620F6D">
        <w:rPr>
          <w:sz w:val="20"/>
          <w:lang w:val="en-US"/>
        </w:rPr>
        <w:t xml:space="preserve">s confirming and </w:t>
      </w:r>
      <w:r w:rsidR="00787E54">
        <w:rPr>
          <w:sz w:val="20"/>
          <w:lang w:val="en-US"/>
        </w:rPr>
        <w:t>specifying</w:t>
      </w:r>
      <w:r w:rsidRPr="00620F6D">
        <w:rPr>
          <w:sz w:val="20"/>
          <w:lang w:val="en-US"/>
        </w:rPr>
        <w:t xml:space="preserve"> its outlook for 2014.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company still anticipates that </w:t>
      </w:r>
      <w:r w:rsidRPr="00620F6D">
        <w:rPr>
          <w:b/>
          <w:sz w:val="20"/>
          <w:lang w:val="en-US"/>
        </w:rPr>
        <w:t>sales</w:t>
      </w:r>
      <w:r w:rsidRPr="00620F6D">
        <w:rPr>
          <w:sz w:val="20"/>
          <w:lang w:val="en-US"/>
        </w:rPr>
        <w:t xml:space="preserve"> will rise slightly (2013: €12.7 billion) and that adjusted </w:t>
      </w:r>
      <w:r w:rsidRPr="00620F6D">
        <w:rPr>
          <w:b/>
          <w:sz w:val="20"/>
          <w:lang w:val="en-US"/>
        </w:rPr>
        <w:t>EBITDA</w:t>
      </w:r>
      <w:r w:rsidRPr="00620F6D">
        <w:rPr>
          <w:sz w:val="20"/>
          <w:lang w:val="en-US"/>
        </w:rPr>
        <w:t xml:space="preserve"> will be between €1.8 billion and €2.1 billion (2013: €2.0 billion). </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sz w:val="20"/>
          <w:szCs w:val="20"/>
          <w:lang w:val="en-US"/>
        </w:rPr>
      </w:pPr>
      <w:r w:rsidRPr="00620F6D">
        <w:rPr>
          <w:sz w:val="20"/>
          <w:lang w:val="en-US"/>
        </w:rPr>
        <w:t xml:space="preserve">The positive volume trend should continue, driven by the completion of the first growth investments. On the price front, </w:t>
      </w:r>
      <w:r w:rsidR="0069514A">
        <w:rPr>
          <w:sz w:val="20"/>
          <w:lang w:val="en-US"/>
        </w:rPr>
        <w:t>the company</w:t>
      </w:r>
      <w:r w:rsidRPr="00620F6D">
        <w:rPr>
          <w:sz w:val="20"/>
          <w:lang w:val="en-US"/>
        </w:rPr>
        <w:t xml:space="preserve"> expect</w:t>
      </w:r>
      <w:r w:rsidR="0069514A">
        <w:rPr>
          <w:sz w:val="20"/>
          <w:lang w:val="en-US"/>
        </w:rPr>
        <w:t>s</w:t>
      </w:r>
      <w:r w:rsidRPr="00620F6D">
        <w:rPr>
          <w:sz w:val="20"/>
          <w:lang w:val="en-US"/>
        </w:rPr>
        <w:t xml:space="preserve"> the stabilization that has been evident so far to continue. In some businesses, a slightly positive price trend is visible. However, so far this does not apply to the Specialty Materials segment, where price trends have remained below the original expectations. If this should continue for the remainder of this year, Evonik currently assumes that adjusted EBITDA will probably be in the lower rather than the upper part of the €1.8 billion to €2.1 billion range.</w:t>
      </w:r>
    </w:p>
    <w:p w:rsidR="00620F6D" w:rsidRPr="00620F6D" w:rsidRDefault="00620F6D" w:rsidP="00620F6D">
      <w:pPr>
        <w:spacing w:line="300" w:lineRule="exact"/>
        <w:rPr>
          <w:sz w:val="20"/>
          <w:szCs w:val="20"/>
          <w:lang w:val="en-US"/>
        </w:rPr>
      </w:pPr>
    </w:p>
    <w:p w:rsidR="00620F6D" w:rsidRPr="00620F6D" w:rsidRDefault="00620F6D" w:rsidP="00620F6D">
      <w:pPr>
        <w:spacing w:line="300" w:lineRule="exact"/>
        <w:rPr>
          <w:rFonts w:cs="Lucida Sans Unicode"/>
          <w:bCs/>
          <w:sz w:val="20"/>
          <w:szCs w:val="20"/>
          <w:lang w:val="en-US"/>
        </w:rPr>
      </w:pPr>
      <w:r w:rsidRPr="00620F6D">
        <w:rPr>
          <w:sz w:val="20"/>
          <w:lang w:val="en-US"/>
        </w:rPr>
        <w:t xml:space="preserve">Further relief on the cost front should come from the On Track 2.0 efficiency enhancement program. In addition, the company expects to see the first positive effects of the Administration Excellence program, which was launched in fall 2013 to optimize administrative structures. Downside factors could result from ramp-up expenses for growth investments, negative currency effects, and the rising price of crude oil. </w:t>
      </w:r>
    </w:p>
    <w:p w:rsidR="00620F6D" w:rsidRDefault="00620F6D">
      <w:pPr>
        <w:spacing w:line="240" w:lineRule="auto"/>
        <w:ind w:left="0" w:right="0"/>
        <w:rPr>
          <w:b/>
          <w:sz w:val="20"/>
          <w:lang w:val="en-US"/>
        </w:rPr>
      </w:pPr>
    </w:p>
    <w:p w:rsidR="00620F6D" w:rsidRDefault="00620F6D">
      <w:pPr>
        <w:spacing w:line="240" w:lineRule="auto"/>
        <w:ind w:left="0" w:right="0"/>
        <w:rPr>
          <w:b/>
          <w:sz w:val="20"/>
          <w:lang w:val="en-US"/>
        </w:rPr>
      </w:pPr>
    </w:p>
    <w:p w:rsidR="00620F6D" w:rsidRDefault="00620F6D">
      <w:pPr>
        <w:spacing w:line="240" w:lineRule="auto"/>
        <w:ind w:left="0" w:right="0"/>
        <w:rPr>
          <w:b/>
          <w:sz w:val="20"/>
          <w:lang w:val="en-US"/>
        </w:rPr>
      </w:pPr>
      <w:r>
        <w:rPr>
          <w:b/>
          <w:sz w:val="20"/>
          <w:lang w:val="en-US"/>
        </w:rPr>
        <w:br w:type="page"/>
      </w:r>
    </w:p>
    <w:p w:rsidR="00C271A9" w:rsidRPr="00C271A9" w:rsidRDefault="00C271A9" w:rsidP="00C271A9">
      <w:pPr>
        <w:spacing w:after="120" w:line="300" w:lineRule="atLeast"/>
        <w:ind w:left="0"/>
        <w:rPr>
          <w:rFonts w:cs="Lucida Sans Unicode"/>
          <w:b/>
          <w:bCs/>
          <w:sz w:val="20"/>
          <w:szCs w:val="20"/>
          <w:lang w:val="en-US"/>
        </w:rPr>
      </w:pPr>
      <w:r w:rsidRPr="00C271A9">
        <w:rPr>
          <w:b/>
          <w:sz w:val="20"/>
          <w:lang w:val="en-US"/>
        </w:rPr>
        <w:lastRenderedPageBreak/>
        <w:t>Evonik Group: Excerpt from the income statement</w:t>
      </w:r>
    </w:p>
    <w:tbl>
      <w:tblPr>
        <w:tblW w:w="103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5"/>
        <w:gridCol w:w="864"/>
        <w:gridCol w:w="863"/>
        <w:gridCol w:w="892"/>
        <w:gridCol w:w="864"/>
        <w:gridCol w:w="863"/>
        <w:gridCol w:w="892"/>
      </w:tblGrid>
      <w:tr w:rsidR="00C271A9" w:rsidTr="00333ED5">
        <w:trPr>
          <w:trHeight w:val="510"/>
        </w:trPr>
        <w:tc>
          <w:tcPr>
            <w:tcW w:w="4835" w:type="dxa"/>
            <w:noWrap/>
            <w:vAlign w:val="center"/>
          </w:tcPr>
          <w:p w:rsidR="00C271A9" w:rsidRDefault="00C271A9" w:rsidP="00333ED5">
            <w:pPr>
              <w:ind w:left="0"/>
              <w:rPr>
                <w:rFonts w:cs="Lucida Sans Unicode"/>
                <w:b/>
                <w:bCs/>
                <w:szCs w:val="20"/>
              </w:rPr>
            </w:pPr>
            <w:r>
              <w:rPr>
                <w:b/>
              </w:rPr>
              <w:t xml:space="preserve">(in € </w:t>
            </w:r>
            <w:proofErr w:type="spellStart"/>
            <w:r>
              <w:rPr>
                <w:b/>
              </w:rPr>
              <w:t>million</w:t>
            </w:r>
            <w:proofErr w:type="spellEnd"/>
            <w:r>
              <w:rPr>
                <w:b/>
              </w:rPr>
              <w:t>)</w:t>
            </w:r>
          </w:p>
        </w:tc>
        <w:tc>
          <w:tcPr>
            <w:tcW w:w="823" w:type="dxa"/>
            <w:shd w:val="clear" w:color="auto" w:fill="CCCCCC"/>
            <w:vAlign w:val="center"/>
          </w:tcPr>
          <w:p w:rsidR="00C271A9" w:rsidRDefault="00C271A9" w:rsidP="00333ED5">
            <w:pPr>
              <w:ind w:left="0"/>
              <w:jc w:val="center"/>
              <w:rPr>
                <w:rFonts w:cs="Lucida Sans Unicode"/>
                <w:b/>
                <w:bCs/>
                <w:szCs w:val="20"/>
              </w:rPr>
            </w:pPr>
            <w:r>
              <w:rPr>
                <w:b/>
              </w:rPr>
              <w:t>Q2 2014</w:t>
            </w:r>
          </w:p>
        </w:tc>
        <w:tc>
          <w:tcPr>
            <w:tcW w:w="822" w:type="dxa"/>
            <w:vAlign w:val="center"/>
          </w:tcPr>
          <w:p w:rsidR="00C271A9" w:rsidRDefault="00C271A9" w:rsidP="00333ED5">
            <w:pPr>
              <w:ind w:left="0"/>
              <w:jc w:val="center"/>
              <w:rPr>
                <w:rFonts w:cs="Lucida Sans Unicode"/>
                <w:b/>
                <w:bCs/>
                <w:szCs w:val="20"/>
              </w:rPr>
            </w:pPr>
            <w:r>
              <w:rPr>
                <w:b/>
              </w:rPr>
              <w:t xml:space="preserve">Q2  </w:t>
            </w:r>
            <w:r>
              <w:rPr>
                <w:rFonts w:cs="Lucida Sans Unicode"/>
                <w:b/>
                <w:bCs/>
                <w:szCs w:val="20"/>
              </w:rPr>
              <w:br/>
            </w:r>
            <w:r>
              <w:rPr>
                <w:b/>
              </w:rPr>
              <w:t xml:space="preserve"> 2013</w:t>
            </w:r>
          </w:p>
        </w:tc>
        <w:tc>
          <w:tcPr>
            <w:tcW w:w="822" w:type="dxa"/>
            <w:vAlign w:val="center"/>
          </w:tcPr>
          <w:p w:rsidR="00C271A9" w:rsidRDefault="00C271A9" w:rsidP="00333ED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23" w:type="dxa"/>
            <w:shd w:val="clear" w:color="auto" w:fill="CCCCCC"/>
            <w:vAlign w:val="center"/>
          </w:tcPr>
          <w:p w:rsidR="00C271A9" w:rsidRDefault="00C271A9" w:rsidP="00333ED5">
            <w:pPr>
              <w:ind w:left="0"/>
              <w:jc w:val="center"/>
              <w:rPr>
                <w:rFonts w:cs="Lucida Sans Unicode"/>
                <w:b/>
                <w:bCs/>
                <w:szCs w:val="20"/>
              </w:rPr>
            </w:pPr>
            <w:r>
              <w:rPr>
                <w:b/>
              </w:rPr>
              <w:t>H1</w:t>
            </w:r>
          </w:p>
          <w:p w:rsidR="00C271A9" w:rsidRDefault="00C271A9" w:rsidP="00333ED5">
            <w:pPr>
              <w:ind w:left="0"/>
              <w:jc w:val="center"/>
              <w:rPr>
                <w:rFonts w:cs="Lucida Sans Unicode"/>
                <w:b/>
                <w:bCs/>
                <w:szCs w:val="20"/>
              </w:rPr>
            </w:pPr>
            <w:r>
              <w:rPr>
                <w:b/>
              </w:rPr>
              <w:t>2014</w:t>
            </w:r>
          </w:p>
        </w:tc>
        <w:tc>
          <w:tcPr>
            <w:tcW w:w="822" w:type="dxa"/>
            <w:vAlign w:val="center"/>
          </w:tcPr>
          <w:p w:rsidR="00C271A9" w:rsidRDefault="00C271A9" w:rsidP="00333ED5">
            <w:pPr>
              <w:ind w:left="0"/>
              <w:jc w:val="center"/>
              <w:rPr>
                <w:rFonts w:cs="Lucida Sans Unicode"/>
                <w:b/>
                <w:bCs/>
                <w:szCs w:val="20"/>
              </w:rPr>
            </w:pPr>
            <w:r>
              <w:rPr>
                <w:b/>
              </w:rPr>
              <w:t>H1</w:t>
            </w:r>
          </w:p>
          <w:p w:rsidR="00C271A9" w:rsidRDefault="00C271A9" w:rsidP="00333ED5">
            <w:pPr>
              <w:ind w:left="0"/>
              <w:jc w:val="center"/>
              <w:rPr>
                <w:rFonts w:cs="Lucida Sans Unicode"/>
                <w:b/>
                <w:bCs/>
                <w:szCs w:val="20"/>
              </w:rPr>
            </w:pPr>
            <w:r>
              <w:rPr>
                <w:b/>
              </w:rPr>
              <w:t>2013</w:t>
            </w:r>
          </w:p>
        </w:tc>
        <w:tc>
          <w:tcPr>
            <w:tcW w:w="822" w:type="dxa"/>
            <w:vAlign w:val="center"/>
          </w:tcPr>
          <w:p w:rsidR="00C271A9" w:rsidRDefault="00C271A9" w:rsidP="00333ED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C271A9" w:rsidTr="00333ED5">
        <w:trPr>
          <w:trHeight w:val="300"/>
        </w:trPr>
        <w:tc>
          <w:tcPr>
            <w:tcW w:w="4835" w:type="dxa"/>
            <w:noWrap/>
            <w:vAlign w:val="bottom"/>
          </w:tcPr>
          <w:p w:rsidR="00C271A9" w:rsidRDefault="00C271A9" w:rsidP="00333ED5">
            <w:pPr>
              <w:ind w:left="0"/>
              <w:rPr>
                <w:rFonts w:cs="Lucida Sans Unicode"/>
                <w:position w:val="0"/>
                <w:szCs w:val="20"/>
              </w:rPr>
            </w:pPr>
            <w:proofErr w:type="spellStart"/>
            <w:r>
              <w:t>Sales</w:t>
            </w:r>
            <w:proofErr w:type="spellEnd"/>
          </w:p>
        </w:tc>
        <w:tc>
          <w:tcPr>
            <w:tcW w:w="823" w:type="dxa"/>
            <w:shd w:val="clear" w:color="auto" w:fill="CCCCCC"/>
            <w:noWrap/>
            <w:vAlign w:val="bottom"/>
          </w:tcPr>
          <w:p w:rsidR="00C271A9" w:rsidRDefault="00C271A9" w:rsidP="00333ED5">
            <w:pPr>
              <w:ind w:left="0"/>
              <w:jc w:val="right"/>
              <w:rPr>
                <w:rFonts w:cs="Lucida Sans Unicode"/>
                <w:position w:val="0"/>
                <w:szCs w:val="20"/>
              </w:rPr>
            </w:pPr>
            <w:r>
              <w:t>3,247</w:t>
            </w:r>
          </w:p>
        </w:tc>
        <w:tc>
          <w:tcPr>
            <w:tcW w:w="822" w:type="dxa"/>
            <w:noWrap/>
            <w:vAlign w:val="bottom"/>
          </w:tcPr>
          <w:p w:rsidR="00C271A9" w:rsidRDefault="00C271A9" w:rsidP="00333ED5">
            <w:pPr>
              <w:ind w:left="0"/>
              <w:jc w:val="right"/>
              <w:rPr>
                <w:rFonts w:cs="Lucida Sans Unicode"/>
                <w:position w:val="0"/>
                <w:szCs w:val="20"/>
              </w:rPr>
            </w:pPr>
            <w:r>
              <w:t>3,209</w:t>
            </w:r>
          </w:p>
        </w:tc>
        <w:tc>
          <w:tcPr>
            <w:tcW w:w="822" w:type="dxa"/>
            <w:noWrap/>
            <w:vAlign w:val="bottom"/>
          </w:tcPr>
          <w:p w:rsidR="00C271A9" w:rsidRDefault="00C271A9" w:rsidP="00333ED5">
            <w:pPr>
              <w:ind w:left="0"/>
              <w:jc w:val="right"/>
              <w:rPr>
                <w:rFonts w:cs="Lucida Sans Unicode"/>
                <w:position w:val="0"/>
                <w:szCs w:val="20"/>
              </w:rPr>
            </w:pPr>
            <w:r>
              <w:t>1</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6,448</w:t>
            </w:r>
          </w:p>
        </w:tc>
        <w:tc>
          <w:tcPr>
            <w:tcW w:w="822" w:type="dxa"/>
            <w:noWrap/>
            <w:vAlign w:val="bottom"/>
          </w:tcPr>
          <w:p w:rsidR="00C271A9" w:rsidRDefault="00C271A9" w:rsidP="00333ED5">
            <w:pPr>
              <w:ind w:left="0"/>
              <w:jc w:val="right"/>
              <w:rPr>
                <w:rFonts w:cs="Lucida Sans Unicode"/>
                <w:position w:val="0"/>
                <w:szCs w:val="20"/>
              </w:rPr>
            </w:pPr>
            <w:r>
              <w:t>6,421</w:t>
            </w:r>
          </w:p>
        </w:tc>
        <w:tc>
          <w:tcPr>
            <w:tcW w:w="822" w:type="dxa"/>
            <w:noWrap/>
            <w:vAlign w:val="bottom"/>
          </w:tcPr>
          <w:p w:rsidR="00C271A9" w:rsidRDefault="00C271A9" w:rsidP="00333ED5">
            <w:pPr>
              <w:ind w:left="0"/>
              <w:jc w:val="right"/>
              <w:rPr>
                <w:rFonts w:cs="Lucida Sans Unicode"/>
                <w:position w:val="0"/>
                <w:szCs w:val="20"/>
              </w:rPr>
            </w:pPr>
            <w:r>
              <w:t>0</w:t>
            </w:r>
          </w:p>
        </w:tc>
      </w:tr>
      <w:tr w:rsidR="00C271A9" w:rsidTr="00333ED5">
        <w:trPr>
          <w:trHeight w:val="300"/>
        </w:trPr>
        <w:tc>
          <w:tcPr>
            <w:tcW w:w="4835" w:type="dxa"/>
            <w:noWrap/>
            <w:vAlign w:val="bottom"/>
          </w:tcPr>
          <w:p w:rsidR="00C271A9" w:rsidRDefault="00C271A9" w:rsidP="00333ED5">
            <w:pPr>
              <w:ind w:left="0"/>
              <w:rPr>
                <w:rFonts w:cs="Lucida Sans Unicode"/>
                <w:position w:val="0"/>
                <w:szCs w:val="20"/>
              </w:rPr>
            </w:pPr>
            <w:proofErr w:type="spellStart"/>
            <w:r>
              <w:t>Adjusted</w:t>
            </w:r>
            <w:proofErr w:type="spellEnd"/>
            <w:r>
              <w:t xml:space="preserve"> EBITDA</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473</w:t>
            </w:r>
          </w:p>
        </w:tc>
        <w:tc>
          <w:tcPr>
            <w:tcW w:w="822" w:type="dxa"/>
            <w:noWrap/>
            <w:vAlign w:val="bottom"/>
          </w:tcPr>
          <w:p w:rsidR="00C271A9" w:rsidRDefault="00C271A9" w:rsidP="00333ED5">
            <w:pPr>
              <w:ind w:left="0"/>
              <w:jc w:val="right"/>
              <w:rPr>
                <w:rFonts w:cs="Lucida Sans Unicode"/>
                <w:position w:val="0"/>
                <w:szCs w:val="20"/>
              </w:rPr>
            </w:pPr>
            <w:r>
              <w:t>509</w:t>
            </w:r>
          </w:p>
        </w:tc>
        <w:tc>
          <w:tcPr>
            <w:tcW w:w="822" w:type="dxa"/>
            <w:noWrap/>
            <w:vAlign w:val="bottom"/>
          </w:tcPr>
          <w:p w:rsidR="00C271A9" w:rsidRDefault="00C271A9" w:rsidP="00333ED5">
            <w:pPr>
              <w:ind w:left="0"/>
              <w:jc w:val="right"/>
              <w:rPr>
                <w:rFonts w:cs="Lucida Sans Unicode"/>
                <w:position w:val="0"/>
                <w:szCs w:val="20"/>
              </w:rPr>
            </w:pPr>
            <w:r>
              <w:t>-7</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936</w:t>
            </w:r>
          </w:p>
        </w:tc>
        <w:tc>
          <w:tcPr>
            <w:tcW w:w="822" w:type="dxa"/>
            <w:noWrap/>
            <w:vAlign w:val="bottom"/>
          </w:tcPr>
          <w:p w:rsidR="00C271A9" w:rsidRDefault="00C271A9" w:rsidP="00333ED5">
            <w:pPr>
              <w:ind w:left="0"/>
              <w:jc w:val="right"/>
              <w:rPr>
                <w:rFonts w:cs="Lucida Sans Unicode"/>
                <w:position w:val="0"/>
                <w:szCs w:val="20"/>
              </w:rPr>
            </w:pPr>
            <w:r>
              <w:t>1,115</w:t>
            </w:r>
          </w:p>
        </w:tc>
        <w:tc>
          <w:tcPr>
            <w:tcW w:w="822" w:type="dxa"/>
            <w:noWrap/>
            <w:vAlign w:val="bottom"/>
          </w:tcPr>
          <w:p w:rsidR="00C271A9" w:rsidRDefault="00C271A9" w:rsidP="00333ED5">
            <w:pPr>
              <w:ind w:left="0"/>
              <w:jc w:val="right"/>
              <w:rPr>
                <w:rFonts w:cs="Lucida Sans Unicode"/>
                <w:position w:val="0"/>
                <w:szCs w:val="20"/>
              </w:rPr>
            </w:pPr>
            <w:r>
              <w:t>-16</w:t>
            </w:r>
          </w:p>
        </w:tc>
      </w:tr>
      <w:tr w:rsidR="00C271A9" w:rsidTr="00333ED5">
        <w:trPr>
          <w:trHeight w:val="300"/>
        </w:trPr>
        <w:tc>
          <w:tcPr>
            <w:tcW w:w="4835" w:type="dxa"/>
            <w:noWrap/>
            <w:vAlign w:val="bottom"/>
          </w:tcPr>
          <w:p w:rsidR="00C271A9" w:rsidRDefault="00C271A9" w:rsidP="00333ED5">
            <w:pPr>
              <w:ind w:left="0"/>
              <w:rPr>
                <w:rFonts w:cs="Lucida Sans Unicode"/>
                <w:position w:val="0"/>
                <w:szCs w:val="20"/>
              </w:rPr>
            </w:pPr>
            <w:proofErr w:type="spellStart"/>
            <w:r>
              <w:t>Adjusted</w:t>
            </w:r>
            <w:proofErr w:type="spellEnd"/>
            <w:r>
              <w:t xml:space="preserve"> EBIT</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322</w:t>
            </w:r>
          </w:p>
        </w:tc>
        <w:tc>
          <w:tcPr>
            <w:tcW w:w="822" w:type="dxa"/>
            <w:noWrap/>
            <w:vAlign w:val="bottom"/>
          </w:tcPr>
          <w:p w:rsidR="00C271A9" w:rsidRDefault="00C271A9" w:rsidP="00333ED5">
            <w:pPr>
              <w:ind w:left="0"/>
              <w:jc w:val="right"/>
              <w:rPr>
                <w:rFonts w:cs="Lucida Sans Unicode"/>
                <w:position w:val="0"/>
                <w:szCs w:val="20"/>
              </w:rPr>
            </w:pPr>
            <w:r>
              <w:t>364</w:t>
            </w:r>
          </w:p>
        </w:tc>
        <w:tc>
          <w:tcPr>
            <w:tcW w:w="822" w:type="dxa"/>
            <w:noWrap/>
            <w:vAlign w:val="bottom"/>
          </w:tcPr>
          <w:p w:rsidR="00C271A9" w:rsidRDefault="00C271A9" w:rsidP="00333ED5">
            <w:pPr>
              <w:ind w:left="0"/>
              <w:jc w:val="right"/>
              <w:rPr>
                <w:rFonts w:cs="Lucida Sans Unicode"/>
                <w:position w:val="0"/>
                <w:szCs w:val="20"/>
              </w:rPr>
            </w:pPr>
            <w:r>
              <w:t>-12</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638</w:t>
            </w:r>
          </w:p>
        </w:tc>
        <w:tc>
          <w:tcPr>
            <w:tcW w:w="822" w:type="dxa"/>
            <w:noWrap/>
            <w:vAlign w:val="bottom"/>
          </w:tcPr>
          <w:p w:rsidR="00C271A9" w:rsidRDefault="00C271A9" w:rsidP="00333ED5">
            <w:pPr>
              <w:ind w:left="0"/>
              <w:jc w:val="right"/>
              <w:rPr>
                <w:rFonts w:cs="Lucida Sans Unicode"/>
                <w:position w:val="0"/>
                <w:szCs w:val="20"/>
              </w:rPr>
            </w:pPr>
            <w:r>
              <w:t>828</w:t>
            </w:r>
          </w:p>
        </w:tc>
        <w:tc>
          <w:tcPr>
            <w:tcW w:w="822" w:type="dxa"/>
            <w:noWrap/>
            <w:vAlign w:val="bottom"/>
          </w:tcPr>
          <w:p w:rsidR="00C271A9" w:rsidRDefault="00C271A9" w:rsidP="00333ED5">
            <w:pPr>
              <w:ind w:left="0"/>
              <w:jc w:val="right"/>
              <w:rPr>
                <w:rFonts w:cs="Lucida Sans Unicode"/>
                <w:position w:val="0"/>
                <w:szCs w:val="20"/>
              </w:rPr>
            </w:pPr>
            <w:r>
              <w:t>-23</w:t>
            </w:r>
          </w:p>
        </w:tc>
      </w:tr>
      <w:tr w:rsidR="00C271A9" w:rsidTr="00333ED5">
        <w:trPr>
          <w:trHeight w:val="300"/>
        </w:trPr>
        <w:tc>
          <w:tcPr>
            <w:tcW w:w="4835" w:type="dxa"/>
            <w:noWrap/>
            <w:vAlign w:val="bottom"/>
          </w:tcPr>
          <w:p w:rsidR="00C271A9" w:rsidRDefault="00C271A9" w:rsidP="00333ED5">
            <w:pPr>
              <w:ind w:left="0"/>
              <w:rPr>
                <w:rFonts w:cs="Lucida Sans Unicode"/>
                <w:position w:val="0"/>
                <w:szCs w:val="20"/>
              </w:rPr>
            </w:pPr>
            <w:proofErr w:type="spellStart"/>
            <w:r>
              <w:t>Adjustments</w:t>
            </w:r>
            <w:proofErr w:type="spellEnd"/>
          </w:p>
        </w:tc>
        <w:tc>
          <w:tcPr>
            <w:tcW w:w="823" w:type="dxa"/>
            <w:shd w:val="clear" w:color="auto" w:fill="CCCCCC"/>
            <w:noWrap/>
            <w:vAlign w:val="bottom"/>
          </w:tcPr>
          <w:p w:rsidR="00C271A9" w:rsidRDefault="00C271A9" w:rsidP="00333ED5">
            <w:pPr>
              <w:ind w:left="0"/>
              <w:jc w:val="right"/>
              <w:rPr>
                <w:rFonts w:cs="Lucida Sans Unicode"/>
                <w:position w:val="0"/>
                <w:szCs w:val="20"/>
              </w:rPr>
            </w:pPr>
            <w:r>
              <w:t>-51</w:t>
            </w:r>
          </w:p>
        </w:tc>
        <w:tc>
          <w:tcPr>
            <w:tcW w:w="822" w:type="dxa"/>
            <w:noWrap/>
            <w:vAlign w:val="bottom"/>
          </w:tcPr>
          <w:p w:rsidR="00C271A9" w:rsidRDefault="00C271A9" w:rsidP="00333ED5">
            <w:pPr>
              <w:ind w:left="0"/>
              <w:jc w:val="right"/>
              <w:rPr>
                <w:rFonts w:cs="Lucida Sans Unicode"/>
                <w:position w:val="0"/>
                <w:szCs w:val="20"/>
              </w:rPr>
            </w:pPr>
            <w:r>
              <w:t>-63</w:t>
            </w:r>
          </w:p>
        </w:tc>
        <w:tc>
          <w:tcPr>
            <w:tcW w:w="822" w:type="dxa"/>
            <w:noWrap/>
            <w:vAlign w:val="bottom"/>
          </w:tcPr>
          <w:p w:rsidR="00C271A9" w:rsidRDefault="00C271A9" w:rsidP="00333ED5">
            <w:pPr>
              <w:ind w:left="0"/>
              <w:rPr>
                <w:rFonts w:cs="Lucida Sans Unicode"/>
                <w:position w:val="0"/>
                <w:szCs w:val="20"/>
              </w:rPr>
            </w:pPr>
          </w:p>
        </w:tc>
        <w:tc>
          <w:tcPr>
            <w:tcW w:w="823" w:type="dxa"/>
            <w:shd w:val="clear" w:color="auto" w:fill="CCCCCC"/>
            <w:noWrap/>
            <w:vAlign w:val="bottom"/>
          </w:tcPr>
          <w:p w:rsidR="00C271A9" w:rsidRDefault="00C271A9" w:rsidP="00333ED5">
            <w:pPr>
              <w:ind w:left="0"/>
              <w:jc w:val="right"/>
              <w:rPr>
                <w:rFonts w:cs="Lucida Sans Unicode"/>
                <w:position w:val="0"/>
                <w:szCs w:val="20"/>
              </w:rPr>
            </w:pPr>
            <w:r>
              <w:t>-79</w:t>
            </w:r>
          </w:p>
        </w:tc>
        <w:tc>
          <w:tcPr>
            <w:tcW w:w="822" w:type="dxa"/>
            <w:noWrap/>
            <w:vAlign w:val="bottom"/>
          </w:tcPr>
          <w:p w:rsidR="00C271A9" w:rsidRDefault="00C271A9" w:rsidP="00333ED5">
            <w:pPr>
              <w:ind w:left="0"/>
              <w:jc w:val="right"/>
              <w:rPr>
                <w:rFonts w:cs="Lucida Sans Unicode"/>
                <w:position w:val="0"/>
                <w:szCs w:val="20"/>
              </w:rPr>
            </w:pPr>
            <w:r>
              <w:t>-93</w:t>
            </w:r>
          </w:p>
        </w:tc>
        <w:tc>
          <w:tcPr>
            <w:tcW w:w="822" w:type="dxa"/>
            <w:noWrap/>
            <w:vAlign w:val="bottom"/>
          </w:tcPr>
          <w:p w:rsidR="00C271A9" w:rsidRDefault="00C271A9" w:rsidP="00333ED5">
            <w:pPr>
              <w:ind w:left="0"/>
              <w:rPr>
                <w:rFonts w:cs="Lucida Sans Unicode"/>
                <w:position w:val="0"/>
                <w:szCs w:val="20"/>
              </w:rPr>
            </w:pPr>
          </w:p>
        </w:tc>
      </w:tr>
      <w:tr w:rsidR="00C271A9" w:rsidTr="00333ED5">
        <w:trPr>
          <w:trHeight w:val="300"/>
        </w:trPr>
        <w:tc>
          <w:tcPr>
            <w:tcW w:w="4835" w:type="dxa"/>
            <w:noWrap/>
            <w:vAlign w:val="bottom"/>
          </w:tcPr>
          <w:p w:rsidR="00C271A9" w:rsidRDefault="00C271A9" w:rsidP="00333ED5">
            <w:pPr>
              <w:ind w:left="0"/>
              <w:rPr>
                <w:rFonts w:cs="Lucida Sans Unicode"/>
                <w:position w:val="0"/>
                <w:szCs w:val="20"/>
              </w:rPr>
            </w:pPr>
            <w:r>
              <w:t xml:space="preserve">Net </w:t>
            </w:r>
            <w:proofErr w:type="spellStart"/>
            <w:r>
              <w:t>interest</w:t>
            </w:r>
            <w:proofErr w:type="spellEnd"/>
            <w:r>
              <w:t xml:space="preserve"> </w:t>
            </w:r>
            <w:proofErr w:type="spellStart"/>
            <w:r>
              <w:t>expense</w:t>
            </w:r>
            <w:proofErr w:type="spellEnd"/>
          </w:p>
        </w:tc>
        <w:tc>
          <w:tcPr>
            <w:tcW w:w="823" w:type="dxa"/>
            <w:shd w:val="clear" w:color="auto" w:fill="CCCCCC"/>
            <w:noWrap/>
            <w:vAlign w:val="bottom"/>
          </w:tcPr>
          <w:p w:rsidR="00C271A9" w:rsidRDefault="00C271A9" w:rsidP="00333ED5">
            <w:pPr>
              <w:ind w:left="0"/>
              <w:jc w:val="right"/>
              <w:rPr>
                <w:rFonts w:cs="Lucida Sans Unicode"/>
                <w:position w:val="0"/>
                <w:szCs w:val="20"/>
              </w:rPr>
            </w:pPr>
            <w:r>
              <w:t>-59</w:t>
            </w:r>
          </w:p>
        </w:tc>
        <w:tc>
          <w:tcPr>
            <w:tcW w:w="822" w:type="dxa"/>
            <w:noWrap/>
            <w:vAlign w:val="bottom"/>
          </w:tcPr>
          <w:p w:rsidR="00C271A9" w:rsidRDefault="00C271A9" w:rsidP="00333ED5">
            <w:pPr>
              <w:ind w:left="0"/>
              <w:jc w:val="right"/>
              <w:rPr>
                <w:rFonts w:cs="Lucida Sans Unicode"/>
                <w:position w:val="0"/>
                <w:szCs w:val="20"/>
              </w:rPr>
            </w:pPr>
            <w:r>
              <w:t>-68</w:t>
            </w:r>
          </w:p>
        </w:tc>
        <w:tc>
          <w:tcPr>
            <w:tcW w:w="822" w:type="dxa"/>
            <w:noWrap/>
            <w:vAlign w:val="bottom"/>
          </w:tcPr>
          <w:p w:rsidR="00C271A9" w:rsidRDefault="00C271A9" w:rsidP="00333ED5">
            <w:pPr>
              <w:ind w:left="0"/>
              <w:jc w:val="right"/>
              <w:rPr>
                <w:rFonts w:cs="Lucida Sans Unicode"/>
                <w:position w:val="0"/>
                <w:szCs w:val="20"/>
              </w:rPr>
            </w:pPr>
          </w:p>
        </w:tc>
        <w:tc>
          <w:tcPr>
            <w:tcW w:w="823" w:type="dxa"/>
            <w:shd w:val="clear" w:color="auto" w:fill="CCCCCC"/>
            <w:noWrap/>
            <w:vAlign w:val="bottom"/>
          </w:tcPr>
          <w:p w:rsidR="00C271A9" w:rsidRDefault="00C271A9" w:rsidP="00333ED5">
            <w:pPr>
              <w:ind w:left="0"/>
              <w:jc w:val="right"/>
              <w:rPr>
                <w:rFonts w:cs="Lucida Sans Unicode"/>
                <w:position w:val="0"/>
                <w:szCs w:val="20"/>
              </w:rPr>
            </w:pPr>
            <w:r>
              <w:t>-135</w:t>
            </w:r>
          </w:p>
        </w:tc>
        <w:tc>
          <w:tcPr>
            <w:tcW w:w="822" w:type="dxa"/>
            <w:noWrap/>
            <w:vAlign w:val="bottom"/>
          </w:tcPr>
          <w:p w:rsidR="00C271A9" w:rsidRDefault="00C271A9" w:rsidP="00333ED5">
            <w:pPr>
              <w:ind w:left="0"/>
              <w:jc w:val="right"/>
              <w:rPr>
                <w:rFonts w:cs="Lucida Sans Unicode"/>
                <w:position w:val="0"/>
                <w:szCs w:val="20"/>
              </w:rPr>
            </w:pPr>
            <w:r>
              <w:t>-134</w:t>
            </w:r>
          </w:p>
        </w:tc>
        <w:tc>
          <w:tcPr>
            <w:tcW w:w="822" w:type="dxa"/>
            <w:noWrap/>
            <w:vAlign w:val="bottom"/>
          </w:tcPr>
          <w:p w:rsidR="00C271A9" w:rsidRDefault="00C271A9" w:rsidP="00333ED5">
            <w:pPr>
              <w:ind w:left="0"/>
              <w:rPr>
                <w:rFonts w:cs="Lucida Sans Unicode"/>
                <w:position w:val="0"/>
                <w:szCs w:val="20"/>
              </w:rPr>
            </w:pPr>
          </w:p>
        </w:tc>
      </w:tr>
      <w:tr w:rsidR="00C271A9" w:rsidTr="00333ED5">
        <w:trPr>
          <w:trHeight w:val="300"/>
        </w:trPr>
        <w:tc>
          <w:tcPr>
            <w:tcW w:w="4835" w:type="dxa"/>
            <w:noWrap/>
            <w:vAlign w:val="bottom"/>
          </w:tcPr>
          <w:p w:rsidR="00C271A9" w:rsidRPr="00C271A9" w:rsidRDefault="00C271A9" w:rsidP="00333ED5">
            <w:pPr>
              <w:ind w:left="0"/>
              <w:rPr>
                <w:rFonts w:cs="Lucida Sans Unicode"/>
                <w:bCs/>
                <w:szCs w:val="20"/>
                <w:lang w:val="en-US"/>
              </w:rPr>
            </w:pPr>
            <w:r w:rsidRPr="00C271A9">
              <w:rPr>
                <w:lang w:val="en-US"/>
              </w:rPr>
              <w:t>Income before income taxes, continuing operations</w:t>
            </w:r>
          </w:p>
        </w:tc>
        <w:tc>
          <w:tcPr>
            <w:tcW w:w="823" w:type="dxa"/>
            <w:shd w:val="clear" w:color="auto" w:fill="CCCCCC"/>
            <w:noWrap/>
            <w:vAlign w:val="bottom"/>
          </w:tcPr>
          <w:p w:rsidR="00C271A9" w:rsidRPr="002B19DA" w:rsidRDefault="00C271A9" w:rsidP="00333ED5">
            <w:pPr>
              <w:ind w:left="0"/>
              <w:jc w:val="right"/>
              <w:rPr>
                <w:rFonts w:cs="Lucida Sans Unicode"/>
                <w:bCs/>
                <w:position w:val="0"/>
                <w:szCs w:val="20"/>
              </w:rPr>
            </w:pPr>
            <w:r>
              <w:t>212</w:t>
            </w:r>
          </w:p>
        </w:tc>
        <w:tc>
          <w:tcPr>
            <w:tcW w:w="822" w:type="dxa"/>
            <w:noWrap/>
            <w:vAlign w:val="bottom"/>
          </w:tcPr>
          <w:p w:rsidR="00C271A9" w:rsidRPr="002B19DA" w:rsidRDefault="00C271A9" w:rsidP="00333ED5">
            <w:pPr>
              <w:ind w:left="0"/>
              <w:jc w:val="right"/>
              <w:rPr>
                <w:rFonts w:cs="Lucida Sans Unicode"/>
                <w:bCs/>
                <w:position w:val="0"/>
                <w:szCs w:val="20"/>
              </w:rPr>
            </w:pPr>
            <w:r>
              <w:t>233</w:t>
            </w:r>
          </w:p>
        </w:tc>
        <w:tc>
          <w:tcPr>
            <w:tcW w:w="822" w:type="dxa"/>
            <w:noWrap/>
            <w:vAlign w:val="bottom"/>
          </w:tcPr>
          <w:p w:rsidR="00C271A9" w:rsidRPr="002B19DA" w:rsidRDefault="00C271A9" w:rsidP="00333ED5">
            <w:pPr>
              <w:ind w:left="0"/>
              <w:jc w:val="right"/>
              <w:rPr>
                <w:rFonts w:cs="Lucida Sans Unicode"/>
                <w:bCs/>
                <w:position w:val="0"/>
                <w:szCs w:val="20"/>
              </w:rPr>
            </w:pPr>
            <w:r>
              <w:t>-9</w:t>
            </w:r>
          </w:p>
        </w:tc>
        <w:tc>
          <w:tcPr>
            <w:tcW w:w="823" w:type="dxa"/>
            <w:shd w:val="clear" w:color="auto" w:fill="CCCCCC"/>
            <w:noWrap/>
            <w:vAlign w:val="bottom"/>
          </w:tcPr>
          <w:p w:rsidR="00C271A9" w:rsidRPr="002B19DA" w:rsidRDefault="00C271A9" w:rsidP="00333ED5">
            <w:pPr>
              <w:ind w:left="0"/>
              <w:jc w:val="right"/>
              <w:rPr>
                <w:rFonts w:cs="Lucida Sans Unicode"/>
                <w:bCs/>
                <w:position w:val="0"/>
                <w:szCs w:val="20"/>
              </w:rPr>
            </w:pPr>
            <w:r>
              <w:t>424</w:t>
            </w:r>
          </w:p>
        </w:tc>
        <w:tc>
          <w:tcPr>
            <w:tcW w:w="822" w:type="dxa"/>
            <w:noWrap/>
            <w:vAlign w:val="bottom"/>
          </w:tcPr>
          <w:p w:rsidR="00C271A9" w:rsidRPr="002B19DA" w:rsidRDefault="00C271A9" w:rsidP="00333ED5">
            <w:pPr>
              <w:ind w:left="0"/>
              <w:jc w:val="right"/>
              <w:rPr>
                <w:rFonts w:cs="Lucida Sans Unicode"/>
                <w:bCs/>
                <w:position w:val="0"/>
                <w:szCs w:val="20"/>
              </w:rPr>
            </w:pPr>
            <w:r>
              <w:t>601</w:t>
            </w:r>
          </w:p>
        </w:tc>
        <w:tc>
          <w:tcPr>
            <w:tcW w:w="822" w:type="dxa"/>
            <w:noWrap/>
            <w:vAlign w:val="bottom"/>
          </w:tcPr>
          <w:p w:rsidR="00C271A9" w:rsidRPr="002B19DA" w:rsidRDefault="00C271A9" w:rsidP="00333ED5">
            <w:pPr>
              <w:ind w:left="0"/>
              <w:jc w:val="right"/>
              <w:rPr>
                <w:rFonts w:cs="Lucida Sans Unicode"/>
                <w:bCs/>
                <w:position w:val="0"/>
                <w:szCs w:val="20"/>
              </w:rPr>
            </w:pPr>
            <w:r>
              <w:t>-29</w:t>
            </w:r>
          </w:p>
        </w:tc>
      </w:tr>
      <w:tr w:rsidR="00C271A9" w:rsidTr="00333ED5">
        <w:trPr>
          <w:trHeight w:val="300"/>
        </w:trPr>
        <w:tc>
          <w:tcPr>
            <w:tcW w:w="4835" w:type="dxa"/>
            <w:noWrap/>
            <w:vAlign w:val="bottom"/>
          </w:tcPr>
          <w:p w:rsidR="00C271A9" w:rsidRPr="00E83E1D" w:rsidRDefault="00C271A9" w:rsidP="00333ED5">
            <w:pPr>
              <w:ind w:left="0"/>
              <w:rPr>
                <w:rFonts w:cs="Lucida Sans Unicode"/>
                <w:position w:val="0"/>
                <w:szCs w:val="20"/>
              </w:rPr>
            </w:pPr>
            <w:r>
              <w:t xml:space="preserve">Income </w:t>
            </w:r>
            <w:proofErr w:type="spellStart"/>
            <w:r>
              <w:t>taxes</w:t>
            </w:r>
            <w:proofErr w:type="spellEnd"/>
          </w:p>
        </w:tc>
        <w:tc>
          <w:tcPr>
            <w:tcW w:w="823" w:type="dxa"/>
            <w:shd w:val="clear" w:color="auto" w:fill="CCCCCC"/>
            <w:noWrap/>
            <w:vAlign w:val="bottom"/>
          </w:tcPr>
          <w:p w:rsidR="00C271A9" w:rsidRDefault="00C271A9" w:rsidP="00333ED5">
            <w:pPr>
              <w:ind w:left="0"/>
              <w:jc w:val="right"/>
              <w:rPr>
                <w:rFonts w:cs="Lucida Sans Unicode"/>
                <w:position w:val="0"/>
                <w:szCs w:val="20"/>
              </w:rPr>
            </w:pPr>
            <w:r>
              <w:t>-70</w:t>
            </w:r>
          </w:p>
        </w:tc>
        <w:tc>
          <w:tcPr>
            <w:tcW w:w="822" w:type="dxa"/>
            <w:noWrap/>
            <w:vAlign w:val="bottom"/>
          </w:tcPr>
          <w:p w:rsidR="00C271A9" w:rsidRDefault="00C271A9" w:rsidP="00333ED5">
            <w:pPr>
              <w:ind w:left="0"/>
              <w:jc w:val="right"/>
              <w:rPr>
                <w:rFonts w:cs="Lucida Sans Unicode"/>
                <w:position w:val="0"/>
                <w:szCs w:val="20"/>
              </w:rPr>
            </w:pPr>
            <w:r>
              <w:t>-80</w:t>
            </w:r>
          </w:p>
        </w:tc>
        <w:tc>
          <w:tcPr>
            <w:tcW w:w="822" w:type="dxa"/>
            <w:noWrap/>
            <w:vAlign w:val="bottom"/>
          </w:tcPr>
          <w:p w:rsidR="00C271A9" w:rsidRDefault="00C271A9" w:rsidP="00333ED5">
            <w:pPr>
              <w:ind w:left="0"/>
              <w:jc w:val="right"/>
              <w:rPr>
                <w:rFonts w:cs="Lucida Sans Unicode"/>
                <w:position w:val="0"/>
                <w:szCs w:val="20"/>
              </w:rPr>
            </w:pPr>
          </w:p>
        </w:tc>
        <w:tc>
          <w:tcPr>
            <w:tcW w:w="823" w:type="dxa"/>
            <w:shd w:val="clear" w:color="auto" w:fill="CCCCCC"/>
            <w:noWrap/>
            <w:vAlign w:val="bottom"/>
          </w:tcPr>
          <w:p w:rsidR="00C271A9" w:rsidRDefault="00C271A9" w:rsidP="00333ED5">
            <w:pPr>
              <w:ind w:left="0"/>
              <w:jc w:val="right"/>
              <w:rPr>
                <w:rFonts w:cs="Lucida Sans Unicode"/>
                <w:position w:val="0"/>
                <w:szCs w:val="20"/>
              </w:rPr>
            </w:pPr>
            <w:r>
              <w:t>-133</w:t>
            </w:r>
          </w:p>
        </w:tc>
        <w:tc>
          <w:tcPr>
            <w:tcW w:w="822" w:type="dxa"/>
            <w:noWrap/>
            <w:vAlign w:val="bottom"/>
          </w:tcPr>
          <w:p w:rsidR="00C271A9" w:rsidRDefault="00C271A9" w:rsidP="00333ED5">
            <w:pPr>
              <w:ind w:left="0"/>
              <w:jc w:val="right"/>
              <w:rPr>
                <w:rFonts w:cs="Lucida Sans Unicode"/>
                <w:position w:val="0"/>
                <w:szCs w:val="20"/>
              </w:rPr>
            </w:pPr>
            <w:r>
              <w:t>-165</w:t>
            </w:r>
          </w:p>
        </w:tc>
        <w:tc>
          <w:tcPr>
            <w:tcW w:w="822" w:type="dxa"/>
            <w:noWrap/>
            <w:vAlign w:val="bottom"/>
          </w:tcPr>
          <w:p w:rsidR="00C271A9" w:rsidRDefault="00C271A9" w:rsidP="00333ED5">
            <w:pPr>
              <w:ind w:left="0"/>
              <w:jc w:val="right"/>
              <w:rPr>
                <w:rFonts w:cs="Lucida Sans Unicode"/>
                <w:position w:val="0"/>
                <w:szCs w:val="20"/>
              </w:rPr>
            </w:pPr>
          </w:p>
        </w:tc>
      </w:tr>
      <w:tr w:rsidR="00C271A9" w:rsidTr="00333ED5">
        <w:trPr>
          <w:trHeight w:val="300"/>
        </w:trPr>
        <w:tc>
          <w:tcPr>
            <w:tcW w:w="4835" w:type="dxa"/>
            <w:noWrap/>
            <w:vAlign w:val="bottom"/>
          </w:tcPr>
          <w:p w:rsidR="00C271A9" w:rsidRPr="00C271A9" w:rsidRDefault="00C271A9" w:rsidP="00333ED5">
            <w:pPr>
              <w:ind w:left="0"/>
              <w:rPr>
                <w:rFonts w:cs="Lucida Sans Unicode"/>
                <w:bCs/>
                <w:szCs w:val="20"/>
                <w:lang w:val="en-US"/>
              </w:rPr>
            </w:pPr>
            <w:r w:rsidRPr="00C271A9">
              <w:rPr>
                <w:lang w:val="en-US"/>
              </w:rPr>
              <w:t>Income after taxes, continuing operations</w:t>
            </w:r>
          </w:p>
        </w:tc>
        <w:tc>
          <w:tcPr>
            <w:tcW w:w="823" w:type="dxa"/>
            <w:shd w:val="clear" w:color="auto" w:fill="CCCCCC"/>
            <w:noWrap/>
            <w:vAlign w:val="bottom"/>
          </w:tcPr>
          <w:p w:rsidR="00C271A9" w:rsidRPr="002B19DA" w:rsidRDefault="00C271A9" w:rsidP="00333ED5">
            <w:pPr>
              <w:ind w:left="0"/>
              <w:jc w:val="right"/>
              <w:rPr>
                <w:rFonts w:cs="Lucida Sans Unicode"/>
                <w:bCs/>
                <w:position w:val="0"/>
                <w:szCs w:val="20"/>
              </w:rPr>
            </w:pPr>
            <w:r>
              <w:t>142</w:t>
            </w:r>
          </w:p>
        </w:tc>
        <w:tc>
          <w:tcPr>
            <w:tcW w:w="822" w:type="dxa"/>
            <w:noWrap/>
            <w:vAlign w:val="bottom"/>
          </w:tcPr>
          <w:p w:rsidR="00C271A9" w:rsidRPr="002B19DA" w:rsidRDefault="00C271A9" w:rsidP="00333ED5">
            <w:pPr>
              <w:ind w:left="0"/>
              <w:jc w:val="right"/>
              <w:rPr>
                <w:rFonts w:cs="Lucida Sans Unicode"/>
                <w:bCs/>
                <w:position w:val="0"/>
                <w:szCs w:val="20"/>
              </w:rPr>
            </w:pPr>
            <w:r>
              <w:t>153</w:t>
            </w:r>
          </w:p>
        </w:tc>
        <w:tc>
          <w:tcPr>
            <w:tcW w:w="822" w:type="dxa"/>
            <w:noWrap/>
            <w:vAlign w:val="bottom"/>
          </w:tcPr>
          <w:p w:rsidR="00C271A9" w:rsidRPr="002B19DA" w:rsidRDefault="00C271A9" w:rsidP="00333ED5">
            <w:pPr>
              <w:ind w:left="0"/>
              <w:jc w:val="right"/>
              <w:rPr>
                <w:rFonts w:cs="Lucida Sans Unicode"/>
                <w:bCs/>
                <w:position w:val="0"/>
                <w:szCs w:val="20"/>
              </w:rPr>
            </w:pPr>
            <w:r>
              <w:t>-7</w:t>
            </w:r>
          </w:p>
        </w:tc>
        <w:tc>
          <w:tcPr>
            <w:tcW w:w="823" w:type="dxa"/>
            <w:shd w:val="clear" w:color="auto" w:fill="CCCCCC"/>
            <w:noWrap/>
            <w:vAlign w:val="bottom"/>
          </w:tcPr>
          <w:p w:rsidR="00C271A9" w:rsidRPr="002B19DA" w:rsidRDefault="00C271A9" w:rsidP="00333ED5">
            <w:pPr>
              <w:ind w:left="0"/>
              <w:jc w:val="right"/>
              <w:rPr>
                <w:rFonts w:cs="Lucida Sans Unicode"/>
                <w:bCs/>
                <w:position w:val="0"/>
                <w:szCs w:val="20"/>
              </w:rPr>
            </w:pPr>
            <w:r>
              <w:t>291</w:t>
            </w:r>
          </w:p>
        </w:tc>
        <w:tc>
          <w:tcPr>
            <w:tcW w:w="822" w:type="dxa"/>
            <w:noWrap/>
            <w:vAlign w:val="bottom"/>
          </w:tcPr>
          <w:p w:rsidR="00C271A9" w:rsidRPr="002B19DA" w:rsidRDefault="00C271A9" w:rsidP="00333ED5">
            <w:pPr>
              <w:ind w:left="0"/>
              <w:jc w:val="right"/>
              <w:rPr>
                <w:rFonts w:cs="Lucida Sans Unicode"/>
                <w:bCs/>
                <w:position w:val="0"/>
                <w:szCs w:val="20"/>
              </w:rPr>
            </w:pPr>
            <w:r>
              <w:t>436</w:t>
            </w:r>
          </w:p>
        </w:tc>
        <w:tc>
          <w:tcPr>
            <w:tcW w:w="822" w:type="dxa"/>
            <w:noWrap/>
            <w:vAlign w:val="bottom"/>
          </w:tcPr>
          <w:p w:rsidR="00C271A9" w:rsidRPr="002B19DA" w:rsidRDefault="00C271A9" w:rsidP="00333ED5">
            <w:pPr>
              <w:ind w:left="0"/>
              <w:jc w:val="right"/>
              <w:rPr>
                <w:rFonts w:cs="Lucida Sans Unicode"/>
                <w:bCs/>
                <w:position w:val="0"/>
                <w:szCs w:val="20"/>
              </w:rPr>
            </w:pPr>
            <w:r>
              <w:t>-33</w:t>
            </w:r>
          </w:p>
        </w:tc>
      </w:tr>
      <w:tr w:rsidR="00C271A9" w:rsidTr="00333ED5">
        <w:trPr>
          <w:trHeight w:val="300"/>
        </w:trPr>
        <w:tc>
          <w:tcPr>
            <w:tcW w:w="4835" w:type="dxa"/>
            <w:noWrap/>
            <w:vAlign w:val="bottom"/>
          </w:tcPr>
          <w:p w:rsidR="00C271A9" w:rsidRPr="00C271A9" w:rsidRDefault="00C271A9" w:rsidP="00333ED5">
            <w:pPr>
              <w:ind w:left="0"/>
              <w:rPr>
                <w:rFonts w:cs="Lucida Sans Unicode"/>
                <w:position w:val="0"/>
                <w:szCs w:val="20"/>
                <w:lang w:val="en-US"/>
              </w:rPr>
            </w:pPr>
            <w:r w:rsidRPr="00C271A9">
              <w:rPr>
                <w:lang w:val="en-US"/>
              </w:rPr>
              <w:t>Income after taxes, discontinued operations</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w:t>
            </w:r>
          </w:p>
        </w:tc>
        <w:tc>
          <w:tcPr>
            <w:tcW w:w="822" w:type="dxa"/>
            <w:noWrap/>
            <w:vAlign w:val="bottom"/>
          </w:tcPr>
          <w:p w:rsidR="00C271A9" w:rsidRDefault="00C271A9" w:rsidP="00333ED5">
            <w:pPr>
              <w:ind w:left="0"/>
              <w:jc w:val="right"/>
              <w:rPr>
                <w:rFonts w:cs="Lucida Sans Unicode"/>
                <w:position w:val="0"/>
                <w:szCs w:val="20"/>
              </w:rPr>
            </w:pPr>
            <w:r>
              <w:t>35</w:t>
            </w:r>
          </w:p>
        </w:tc>
        <w:tc>
          <w:tcPr>
            <w:tcW w:w="822" w:type="dxa"/>
            <w:noWrap/>
            <w:vAlign w:val="bottom"/>
          </w:tcPr>
          <w:p w:rsidR="00C271A9" w:rsidRDefault="00C271A9" w:rsidP="00333ED5">
            <w:pPr>
              <w:ind w:left="0"/>
              <w:rPr>
                <w:rFonts w:cs="Lucida Sans Unicode"/>
                <w:position w:val="0"/>
                <w:szCs w:val="20"/>
              </w:rPr>
            </w:pPr>
          </w:p>
        </w:tc>
        <w:tc>
          <w:tcPr>
            <w:tcW w:w="823" w:type="dxa"/>
            <w:shd w:val="clear" w:color="auto" w:fill="CCCCCC"/>
            <w:noWrap/>
            <w:vAlign w:val="bottom"/>
          </w:tcPr>
          <w:p w:rsidR="00C271A9" w:rsidRDefault="00C271A9" w:rsidP="00333ED5">
            <w:pPr>
              <w:ind w:left="0"/>
              <w:jc w:val="right"/>
              <w:rPr>
                <w:rFonts w:cs="Lucida Sans Unicode"/>
                <w:position w:val="0"/>
                <w:szCs w:val="20"/>
              </w:rPr>
            </w:pPr>
            <w:r>
              <w:t>21</w:t>
            </w:r>
          </w:p>
        </w:tc>
        <w:tc>
          <w:tcPr>
            <w:tcW w:w="822" w:type="dxa"/>
            <w:noWrap/>
            <w:vAlign w:val="bottom"/>
          </w:tcPr>
          <w:p w:rsidR="00C271A9" w:rsidRDefault="00C271A9" w:rsidP="00333ED5">
            <w:pPr>
              <w:ind w:left="0"/>
              <w:jc w:val="right"/>
              <w:rPr>
                <w:rFonts w:cs="Lucida Sans Unicode"/>
                <w:position w:val="0"/>
                <w:szCs w:val="20"/>
              </w:rPr>
            </w:pPr>
            <w:r>
              <w:t>42</w:t>
            </w:r>
          </w:p>
        </w:tc>
        <w:tc>
          <w:tcPr>
            <w:tcW w:w="822" w:type="dxa"/>
            <w:noWrap/>
            <w:vAlign w:val="bottom"/>
          </w:tcPr>
          <w:p w:rsidR="00C271A9" w:rsidRDefault="00C271A9" w:rsidP="00333ED5">
            <w:pPr>
              <w:ind w:left="0"/>
              <w:rPr>
                <w:rFonts w:cs="Lucida Sans Unicode"/>
                <w:position w:val="0"/>
                <w:szCs w:val="20"/>
              </w:rPr>
            </w:pPr>
          </w:p>
        </w:tc>
      </w:tr>
      <w:tr w:rsidR="00C271A9" w:rsidTr="00333ED5">
        <w:trPr>
          <w:trHeight w:val="300"/>
        </w:trPr>
        <w:tc>
          <w:tcPr>
            <w:tcW w:w="4835" w:type="dxa"/>
            <w:noWrap/>
            <w:vAlign w:val="bottom"/>
          </w:tcPr>
          <w:p w:rsidR="00C271A9" w:rsidRPr="00E83E1D" w:rsidRDefault="00C271A9" w:rsidP="00333ED5">
            <w:pPr>
              <w:ind w:left="0"/>
              <w:rPr>
                <w:rFonts w:cs="Lucida Sans Unicode"/>
                <w:bCs/>
                <w:szCs w:val="20"/>
              </w:rPr>
            </w:pPr>
            <w:r>
              <w:t xml:space="preserve">Income after </w:t>
            </w:r>
            <w:proofErr w:type="spellStart"/>
            <w:r>
              <w:t>taxes</w:t>
            </w:r>
            <w:proofErr w:type="spellEnd"/>
          </w:p>
        </w:tc>
        <w:tc>
          <w:tcPr>
            <w:tcW w:w="823" w:type="dxa"/>
            <w:shd w:val="clear" w:color="auto" w:fill="CCCCCC"/>
            <w:noWrap/>
            <w:vAlign w:val="bottom"/>
          </w:tcPr>
          <w:p w:rsidR="00C271A9" w:rsidRPr="002B19DA" w:rsidRDefault="00C271A9" w:rsidP="00333ED5">
            <w:pPr>
              <w:ind w:left="0"/>
              <w:jc w:val="right"/>
              <w:rPr>
                <w:rFonts w:cs="Lucida Sans Unicode"/>
                <w:bCs/>
                <w:position w:val="0"/>
                <w:szCs w:val="20"/>
              </w:rPr>
            </w:pPr>
            <w:r>
              <w:t>142</w:t>
            </w:r>
          </w:p>
        </w:tc>
        <w:tc>
          <w:tcPr>
            <w:tcW w:w="822" w:type="dxa"/>
            <w:noWrap/>
            <w:vAlign w:val="bottom"/>
          </w:tcPr>
          <w:p w:rsidR="00C271A9" w:rsidRPr="002B19DA" w:rsidRDefault="00C271A9" w:rsidP="00333ED5">
            <w:pPr>
              <w:ind w:left="0"/>
              <w:jc w:val="right"/>
              <w:rPr>
                <w:rFonts w:cs="Lucida Sans Unicode"/>
                <w:bCs/>
                <w:position w:val="0"/>
                <w:szCs w:val="20"/>
              </w:rPr>
            </w:pPr>
            <w:r>
              <w:t>188</w:t>
            </w:r>
          </w:p>
        </w:tc>
        <w:tc>
          <w:tcPr>
            <w:tcW w:w="822" w:type="dxa"/>
            <w:noWrap/>
            <w:vAlign w:val="bottom"/>
          </w:tcPr>
          <w:p w:rsidR="00C271A9" w:rsidRPr="002B19DA" w:rsidRDefault="00C271A9" w:rsidP="00333ED5">
            <w:pPr>
              <w:ind w:left="0"/>
              <w:jc w:val="right"/>
              <w:rPr>
                <w:rFonts w:cs="Lucida Sans Unicode"/>
                <w:bCs/>
                <w:position w:val="0"/>
                <w:szCs w:val="20"/>
              </w:rPr>
            </w:pPr>
            <w:r>
              <w:t>-24</w:t>
            </w:r>
          </w:p>
        </w:tc>
        <w:tc>
          <w:tcPr>
            <w:tcW w:w="823" w:type="dxa"/>
            <w:shd w:val="clear" w:color="auto" w:fill="CCCCCC"/>
            <w:noWrap/>
            <w:vAlign w:val="bottom"/>
          </w:tcPr>
          <w:p w:rsidR="00C271A9" w:rsidRPr="002B19DA" w:rsidRDefault="00C271A9" w:rsidP="00333ED5">
            <w:pPr>
              <w:ind w:left="0"/>
              <w:jc w:val="right"/>
              <w:rPr>
                <w:rFonts w:cs="Lucida Sans Unicode"/>
                <w:position w:val="0"/>
                <w:szCs w:val="20"/>
              </w:rPr>
            </w:pPr>
            <w:r>
              <w:t>312</w:t>
            </w:r>
          </w:p>
        </w:tc>
        <w:tc>
          <w:tcPr>
            <w:tcW w:w="822" w:type="dxa"/>
            <w:noWrap/>
            <w:vAlign w:val="bottom"/>
          </w:tcPr>
          <w:p w:rsidR="00C271A9" w:rsidRPr="002B19DA" w:rsidRDefault="00C271A9" w:rsidP="00333ED5">
            <w:pPr>
              <w:ind w:left="0"/>
              <w:jc w:val="right"/>
              <w:rPr>
                <w:rFonts w:cs="Lucida Sans Unicode"/>
                <w:position w:val="0"/>
                <w:szCs w:val="20"/>
              </w:rPr>
            </w:pPr>
            <w:r>
              <w:t>478</w:t>
            </w:r>
          </w:p>
        </w:tc>
        <w:tc>
          <w:tcPr>
            <w:tcW w:w="822" w:type="dxa"/>
            <w:noWrap/>
            <w:vAlign w:val="bottom"/>
          </w:tcPr>
          <w:p w:rsidR="00C271A9" w:rsidRPr="002B19DA" w:rsidRDefault="00C271A9" w:rsidP="00333ED5">
            <w:pPr>
              <w:ind w:left="0"/>
              <w:jc w:val="right"/>
              <w:rPr>
                <w:rFonts w:cs="Lucida Sans Unicode"/>
                <w:position w:val="0"/>
                <w:szCs w:val="20"/>
              </w:rPr>
            </w:pPr>
            <w:r>
              <w:t>-35</w:t>
            </w:r>
          </w:p>
        </w:tc>
      </w:tr>
      <w:tr w:rsidR="00C271A9" w:rsidTr="00333ED5">
        <w:trPr>
          <w:trHeight w:val="255"/>
        </w:trPr>
        <w:tc>
          <w:tcPr>
            <w:tcW w:w="4835" w:type="dxa"/>
            <w:noWrap/>
            <w:vAlign w:val="bottom"/>
          </w:tcPr>
          <w:p w:rsidR="00C271A9" w:rsidRPr="00C271A9" w:rsidRDefault="00C271A9" w:rsidP="00333ED5">
            <w:pPr>
              <w:ind w:left="0"/>
              <w:rPr>
                <w:rFonts w:cs="Lucida Sans Unicode"/>
                <w:position w:val="0"/>
                <w:szCs w:val="20"/>
                <w:lang w:val="en-US"/>
              </w:rPr>
            </w:pPr>
            <w:r w:rsidRPr="00C271A9">
              <w:rPr>
                <w:lang w:val="en-US"/>
              </w:rPr>
              <w:t>Thereof attributable to non-controlling interests</w:t>
            </w:r>
          </w:p>
        </w:tc>
        <w:tc>
          <w:tcPr>
            <w:tcW w:w="823" w:type="dxa"/>
            <w:shd w:val="clear" w:color="auto" w:fill="CCCCCC"/>
            <w:noWrap/>
            <w:vAlign w:val="bottom"/>
          </w:tcPr>
          <w:p w:rsidR="00C271A9" w:rsidRDefault="00C271A9" w:rsidP="00333ED5">
            <w:pPr>
              <w:ind w:left="0"/>
              <w:jc w:val="right"/>
              <w:rPr>
                <w:rFonts w:cs="Lucida Sans Unicode"/>
                <w:position w:val="0"/>
                <w:szCs w:val="20"/>
              </w:rPr>
            </w:pPr>
            <w:r>
              <w:t>3</w:t>
            </w:r>
          </w:p>
        </w:tc>
        <w:tc>
          <w:tcPr>
            <w:tcW w:w="822" w:type="dxa"/>
            <w:noWrap/>
            <w:vAlign w:val="bottom"/>
          </w:tcPr>
          <w:p w:rsidR="00C271A9" w:rsidRDefault="00C271A9" w:rsidP="00333ED5">
            <w:pPr>
              <w:ind w:left="0"/>
              <w:jc w:val="right"/>
              <w:rPr>
                <w:rFonts w:cs="Lucida Sans Unicode"/>
                <w:position w:val="0"/>
                <w:szCs w:val="20"/>
              </w:rPr>
            </w:pPr>
            <w:r>
              <w:t>-5</w:t>
            </w:r>
          </w:p>
        </w:tc>
        <w:tc>
          <w:tcPr>
            <w:tcW w:w="822" w:type="dxa"/>
            <w:noWrap/>
            <w:vAlign w:val="bottom"/>
          </w:tcPr>
          <w:p w:rsidR="00C271A9" w:rsidRDefault="00C271A9" w:rsidP="00333ED5">
            <w:pPr>
              <w:ind w:left="0"/>
              <w:rPr>
                <w:rFonts w:cs="Lucida Sans Unicode"/>
                <w:position w:val="0"/>
                <w:szCs w:val="20"/>
              </w:rPr>
            </w:pPr>
          </w:p>
        </w:tc>
        <w:tc>
          <w:tcPr>
            <w:tcW w:w="823" w:type="dxa"/>
            <w:shd w:val="clear" w:color="auto" w:fill="CCCCCC"/>
            <w:noWrap/>
            <w:vAlign w:val="bottom"/>
          </w:tcPr>
          <w:p w:rsidR="00C271A9" w:rsidRDefault="00C271A9" w:rsidP="00333ED5">
            <w:pPr>
              <w:ind w:left="0"/>
              <w:jc w:val="right"/>
              <w:rPr>
                <w:rFonts w:cs="Lucida Sans Unicode"/>
                <w:bCs/>
                <w:position w:val="0"/>
                <w:szCs w:val="20"/>
              </w:rPr>
            </w:pPr>
            <w:r>
              <w:t>7</w:t>
            </w:r>
          </w:p>
        </w:tc>
        <w:tc>
          <w:tcPr>
            <w:tcW w:w="822" w:type="dxa"/>
            <w:noWrap/>
            <w:vAlign w:val="bottom"/>
          </w:tcPr>
          <w:p w:rsidR="00C271A9" w:rsidRDefault="00C271A9" w:rsidP="00333ED5">
            <w:pPr>
              <w:ind w:left="0"/>
              <w:jc w:val="right"/>
              <w:rPr>
                <w:rFonts w:cs="Lucida Sans Unicode"/>
                <w:bCs/>
                <w:position w:val="0"/>
                <w:szCs w:val="20"/>
              </w:rPr>
            </w:pPr>
            <w:r>
              <w:t>-8</w:t>
            </w:r>
          </w:p>
        </w:tc>
        <w:tc>
          <w:tcPr>
            <w:tcW w:w="822" w:type="dxa"/>
            <w:noWrap/>
            <w:vAlign w:val="bottom"/>
          </w:tcPr>
          <w:p w:rsidR="00C271A9" w:rsidRDefault="00C271A9" w:rsidP="00333ED5">
            <w:pPr>
              <w:ind w:left="0"/>
              <w:jc w:val="right"/>
              <w:rPr>
                <w:rFonts w:cs="Lucida Sans Unicode"/>
                <w:b/>
                <w:bCs/>
                <w:position w:val="0"/>
                <w:szCs w:val="20"/>
              </w:rPr>
            </w:pPr>
          </w:p>
        </w:tc>
      </w:tr>
      <w:tr w:rsidR="00C271A9" w:rsidRPr="00DA2E4E" w:rsidTr="00333ED5">
        <w:trPr>
          <w:trHeight w:val="255"/>
        </w:trPr>
        <w:tc>
          <w:tcPr>
            <w:tcW w:w="4835" w:type="dxa"/>
            <w:noWrap/>
            <w:vAlign w:val="bottom"/>
          </w:tcPr>
          <w:p w:rsidR="00C271A9" w:rsidRPr="00DA2E4E" w:rsidRDefault="00C271A9" w:rsidP="00333ED5">
            <w:pPr>
              <w:ind w:left="0"/>
              <w:rPr>
                <w:rFonts w:cs="Lucida Sans Unicode"/>
                <w:b/>
                <w:position w:val="0"/>
                <w:szCs w:val="20"/>
              </w:rPr>
            </w:pPr>
            <w:r>
              <w:rPr>
                <w:b/>
                <w:position w:val="0"/>
              </w:rPr>
              <w:t xml:space="preserve">Net </w:t>
            </w:r>
            <w:proofErr w:type="spellStart"/>
            <w:r>
              <w:rPr>
                <w:b/>
                <w:position w:val="0"/>
              </w:rPr>
              <w:t>income</w:t>
            </w:r>
            <w:proofErr w:type="spellEnd"/>
          </w:p>
        </w:tc>
        <w:tc>
          <w:tcPr>
            <w:tcW w:w="823" w:type="dxa"/>
            <w:shd w:val="clear" w:color="auto" w:fill="CCCCCC"/>
            <w:noWrap/>
            <w:vAlign w:val="bottom"/>
          </w:tcPr>
          <w:p w:rsidR="00C271A9" w:rsidRPr="00F73E17" w:rsidRDefault="00C271A9" w:rsidP="00333ED5">
            <w:pPr>
              <w:ind w:left="0"/>
              <w:jc w:val="right"/>
              <w:rPr>
                <w:rFonts w:cs="Lucida Sans Unicode"/>
                <w:bCs/>
                <w:position w:val="0"/>
                <w:szCs w:val="20"/>
              </w:rPr>
            </w:pPr>
            <w:r>
              <w:t>139</w:t>
            </w:r>
          </w:p>
        </w:tc>
        <w:tc>
          <w:tcPr>
            <w:tcW w:w="822" w:type="dxa"/>
            <w:noWrap/>
            <w:vAlign w:val="bottom"/>
          </w:tcPr>
          <w:p w:rsidR="00C271A9" w:rsidRPr="00F73E17" w:rsidRDefault="00C271A9" w:rsidP="00333ED5">
            <w:pPr>
              <w:ind w:left="0"/>
              <w:jc w:val="right"/>
              <w:rPr>
                <w:rFonts w:cs="Lucida Sans Unicode"/>
                <w:bCs/>
                <w:position w:val="0"/>
                <w:szCs w:val="20"/>
              </w:rPr>
            </w:pPr>
            <w:r>
              <w:t>193</w:t>
            </w:r>
          </w:p>
        </w:tc>
        <w:tc>
          <w:tcPr>
            <w:tcW w:w="822" w:type="dxa"/>
            <w:noWrap/>
            <w:vAlign w:val="bottom"/>
          </w:tcPr>
          <w:p w:rsidR="00C271A9" w:rsidRPr="00F73E17" w:rsidRDefault="00C271A9" w:rsidP="00333ED5">
            <w:pPr>
              <w:ind w:left="0"/>
              <w:jc w:val="right"/>
              <w:rPr>
                <w:rFonts w:cs="Lucida Sans Unicode"/>
                <w:bCs/>
                <w:position w:val="0"/>
                <w:szCs w:val="20"/>
              </w:rPr>
            </w:pPr>
            <w:r>
              <w:t>-28</w:t>
            </w:r>
          </w:p>
        </w:tc>
        <w:tc>
          <w:tcPr>
            <w:tcW w:w="823" w:type="dxa"/>
            <w:shd w:val="clear" w:color="auto" w:fill="CCCCCC"/>
            <w:noWrap/>
            <w:vAlign w:val="bottom"/>
          </w:tcPr>
          <w:p w:rsidR="00C271A9" w:rsidRPr="00F73E17" w:rsidRDefault="00C271A9" w:rsidP="00333ED5">
            <w:pPr>
              <w:ind w:left="0"/>
              <w:jc w:val="right"/>
              <w:rPr>
                <w:rFonts w:cs="Lucida Sans Unicode"/>
                <w:bCs/>
                <w:position w:val="0"/>
                <w:szCs w:val="20"/>
              </w:rPr>
            </w:pPr>
            <w:r>
              <w:t>305</w:t>
            </w:r>
          </w:p>
        </w:tc>
        <w:tc>
          <w:tcPr>
            <w:tcW w:w="822" w:type="dxa"/>
            <w:noWrap/>
            <w:vAlign w:val="bottom"/>
          </w:tcPr>
          <w:p w:rsidR="00C271A9" w:rsidRPr="00F73E17" w:rsidRDefault="00C271A9" w:rsidP="00333ED5">
            <w:pPr>
              <w:ind w:left="0"/>
              <w:jc w:val="right"/>
              <w:rPr>
                <w:rFonts w:cs="Lucida Sans Unicode"/>
                <w:bCs/>
                <w:position w:val="0"/>
                <w:szCs w:val="20"/>
              </w:rPr>
            </w:pPr>
            <w:r>
              <w:t>486</w:t>
            </w:r>
          </w:p>
        </w:tc>
        <w:tc>
          <w:tcPr>
            <w:tcW w:w="822" w:type="dxa"/>
            <w:noWrap/>
            <w:vAlign w:val="bottom"/>
          </w:tcPr>
          <w:p w:rsidR="00C271A9" w:rsidRPr="00F73E17" w:rsidRDefault="00C271A9" w:rsidP="00333ED5">
            <w:pPr>
              <w:ind w:left="0"/>
              <w:jc w:val="right"/>
              <w:rPr>
                <w:rFonts w:cs="Lucida Sans Unicode"/>
                <w:bCs/>
                <w:position w:val="0"/>
                <w:szCs w:val="20"/>
              </w:rPr>
            </w:pPr>
            <w:r>
              <w:t>-37</w:t>
            </w:r>
          </w:p>
        </w:tc>
      </w:tr>
      <w:tr w:rsidR="00C271A9" w:rsidRPr="00DA2E4E" w:rsidTr="00333ED5">
        <w:trPr>
          <w:trHeight w:val="255"/>
        </w:trPr>
        <w:tc>
          <w:tcPr>
            <w:tcW w:w="4835" w:type="dxa"/>
            <w:noWrap/>
            <w:vAlign w:val="bottom"/>
          </w:tcPr>
          <w:p w:rsidR="00C271A9" w:rsidRPr="00DA2E4E" w:rsidRDefault="00C271A9" w:rsidP="00333ED5">
            <w:pPr>
              <w:ind w:left="0"/>
              <w:rPr>
                <w:rFonts w:cs="Lucida Sans Unicode"/>
                <w:b/>
                <w:position w:val="0"/>
                <w:szCs w:val="20"/>
              </w:rPr>
            </w:pPr>
            <w:proofErr w:type="spellStart"/>
            <w:r>
              <w:rPr>
                <w:b/>
                <w:position w:val="0"/>
              </w:rPr>
              <w:t>Adjusted</w:t>
            </w:r>
            <w:proofErr w:type="spellEnd"/>
            <w:r>
              <w:rPr>
                <w:b/>
                <w:position w:val="0"/>
              </w:rPr>
              <w:t xml:space="preserve"> </w:t>
            </w:r>
            <w:proofErr w:type="spellStart"/>
            <w:r>
              <w:rPr>
                <w:b/>
                <w:position w:val="0"/>
              </w:rPr>
              <w:t>net</w:t>
            </w:r>
            <w:proofErr w:type="spellEnd"/>
            <w:r>
              <w:rPr>
                <w:b/>
                <w:position w:val="0"/>
              </w:rPr>
              <w:t xml:space="preserve"> </w:t>
            </w:r>
            <w:proofErr w:type="spellStart"/>
            <w:r>
              <w:rPr>
                <w:b/>
                <w:position w:val="0"/>
              </w:rPr>
              <w:t>income</w:t>
            </w:r>
            <w:proofErr w:type="spellEnd"/>
          </w:p>
        </w:tc>
        <w:tc>
          <w:tcPr>
            <w:tcW w:w="823" w:type="dxa"/>
            <w:shd w:val="clear" w:color="auto" w:fill="CCCCCC"/>
            <w:noWrap/>
            <w:vAlign w:val="bottom"/>
          </w:tcPr>
          <w:p w:rsidR="00C271A9" w:rsidRPr="00DA2E4E" w:rsidRDefault="00C271A9" w:rsidP="00333ED5">
            <w:pPr>
              <w:ind w:left="0"/>
              <w:jc w:val="right"/>
              <w:rPr>
                <w:rFonts w:cs="Lucida Sans Unicode"/>
                <w:b/>
                <w:bCs/>
                <w:position w:val="0"/>
                <w:szCs w:val="20"/>
              </w:rPr>
            </w:pPr>
            <w:r>
              <w:rPr>
                <w:b/>
                <w:position w:val="0"/>
              </w:rPr>
              <w:t>174</w:t>
            </w:r>
          </w:p>
        </w:tc>
        <w:tc>
          <w:tcPr>
            <w:tcW w:w="822" w:type="dxa"/>
            <w:noWrap/>
            <w:vAlign w:val="bottom"/>
          </w:tcPr>
          <w:p w:rsidR="00C271A9" w:rsidRPr="00DA2E4E" w:rsidRDefault="00C271A9" w:rsidP="00333ED5">
            <w:pPr>
              <w:ind w:left="0"/>
              <w:jc w:val="right"/>
              <w:rPr>
                <w:rFonts w:cs="Lucida Sans Unicode"/>
                <w:b/>
                <w:bCs/>
                <w:position w:val="0"/>
                <w:szCs w:val="20"/>
              </w:rPr>
            </w:pPr>
            <w:r>
              <w:rPr>
                <w:b/>
                <w:position w:val="0"/>
              </w:rPr>
              <w:t>194</w:t>
            </w:r>
          </w:p>
        </w:tc>
        <w:tc>
          <w:tcPr>
            <w:tcW w:w="822" w:type="dxa"/>
            <w:noWrap/>
            <w:vAlign w:val="bottom"/>
          </w:tcPr>
          <w:p w:rsidR="00C271A9" w:rsidRPr="00DA2E4E" w:rsidRDefault="00C271A9" w:rsidP="00333ED5">
            <w:pPr>
              <w:ind w:left="0"/>
              <w:jc w:val="right"/>
              <w:rPr>
                <w:rFonts w:cs="Lucida Sans Unicode"/>
                <w:b/>
                <w:bCs/>
                <w:position w:val="0"/>
                <w:szCs w:val="20"/>
              </w:rPr>
            </w:pPr>
            <w:r>
              <w:rPr>
                <w:b/>
                <w:position w:val="0"/>
              </w:rPr>
              <w:t>-10</w:t>
            </w:r>
          </w:p>
        </w:tc>
        <w:tc>
          <w:tcPr>
            <w:tcW w:w="823" w:type="dxa"/>
            <w:shd w:val="clear" w:color="auto" w:fill="CCCCCC"/>
            <w:noWrap/>
            <w:vAlign w:val="bottom"/>
          </w:tcPr>
          <w:p w:rsidR="00C271A9" w:rsidRPr="00DA2E4E" w:rsidRDefault="00C271A9" w:rsidP="00333ED5">
            <w:pPr>
              <w:ind w:left="0"/>
              <w:jc w:val="right"/>
              <w:rPr>
                <w:rFonts w:cs="Lucida Sans Unicode"/>
                <w:b/>
                <w:bCs/>
                <w:position w:val="0"/>
                <w:szCs w:val="20"/>
              </w:rPr>
            </w:pPr>
            <w:r>
              <w:rPr>
                <w:b/>
                <w:position w:val="0"/>
              </w:rPr>
              <w:t>361</w:t>
            </w:r>
          </w:p>
        </w:tc>
        <w:tc>
          <w:tcPr>
            <w:tcW w:w="822" w:type="dxa"/>
            <w:noWrap/>
            <w:vAlign w:val="bottom"/>
          </w:tcPr>
          <w:p w:rsidR="00C271A9" w:rsidRPr="00DA2E4E" w:rsidRDefault="00C271A9" w:rsidP="00333ED5">
            <w:pPr>
              <w:ind w:left="0"/>
              <w:jc w:val="right"/>
              <w:rPr>
                <w:rFonts w:cs="Lucida Sans Unicode"/>
                <w:b/>
                <w:bCs/>
                <w:position w:val="0"/>
                <w:szCs w:val="20"/>
              </w:rPr>
            </w:pPr>
            <w:r>
              <w:rPr>
                <w:b/>
                <w:position w:val="0"/>
              </w:rPr>
              <w:t>499</w:t>
            </w:r>
          </w:p>
        </w:tc>
        <w:tc>
          <w:tcPr>
            <w:tcW w:w="822" w:type="dxa"/>
            <w:noWrap/>
            <w:vAlign w:val="bottom"/>
          </w:tcPr>
          <w:p w:rsidR="00C271A9" w:rsidRPr="00DA2E4E" w:rsidRDefault="00C271A9" w:rsidP="00333ED5">
            <w:pPr>
              <w:ind w:left="0"/>
              <w:jc w:val="right"/>
              <w:rPr>
                <w:rFonts w:cs="Lucida Sans Unicode"/>
                <w:b/>
                <w:bCs/>
                <w:position w:val="0"/>
                <w:szCs w:val="20"/>
              </w:rPr>
            </w:pPr>
            <w:r>
              <w:rPr>
                <w:b/>
                <w:position w:val="0"/>
              </w:rPr>
              <w:t>-28</w:t>
            </w:r>
          </w:p>
        </w:tc>
      </w:tr>
    </w:tbl>
    <w:p w:rsidR="00C271A9" w:rsidRPr="0028315E" w:rsidRDefault="00C271A9" w:rsidP="00C271A9">
      <w:pPr>
        <w:spacing w:line="300" w:lineRule="exact"/>
        <w:ind w:left="0"/>
        <w:outlineLvl w:val="0"/>
        <w:rPr>
          <w:rFonts w:cs="Lucida Sans Unicode"/>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C271A9" w:rsidRDefault="00C271A9" w:rsidP="00C271A9">
      <w:pPr>
        <w:spacing w:line="300" w:lineRule="exact"/>
        <w:ind w:left="0"/>
        <w:outlineLvl w:val="0"/>
        <w:rPr>
          <w:rFonts w:cs="Lucida Sans Unicode"/>
          <w:b/>
          <w:bCs/>
          <w:sz w:val="20"/>
          <w:szCs w:val="20"/>
        </w:rPr>
      </w:pPr>
    </w:p>
    <w:p w:rsidR="00C271A9" w:rsidRDefault="00C271A9" w:rsidP="00C271A9">
      <w:pPr>
        <w:spacing w:after="120" w:line="300" w:lineRule="atLeast"/>
        <w:ind w:left="0"/>
        <w:rPr>
          <w:rFonts w:cs="Lucida Sans Unicode"/>
          <w:b/>
          <w:bCs/>
          <w:sz w:val="20"/>
          <w:szCs w:val="20"/>
        </w:rPr>
      </w:pPr>
    </w:p>
    <w:p w:rsidR="00C271A9" w:rsidRDefault="00C271A9" w:rsidP="00C271A9">
      <w:pPr>
        <w:spacing w:after="120" w:line="300" w:lineRule="atLeast"/>
        <w:ind w:left="0"/>
        <w:rPr>
          <w:rFonts w:cs="Lucida Sans Unicode"/>
          <w:b/>
          <w:bCs/>
          <w:sz w:val="20"/>
          <w:szCs w:val="20"/>
        </w:rPr>
      </w:pPr>
      <w:r>
        <w:rPr>
          <w:b/>
          <w:sz w:val="20"/>
        </w:rPr>
        <w:t xml:space="preserve">Segment </w:t>
      </w:r>
      <w:proofErr w:type="spellStart"/>
      <w:r>
        <w:rPr>
          <w:b/>
          <w:sz w:val="20"/>
        </w:rPr>
        <w:t>performance</w:t>
      </w:r>
      <w:proofErr w:type="spellEnd"/>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C271A9" w:rsidTr="00333ED5">
        <w:trPr>
          <w:trHeight w:val="271"/>
        </w:trPr>
        <w:tc>
          <w:tcPr>
            <w:tcW w:w="3193" w:type="dxa"/>
            <w:tcBorders>
              <w:top w:val="single" w:sz="4" w:space="0" w:color="auto"/>
              <w:left w:val="single" w:sz="4" w:space="0" w:color="auto"/>
              <w:bottom w:val="nil"/>
              <w:right w:val="single" w:sz="4" w:space="0" w:color="auto"/>
            </w:tcBorders>
            <w:noWrap/>
            <w:vAlign w:val="center"/>
          </w:tcPr>
          <w:p w:rsidR="00C271A9" w:rsidRDefault="00C271A9" w:rsidP="00333ED5">
            <w:pPr>
              <w:ind w:left="0"/>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000000"/>
            </w:tcBorders>
            <w:noWrap/>
            <w:vAlign w:val="bottom"/>
          </w:tcPr>
          <w:p w:rsidR="00C271A9" w:rsidRDefault="00C271A9" w:rsidP="00333ED5">
            <w:pPr>
              <w:ind w:left="0"/>
              <w:jc w:val="center"/>
              <w:rPr>
                <w:rFonts w:cs="Lucida Sans Unicode"/>
                <w:b/>
                <w:bCs/>
                <w:szCs w:val="20"/>
              </w:rPr>
            </w:pPr>
            <w:proofErr w:type="spellStart"/>
            <w:r>
              <w:rPr>
                <w:b/>
              </w:rPr>
              <w:t>Sales</w:t>
            </w:r>
            <w:proofErr w:type="spellEnd"/>
            <w:r>
              <w:rPr>
                <w:b/>
              </w:rPr>
              <w:t xml:space="preserve"> Q2 </w:t>
            </w:r>
          </w:p>
        </w:tc>
        <w:tc>
          <w:tcPr>
            <w:tcW w:w="3316" w:type="dxa"/>
            <w:gridSpan w:val="4"/>
            <w:tcBorders>
              <w:top w:val="single" w:sz="4" w:space="0" w:color="auto"/>
              <w:left w:val="nil"/>
              <w:bottom w:val="single" w:sz="4" w:space="0" w:color="auto"/>
              <w:right w:val="single" w:sz="4" w:space="0" w:color="auto"/>
            </w:tcBorders>
            <w:noWrap/>
            <w:vAlign w:val="bottom"/>
          </w:tcPr>
          <w:p w:rsidR="00C271A9" w:rsidRDefault="00C271A9" w:rsidP="00333ED5">
            <w:pPr>
              <w:ind w:left="0"/>
              <w:jc w:val="center"/>
              <w:rPr>
                <w:rFonts w:cs="Lucida Sans Unicode"/>
                <w:b/>
                <w:bCs/>
                <w:szCs w:val="20"/>
              </w:rPr>
            </w:pPr>
            <w:proofErr w:type="spellStart"/>
            <w:r>
              <w:rPr>
                <w:b/>
              </w:rPr>
              <w:t>Adjusted</w:t>
            </w:r>
            <w:proofErr w:type="spellEnd"/>
            <w:r>
              <w:rPr>
                <w:b/>
              </w:rPr>
              <w:t xml:space="preserve"> EBITDA Q2</w:t>
            </w:r>
          </w:p>
        </w:tc>
      </w:tr>
      <w:tr w:rsidR="00C271A9" w:rsidTr="00333ED5">
        <w:trPr>
          <w:trHeight w:val="255"/>
        </w:trPr>
        <w:tc>
          <w:tcPr>
            <w:tcW w:w="3193" w:type="dxa"/>
            <w:tcBorders>
              <w:top w:val="nil"/>
              <w:left w:val="single" w:sz="4" w:space="0" w:color="auto"/>
              <w:bottom w:val="nil"/>
              <w:right w:val="single" w:sz="4" w:space="0" w:color="auto"/>
            </w:tcBorders>
            <w:noWrap/>
            <w:vAlign w:val="center"/>
          </w:tcPr>
          <w:p w:rsidR="00C271A9" w:rsidRDefault="00C271A9" w:rsidP="00333ED5">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C271A9" w:rsidRDefault="00C271A9" w:rsidP="00333ED5">
            <w:pPr>
              <w:ind w:left="0"/>
              <w:jc w:val="center"/>
              <w:rPr>
                <w:rFonts w:cs="Lucida Sans Unicode"/>
                <w:b/>
                <w:bCs/>
                <w:szCs w:val="20"/>
              </w:rPr>
            </w:pPr>
            <w:r>
              <w:rPr>
                <w:b/>
              </w:rPr>
              <w:t>Q2 2014</w:t>
            </w:r>
          </w:p>
        </w:tc>
        <w:tc>
          <w:tcPr>
            <w:tcW w:w="1125"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szCs w:val="20"/>
              </w:rPr>
            </w:pPr>
            <w:r>
              <w:rPr>
                <w:b/>
              </w:rPr>
              <w:t>Q2 2013</w:t>
            </w:r>
          </w:p>
        </w:tc>
        <w:tc>
          <w:tcPr>
            <w:tcW w:w="1125"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C271A9" w:rsidRDefault="00C271A9" w:rsidP="00333ED5">
            <w:pPr>
              <w:ind w:left="0"/>
              <w:jc w:val="center"/>
              <w:rPr>
                <w:rFonts w:cs="Lucida Sans Unicode"/>
                <w:b/>
                <w:bCs/>
                <w:szCs w:val="20"/>
              </w:rPr>
            </w:pPr>
            <w:r>
              <w:rPr>
                <w:b/>
              </w:rPr>
              <w:t>Q2 2014</w:t>
            </w:r>
          </w:p>
        </w:tc>
        <w:tc>
          <w:tcPr>
            <w:tcW w:w="1125" w:type="dxa"/>
            <w:gridSpan w:val="2"/>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szCs w:val="20"/>
              </w:rPr>
            </w:pPr>
            <w:r>
              <w:rPr>
                <w:b/>
              </w:rPr>
              <w:t>Q2 2013</w:t>
            </w:r>
          </w:p>
        </w:tc>
        <w:tc>
          <w:tcPr>
            <w:tcW w:w="1077"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szCs w:val="20"/>
              </w:rPr>
            </w:pPr>
            <w:r>
              <w:rPr>
                <w:b/>
              </w:rPr>
              <w:t>Change</w:t>
            </w:r>
          </w:p>
        </w:tc>
      </w:tr>
      <w:tr w:rsidR="00C271A9" w:rsidTr="00333ED5">
        <w:trPr>
          <w:trHeight w:val="255"/>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C271A9" w:rsidRDefault="00C271A9" w:rsidP="00333ED5">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C271A9" w:rsidRDefault="00C271A9" w:rsidP="00333ED5">
            <w:pPr>
              <w:ind w:left="0"/>
              <w:jc w:val="center"/>
              <w:rPr>
                <w:rFonts w:cs="Lucida Sans Unicode"/>
                <w:b/>
                <w:bCs/>
                <w:szCs w:val="20"/>
              </w:rPr>
            </w:pPr>
            <w:r>
              <w:rPr>
                <w:b/>
              </w:rPr>
              <w:t>€ </w:t>
            </w:r>
            <w:proofErr w:type="spellStart"/>
            <w:r>
              <w:rPr>
                <w:b/>
              </w:rPr>
              <w:t>million</w:t>
            </w:r>
            <w:proofErr w:type="spellEnd"/>
          </w:p>
        </w:tc>
        <w:tc>
          <w:tcPr>
            <w:tcW w:w="1125" w:type="dxa"/>
            <w:gridSpan w:val="2"/>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szCs w:val="20"/>
              </w:rPr>
            </w:pPr>
            <w:r>
              <w:rPr>
                <w:b/>
              </w:rPr>
              <w:t>€ </w:t>
            </w:r>
            <w:proofErr w:type="spellStart"/>
            <w:r>
              <w:rPr>
                <w:b/>
              </w:rPr>
              <w:t>million</w:t>
            </w:r>
            <w:proofErr w:type="spellEnd"/>
          </w:p>
        </w:tc>
        <w:tc>
          <w:tcPr>
            <w:tcW w:w="1077"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szCs w:val="20"/>
              </w:rPr>
            </w:pPr>
            <w:r>
              <w:rPr>
                <w:b/>
              </w:rPr>
              <w:t>in %</w:t>
            </w:r>
          </w:p>
        </w:tc>
      </w:tr>
      <w:tr w:rsidR="00C271A9" w:rsidTr="00333ED5">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1,003</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1,049</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188</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227</w:t>
            </w:r>
          </w:p>
        </w:tc>
        <w:tc>
          <w:tcPr>
            <w:tcW w:w="1077"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-17</w:t>
            </w:r>
          </w:p>
        </w:tc>
      </w:tr>
      <w:tr w:rsidR="00C271A9" w:rsidTr="00333ED5">
        <w:trPr>
          <w:trHeight w:val="300"/>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830</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801</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191</w:t>
            </w:r>
          </w:p>
        </w:tc>
        <w:tc>
          <w:tcPr>
            <w:tcW w:w="1125" w:type="dxa"/>
            <w:gridSpan w:val="2"/>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174</w:t>
            </w:r>
          </w:p>
        </w:tc>
        <w:tc>
          <w:tcPr>
            <w:tcW w:w="1077"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10</w:t>
            </w:r>
          </w:p>
        </w:tc>
      </w:tr>
      <w:tr w:rsidR="00C271A9" w:rsidTr="00333ED5">
        <w:trPr>
          <w:trHeight w:val="300"/>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1,174</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1,129</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112</w:t>
            </w:r>
          </w:p>
        </w:tc>
        <w:tc>
          <w:tcPr>
            <w:tcW w:w="1125" w:type="dxa"/>
            <w:gridSpan w:val="2"/>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128</w:t>
            </w:r>
          </w:p>
        </w:tc>
        <w:tc>
          <w:tcPr>
            <w:tcW w:w="1077"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-13</w:t>
            </w:r>
          </w:p>
        </w:tc>
      </w:tr>
      <w:tr w:rsidR="00C271A9" w:rsidTr="00333ED5">
        <w:trPr>
          <w:trHeight w:val="300"/>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220</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210</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54</w:t>
            </w:r>
          </w:p>
        </w:tc>
        <w:tc>
          <w:tcPr>
            <w:tcW w:w="1125" w:type="dxa"/>
            <w:gridSpan w:val="2"/>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53</w:t>
            </w:r>
          </w:p>
        </w:tc>
        <w:tc>
          <w:tcPr>
            <w:tcW w:w="1077"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2</w:t>
            </w:r>
          </w:p>
        </w:tc>
      </w:tr>
      <w:tr w:rsidR="00C271A9" w:rsidTr="00333ED5">
        <w:trPr>
          <w:trHeight w:val="300"/>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Pr="00A03972" w:rsidRDefault="00C271A9" w:rsidP="00333ED5">
            <w:pPr>
              <w:ind w:left="0"/>
              <w:jc w:val="right"/>
              <w:rPr>
                <w:rFonts w:cs="Lucida Sans Unicode"/>
                <w:position w:val="0"/>
                <w:szCs w:val="20"/>
              </w:rPr>
            </w:pPr>
            <w:r>
              <w:t>20</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20</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-72</w:t>
            </w:r>
          </w:p>
        </w:tc>
        <w:tc>
          <w:tcPr>
            <w:tcW w:w="1125" w:type="dxa"/>
            <w:gridSpan w:val="2"/>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-73</w:t>
            </w:r>
          </w:p>
        </w:tc>
        <w:tc>
          <w:tcPr>
            <w:tcW w:w="1077"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w:t>
            </w:r>
          </w:p>
        </w:tc>
      </w:tr>
      <w:tr w:rsidR="00C271A9" w:rsidRPr="00DA2E4E" w:rsidTr="00333ED5">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Pr="00DA2E4E" w:rsidRDefault="00C271A9" w:rsidP="00333ED5">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Pr="00AB1DB9" w:rsidRDefault="00C271A9" w:rsidP="00333ED5">
            <w:pPr>
              <w:ind w:left="0"/>
              <w:jc w:val="right"/>
              <w:rPr>
                <w:rFonts w:cs="Lucida Sans Unicode"/>
                <w:bCs/>
                <w:position w:val="0"/>
                <w:szCs w:val="20"/>
              </w:rPr>
            </w:pPr>
            <w:r>
              <w:t>3,247</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Pr="00AB1DB9" w:rsidRDefault="00C271A9" w:rsidP="00333ED5">
            <w:pPr>
              <w:ind w:left="0"/>
              <w:jc w:val="right"/>
              <w:rPr>
                <w:rFonts w:cs="Lucida Sans Unicode"/>
                <w:bCs/>
                <w:position w:val="0"/>
                <w:szCs w:val="20"/>
              </w:rPr>
            </w:pPr>
            <w:r>
              <w:t>3,209</w:t>
            </w:r>
          </w:p>
        </w:tc>
        <w:tc>
          <w:tcPr>
            <w:tcW w:w="1125" w:type="dxa"/>
            <w:tcBorders>
              <w:top w:val="single" w:sz="4" w:space="0" w:color="auto"/>
              <w:left w:val="single" w:sz="4" w:space="0" w:color="auto"/>
              <w:bottom w:val="single" w:sz="4" w:space="0" w:color="auto"/>
              <w:right w:val="single" w:sz="4" w:space="0" w:color="auto"/>
            </w:tcBorders>
            <w:noWrap/>
            <w:vAlign w:val="bottom"/>
          </w:tcPr>
          <w:p w:rsidR="00C271A9" w:rsidRPr="00AB1DB9" w:rsidRDefault="00C271A9" w:rsidP="00333ED5">
            <w:pPr>
              <w:ind w:left="0"/>
              <w:jc w:val="right"/>
              <w:rPr>
                <w:rFonts w:cs="Lucida Sans Unicode"/>
                <w:bCs/>
                <w:position w:val="0"/>
                <w:szCs w:val="20"/>
              </w:rPr>
            </w:pPr>
            <w: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Pr="00AB1DB9" w:rsidRDefault="00C271A9" w:rsidP="00333ED5">
            <w:pPr>
              <w:ind w:left="0"/>
              <w:jc w:val="right"/>
              <w:rPr>
                <w:rFonts w:cs="Lucida Sans Unicode"/>
                <w:bCs/>
                <w:position w:val="0"/>
                <w:szCs w:val="20"/>
              </w:rPr>
            </w:pPr>
            <w:r>
              <w:t>473</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C271A9" w:rsidRPr="00AB1DB9" w:rsidRDefault="00C271A9" w:rsidP="00333ED5">
            <w:pPr>
              <w:ind w:left="0"/>
              <w:jc w:val="right"/>
              <w:rPr>
                <w:rFonts w:cs="Lucida Sans Unicode"/>
                <w:bCs/>
                <w:position w:val="0"/>
                <w:szCs w:val="20"/>
              </w:rPr>
            </w:pPr>
            <w:r>
              <w:t>509</w:t>
            </w:r>
          </w:p>
        </w:tc>
        <w:tc>
          <w:tcPr>
            <w:tcW w:w="1077" w:type="dxa"/>
            <w:tcBorders>
              <w:top w:val="single" w:sz="4" w:space="0" w:color="auto"/>
              <w:left w:val="single" w:sz="4" w:space="0" w:color="auto"/>
              <w:bottom w:val="single" w:sz="4" w:space="0" w:color="auto"/>
              <w:right w:val="single" w:sz="4" w:space="0" w:color="auto"/>
            </w:tcBorders>
            <w:noWrap/>
            <w:vAlign w:val="bottom"/>
          </w:tcPr>
          <w:p w:rsidR="00C271A9" w:rsidRPr="00AB1DB9" w:rsidRDefault="00C271A9" w:rsidP="00333ED5">
            <w:pPr>
              <w:ind w:left="0"/>
              <w:jc w:val="right"/>
              <w:rPr>
                <w:rFonts w:cs="Lucida Sans Unicode"/>
                <w:bCs/>
                <w:position w:val="0"/>
                <w:szCs w:val="20"/>
              </w:rPr>
            </w:pPr>
            <w:r>
              <w:t>-7</w:t>
            </w:r>
          </w:p>
        </w:tc>
      </w:tr>
      <w:tr w:rsidR="00C271A9" w:rsidTr="00333ED5">
        <w:trPr>
          <w:trHeight w:val="255"/>
        </w:trPr>
        <w:tc>
          <w:tcPr>
            <w:tcW w:w="3193" w:type="dxa"/>
            <w:tcBorders>
              <w:top w:val="single" w:sz="4" w:space="0" w:color="auto"/>
              <w:left w:val="single" w:sz="4" w:space="0" w:color="auto"/>
              <w:bottom w:val="nil"/>
              <w:right w:val="single" w:sz="4" w:space="0" w:color="auto"/>
            </w:tcBorders>
            <w:noWrap/>
            <w:vAlign w:val="center"/>
          </w:tcPr>
          <w:p w:rsidR="00C271A9" w:rsidRDefault="00C271A9" w:rsidP="00333ED5">
            <w:pPr>
              <w:ind w:left="0"/>
              <w:jc w:val="right"/>
              <w:rPr>
                <w:rFonts w:cs="Lucida Sans Unicode"/>
                <w:b/>
                <w:bCs/>
                <w:position w:val="0"/>
                <w:szCs w:val="20"/>
              </w:rPr>
            </w:pPr>
            <w:r>
              <w:rPr>
                <w:b/>
                <w:position w:val="0"/>
              </w:rPr>
              <w:t> </w:t>
            </w:r>
          </w:p>
        </w:tc>
        <w:tc>
          <w:tcPr>
            <w:tcW w:w="3375" w:type="dxa"/>
            <w:gridSpan w:val="3"/>
            <w:tcBorders>
              <w:top w:val="single" w:sz="4" w:space="0" w:color="auto"/>
              <w:left w:val="nil"/>
              <w:bottom w:val="single" w:sz="4" w:space="0" w:color="auto"/>
              <w:right w:val="single" w:sz="4" w:space="0" w:color="auto"/>
            </w:tcBorders>
            <w:noWrap/>
            <w:vAlign w:val="bottom"/>
          </w:tcPr>
          <w:p w:rsidR="00C271A9" w:rsidRDefault="00C271A9" w:rsidP="00333ED5">
            <w:pPr>
              <w:ind w:left="0"/>
              <w:jc w:val="center"/>
              <w:rPr>
                <w:rFonts w:cs="Lucida Sans Unicode"/>
                <w:b/>
                <w:bCs/>
                <w:position w:val="0"/>
                <w:szCs w:val="20"/>
              </w:rPr>
            </w:pPr>
            <w:proofErr w:type="spellStart"/>
            <w:r>
              <w:rPr>
                <w:b/>
                <w:position w:val="0"/>
              </w:rPr>
              <w:t>Sales</w:t>
            </w:r>
            <w:proofErr w:type="spellEnd"/>
            <w:r>
              <w:rPr>
                <w:b/>
                <w:position w:val="0"/>
              </w:rPr>
              <w:t xml:space="preserve"> H1</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C271A9" w:rsidRDefault="00C271A9" w:rsidP="00333ED5">
            <w:pPr>
              <w:ind w:left="0"/>
              <w:jc w:val="center"/>
              <w:rPr>
                <w:rFonts w:cs="Lucida Sans Unicode"/>
                <w:b/>
                <w:bCs/>
                <w:position w:val="0"/>
                <w:szCs w:val="20"/>
              </w:rPr>
            </w:pPr>
            <w:proofErr w:type="spellStart"/>
            <w:r>
              <w:rPr>
                <w:b/>
                <w:position w:val="0"/>
              </w:rPr>
              <w:t>Adjusted</w:t>
            </w:r>
            <w:proofErr w:type="spellEnd"/>
            <w:r>
              <w:rPr>
                <w:b/>
                <w:position w:val="0"/>
              </w:rPr>
              <w:t xml:space="preserve"> EBITDA H1</w:t>
            </w:r>
          </w:p>
        </w:tc>
      </w:tr>
      <w:tr w:rsidR="00C271A9" w:rsidTr="00333ED5">
        <w:trPr>
          <w:trHeight w:val="255"/>
        </w:trPr>
        <w:tc>
          <w:tcPr>
            <w:tcW w:w="3193" w:type="dxa"/>
            <w:tcBorders>
              <w:top w:val="nil"/>
              <w:left w:val="single" w:sz="4" w:space="0" w:color="auto"/>
              <w:bottom w:val="nil"/>
              <w:right w:val="single" w:sz="4" w:space="0" w:color="auto"/>
            </w:tcBorders>
            <w:noWrap/>
            <w:vAlign w:val="center"/>
          </w:tcPr>
          <w:p w:rsidR="00C271A9" w:rsidRDefault="00C271A9" w:rsidP="00333ED5">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C271A9" w:rsidRDefault="00C271A9" w:rsidP="00333ED5">
            <w:pPr>
              <w:ind w:left="0"/>
              <w:jc w:val="center"/>
              <w:rPr>
                <w:rFonts w:cs="Lucida Sans Unicode"/>
                <w:b/>
                <w:bCs/>
                <w:position w:val="0"/>
                <w:szCs w:val="20"/>
              </w:rPr>
            </w:pPr>
            <w:r>
              <w:rPr>
                <w:b/>
                <w:position w:val="0"/>
              </w:rPr>
              <w:t>H1 2014</w:t>
            </w:r>
          </w:p>
        </w:tc>
        <w:tc>
          <w:tcPr>
            <w:tcW w:w="1125"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position w:val="0"/>
                <w:szCs w:val="20"/>
              </w:rPr>
            </w:pPr>
            <w:r>
              <w:rPr>
                <w:b/>
                <w:position w:val="0"/>
              </w:rPr>
              <w:t>H1 2013</w:t>
            </w:r>
          </w:p>
        </w:tc>
        <w:tc>
          <w:tcPr>
            <w:tcW w:w="1125"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position w:val="0"/>
                <w:szCs w:val="20"/>
              </w:rPr>
            </w:pPr>
            <w:r>
              <w:rPr>
                <w:b/>
                <w:position w:val="0"/>
              </w:rPr>
              <w:t>Change</w:t>
            </w:r>
          </w:p>
        </w:tc>
        <w:tc>
          <w:tcPr>
            <w:tcW w:w="1114" w:type="dxa"/>
            <w:tcBorders>
              <w:top w:val="single" w:sz="4" w:space="0" w:color="auto"/>
              <w:left w:val="nil"/>
              <w:right w:val="single" w:sz="4" w:space="0" w:color="auto"/>
            </w:tcBorders>
            <w:shd w:val="clear" w:color="auto" w:fill="CCCCCC"/>
            <w:noWrap/>
            <w:vAlign w:val="bottom"/>
          </w:tcPr>
          <w:p w:rsidR="00C271A9" w:rsidRDefault="00C271A9" w:rsidP="00333ED5">
            <w:pPr>
              <w:ind w:left="0"/>
              <w:jc w:val="center"/>
              <w:rPr>
                <w:rFonts w:cs="Lucida Sans Unicode"/>
                <w:b/>
                <w:bCs/>
                <w:position w:val="0"/>
                <w:szCs w:val="20"/>
              </w:rPr>
            </w:pPr>
            <w:r>
              <w:rPr>
                <w:b/>
                <w:position w:val="0"/>
              </w:rPr>
              <w:t>H1 2014</w:t>
            </w:r>
          </w:p>
        </w:tc>
        <w:tc>
          <w:tcPr>
            <w:tcW w:w="1080" w:type="dxa"/>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position w:val="0"/>
                <w:szCs w:val="20"/>
              </w:rPr>
            </w:pPr>
            <w:r>
              <w:rPr>
                <w:b/>
                <w:position w:val="0"/>
              </w:rPr>
              <w:t>H1 2013</w:t>
            </w:r>
          </w:p>
        </w:tc>
        <w:tc>
          <w:tcPr>
            <w:tcW w:w="1122" w:type="dxa"/>
            <w:gridSpan w:val="2"/>
            <w:tcBorders>
              <w:top w:val="single" w:sz="4" w:space="0" w:color="auto"/>
              <w:left w:val="single" w:sz="4" w:space="0" w:color="auto"/>
              <w:bottom w:val="nil"/>
              <w:right w:val="single" w:sz="4" w:space="0" w:color="auto"/>
            </w:tcBorders>
            <w:noWrap/>
            <w:vAlign w:val="bottom"/>
          </w:tcPr>
          <w:p w:rsidR="00C271A9" w:rsidRDefault="00C271A9" w:rsidP="00333ED5">
            <w:pPr>
              <w:ind w:left="0"/>
              <w:jc w:val="center"/>
              <w:rPr>
                <w:rFonts w:cs="Lucida Sans Unicode"/>
                <w:b/>
                <w:bCs/>
                <w:position w:val="0"/>
                <w:szCs w:val="20"/>
              </w:rPr>
            </w:pPr>
            <w:r>
              <w:rPr>
                <w:b/>
                <w:position w:val="0"/>
              </w:rPr>
              <w:t>Change</w:t>
            </w:r>
          </w:p>
        </w:tc>
      </w:tr>
      <w:tr w:rsidR="00C271A9" w:rsidTr="00333ED5">
        <w:trPr>
          <w:trHeight w:val="255"/>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b/>
                <w:bCs/>
                <w:position w:val="0"/>
                <w:szCs w:val="20"/>
              </w:rPr>
            </w:pPr>
            <w:r>
              <w:rPr>
                <w:b/>
                <w:position w:val="0"/>
              </w:rPr>
              <w:t> </w:t>
            </w:r>
          </w:p>
        </w:tc>
        <w:tc>
          <w:tcPr>
            <w:tcW w:w="1125" w:type="dxa"/>
            <w:tcBorders>
              <w:left w:val="nil"/>
              <w:bottom w:val="single" w:sz="4" w:space="0" w:color="auto"/>
              <w:right w:val="single" w:sz="4" w:space="0" w:color="auto"/>
            </w:tcBorders>
            <w:shd w:val="clear" w:color="auto" w:fill="CCCCCC"/>
            <w:vAlign w:val="center"/>
          </w:tcPr>
          <w:p w:rsidR="00C271A9" w:rsidRDefault="00C271A9" w:rsidP="00333ED5">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position w:val="0"/>
                <w:szCs w:val="20"/>
              </w:rPr>
            </w:pPr>
            <w:r>
              <w:rPr>
                <w:b/>
                <w:position w:val="0"/>
              </w:rPr>
              <w:t>in %</w:t>
            </w:r>
          </w:p>
        </w:tc>
        <w:tc>
          <w:tcPr>
            <w:tcW w:w="1114" w:type="dxa"/>
            <w:tcBorders>
              <w:left w:val="nil"/>
              <w:bottom w:val="single" w:sz="4" w:space="0" w:color="auto"/>
              <w:right w:val="single" w:sz="4" w:space="0" w:color="auto"/>
            </w:tcBorders>
            <w:shd w:val="clear" w:color="auto" w:fill="CCCCCC"/>
            <w:vAlign w:val="center"/>
          </w:tcPr>
          <w:p w:rsidR="00C271A9" w:rsidRDefault="00C271A9" w:rsidP="00333ED5">
            <w:pPr>
              <w:ind w:left="0"/>
              <w:jc w:val="center"/>
              <w:rPr>
                <w:rFonts w:cs="Lucida Sans Unicode"/>
                <w:b/>
                <w:bCs/>
                <w:position w:val="0"/>
                <w:szCs w:val="20"/>
              </w:rPr>
            </w:pPr>
            <w:r>
              <w:rPr>
                <w:b/>
                <w:position w:val="0"/>
              </w:rPr>
              <w:t>€ </w:t>
            </w:r>
            <w:proofErr w:type="spellStart"/>
            <w:r>
              <w:rPr>
                <w:b/>
                <w:position w:val="0"/>
              </w:rPr>
              <w:t>million</w:t>
            </w:r>
            <w:proofErr w:type="spellEnd"/>
          </w:p>
        </w:tc>
        <w:tc>
          <w:tcPr>
            <w:tcW w:w="1080" w:type="dxa"/>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2" w:type="dxa"/>
            <w:gridSpan w:val="2"/>
            <w:tcBorders>
              <w:top w:val="nil"/>
              <w:left w:val="single" w:sz="4" w:space="0" w:color="auto"/>
              <w:bottom w:val="single" w:sz="4" w:space="0" w:color="auto"/>
              <w:right w:val="single" w:sz="4" w:space="0" w:color="auto"/>
            </w:tcBorders>
            <w:vAlign w:val="center"/>
          </w:tcPr>
          <w:p w:rsidR="00C271A9" w:rsidRDefault="00C271A9" w:rsidP="00333ED5">
            <w:pPr>
              <w:ind w:left="0"/>
              <w:jc w:val="center"/>
              <w:rPr>
                <w:rFonts w:cs="Lucida Sans Unicode"/>
                <w:b/>
                <w:bCs/>
                <w:position w:val="0"/>
                <w:szCs w:val="20"/>
              </w:rPr>
            </w:pPr>
            <w:r>
              <w:rPr>
                <w:b/>
                <w:position w:val="0"/>
              </w:rPr>
              <w:t>in %</w:t>
            </w:r>
          </w:p>
        </w:tc>
      </w:tr>
      <w:tr w:rsidR="00C271A9" w:rsidTr="00333ED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1,981</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2,076</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376</w:t>
            </w:r>
          </w:p>
        </w:tc>
        <w:tc>
          <w:tcPr>
            <w:tcW w:w="1080"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508</w:t>
            </w:r>
          </w:p>
        </w:tc>
        <w:tc>
          <w:tcPr>
            <w:tcW w:w="1122" w:type="dxa"/>
            <w:gridSpan w:val="2"/>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-26</w:t>
            </w:r>
          </w:p>
        </w:tc>
      </w:tr>
      <w:tr w:rsidR="00C271A9" w:rsidTr="00333ED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1,635</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1,572</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380</w:t>
            </w:r>
          </w:p>
        </w:tc>
        <w:tc>
          <w:tcPr>
            <w:tcW w:w="1080"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346</w:t>
            </w:r>
          </w:p>
        </w:tc>
        <w:tc>
          <w:tcPr>
            <w:tcW w:w="1122" w:type="dxa"/>
            <w:gridSpan w:val="2"/>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10</w:t>
            </w:r>
          </w:p>
        </w:tc>
      </w:tr>
      <w:tr w:rsidR="00C271A9" w:rsidTr="00333ED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2,350</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2,299</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224</w:t>
            </w:r>
          </w:p>
        </w:tc>
        <w:tc>
          <w:tcPr>
            <w:tcW w:w="1080" w:type="dxa"/>
            <w:tcBorders>
              <w:top w:val="single" w:sz="4" w:space="0" w:color="auto"/>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310</w:t>
            </w:r>
          </w:p>
        </w:tc>
        <w:tc>
          <w:tcPr>
            <w:tcW w:w="1122" w:type="dxa"/>
            <w:gridSpan w:val="2"/>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-28</w:t>
            </w:r>
          </w:p>
        </w:tc>
      </w:tr>
      <w:tr w:rsidR="00C271A9" w:rsidTr="00333ED5">
        <w:trPr>
          <w:trHeight w:val="255"/>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449</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437</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105</w:t>
            </w:r>
          </w:p>
        </w:tc>
        <w:tc>
          <w:tcPr>
            <w:tcW w:w="1080"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107</w:t>
            </w:r>
          </w:p>
        </w:tc>
        <w:tc>
          <w:tcPr>
            <w:tcW w:w="1122" w:type="dxa"/>
            <w:gridSpan w:val="2"/>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-2</w:t>
            </w:r>
          </w:p>
        </w:tc>
      </w:tr>
      <w:tr w:rsidR="00C271A9" w:rsidTr="00333ED5">
        <w:trPr>
          <w:trHeight w:val="255"/>
        </w:trPr>
        <w:tc>
          <w:tcPr>
            <w:tcW w:w="3193" w:type="dxa"/>
            <w:tcBorders>
              <w:top w:val="nil"/>
              <w:left w:val="single" w:sz="4" w:space="0" w:color="auto"/>
              <w:bottom w:val="single" w:sz="4" w:space="0" w:color="auto"/>
              <w:right w:val="single" w:sz="4" w:space="0" w:color="auto"/>
            </w:tcBorders>
            <w:noWrap/>
            <w:vAlign w:val="center"/>
          </w:tcPr>
          <w:p w:rsidR="00C271A9" w:rsidRDefault="00C271A9" w:rsidP="00333ED5">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33</w:t>
            </w:r>
          </w:p>
        </w:tc>
        <w:tc>
          <w:tcPr>
            <w:tcW w:w="1125"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37</w:t>
            </w:r>
          </w:p>
        </w:tc>
        <w:tc>
          <w:tcPr>
            <w:tcW w:w="1125" w:type="dxa"/>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Default="00C271A9" w:rsidP="00333ED5">
            <w:pPr>
              <w:ind w:left="0"/>
              <w:jc w:val="right"/>
              <w:rPr>
                <w:rFonts w:cs="Lucida Sans Unicode"/>
                <w:position w:val="0"/>
                <w:szCs w:val="20"/>
              </w:rPr>
            </w:pPr>
            <w:r>
              <w:t>-149</w:t>
            </w:r>
          </w:p>
        </w:tc>
        <w:tc>
          <w:tcPr>
            <w:tcW w:w="1080" w:type="dxa"/>
            <w:tcBorders>
              <w:top w:val="nil"/>
              <w:left w:val="single" w:sz="4" w:space="0" w:color="auto"/>
              <w:bottom w:val="single" w:sz="4" w:space="0" w:color="auto"/>
              <w:right w:val="single" w:sz="4" w:space="0" w:color="auto"/>
            </w:tcBorders>
            <w:noWrap/>
            <w:vAlign w:val="center"/>
          </w:tcPr>
          <w:p w:rsidR="00C271A9" w:rsidRDefault="00C271A9" w:rsidP="00333ED5">
            <w:pPr>
              <w:ind w:left="0"/>
              <w:jc w:val="right"/>
              <w:rPr>
                <w:rFonts w:cs="Lucida Sans Unicode"/>
                <w:position w:val="0"/>
                <w:szCs w:val="20"/>
              </w:rPr>
            </w:pPr>
            <w:r>
              <w:t>-156</w:t>
            </w:r>
          </w:p>
        </w:tc>
        <w:tc>
          <w:tcPr>
            <w:tcW w:w="1122" w:type="dxa"/>
            <w:gridSpan w:val="2"/>
            <w:tcBorders>
              <w:top w:val="nil"/>
              <w:left w:val="single" w:sz="4" w:space="0" w:color="auto"/>
              <w:bottom w:val="single" w:sz="4" w:space="0" w:color="auto"/>
              <w:right w:val="single" w:sz="4" w:space="0" w:color="auto"/>
            </w:tcBorders>
            <w:noWrap/>
            <w:vAlign w:val="bottom"/>
          </w:tcPr>
          <w:p w:rsidR="00C271A9" w:rsidRDefault="00C271A9" w:rsidP="00333ED5">
            <w:pPr>
              <w:ind w:left="0"/>
              <w:jc w:val="right"/>
              <w:rPr>
                <w:rFonts w:cs="Lucida Sans Unicode"/>
                <w:position w:val="0"/>
                <w:szCs w:val="20"/>
              </w:rPr>
            </w:pPr>
            <w:r>
              <w:t>4</w:t>
            </w:r>
          </w:p>
        </w:tc>
      </w:tr>
      <w:tr w:rsidR="00C271A9" w:rsidRPr="00DA2E4E" w:rsidTr="00333ED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C271A9" w:rsidRPr="00DA2E4E" w:rsidRDefault="00C271A9" w:rsidP="00333ED5">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C271A9" w:rsidRPr="00AB1DB9" w:rsidRDefault="00C271A9" w:rsidP="00333ED5">
            <w:pPr>
              <w:ind w:left="0"/>
              <w:jc w:val="right"/>
              <w:rPr>
                <w:rFonts w:cs="Lucida Sans Unicode"/>
                <w:bCs/>
                <w:position w:val="0"/>
                <w:szCs w:val="20"/>
              </w:rPr>
            </w:pPr>
            <w:r>
              <w:t>6,448</w:t>
            </w:r>
          </w:p>
        </w:tc>
        <w:tc>
          <w:tcPr>
            <w:tcW w:w="1125" w:type="dxa"/>
            <w:tcBorders>
              <w:top w:val="single" w:sz="4" w:space="0" w:color="auto"/>
              <w:left w:val="single" w:sz="4" w:space="0" w:color="auto"/>
              <w:bottom w:val="single" w:sz="4" w:space="0" w:color="auto"/>
              <w:right w:val="single" w:sz="4" w:space="0" w:color="auto"/>
            </w:tcBorders>
            <w:noWrap/>
            <w:vAlign w:val="center"/>
          </w:tcPr>
          <w:p w:rsidR="00C271A9" w:rsidRPr="00AB1DB9" w:rsidRDefault="00C271A9" w:rsidP="00333ED5">
            <w:pPr>
              <w:ind w:left="0"/>
              <w:jc w:val="right"/>
              <w:rPr>
                <w:rFonts w:cs="Lucida Sans Unicode"/>
                <w:bCs/>
                <w:position w:val="0"/>
                <w:szCs w:val="20"/>
              </w:rPr>
            </w:pPr>
            <w:r>
              <w:t>6,421</w:t>
            </w:r>
          </w:p>
        </w:tc>
        <w:tc>
          <w:tcPr>
            <w:tcW w:w="1125" w:type="dxa"/>
            <w:tcBorders>
              <w:top w:val="single" w:sz="4" w:space="0" w:color="auto"/>
              <w:left w:val="single" w:sz="4" w:space="0" w:color="auto"/>
              <w:bottom w:val="single" w:sz="4" w:space="0" w:color="auto"/>
              <w:right w:val="single" w:sz="4" w:space="0" w:color="auto"/>
            </w:tcBorders>
            <w:noWrap/>
            <w:vAlign w:val="bottom"/>
          </w:tcPr>
          <w:p w:rsidR="00C271A9" w:rsidRPr="00AB1DB9" w:rsidRDefault="00C271A9" w:rsidP="00333ED5">
            <w:pPr>
              <w:ind w:left="0"/>
              <w:jc w:val="right"/>
              <w:rPr>
                <w:rFonts w:cs="Lucida Sans Unicode"/>
                <w:bCs/>
                <w:position w:val="0"/>
                <w:szCs w:val="20"/>
              </w:rPr>
            </w:pPr>
            <w: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C271A9" w:rsidRPr="00AB1DB9" w:rsidRDefault="00C271A9" w:rsidP="00333ED5">
            <w:pPr>
              <w:ind w:left="0"/>
              <w:jc w:val="right"/>
              <w:rPr>
                <w:rFonts w:cs="Lucida Sans Unicode"/>
                <w:bCs/>
                <w:position w:val="0"/>
                <w:szCs w:val="20"/>
              </w:rPr>
            </w:pPr>
            <w:r>
              <w:t>936</w:t>
            </w:r>
          </w:p>
        </w:tc>
        <w:tc>
          <w:tcPr>
            <w:tcW w:w="1080" w:type="dxa"/>
            <w:tcBorders>
              <w:top w:val="single" w:sz="4" w:space="0" w:color="auto"/>
              <w:left w:val="single" w:sz="4" w:space="0" w:color="auto"/>
              <w:bottom w:val="single" w:sz="4" w:space="0" w:color="auto"/>
              <w:right w:val="single" w:sz="4" w:space="0" w:color="auto"/>
            </w:tcBorders>
            <w:noWrap/>
            <w:vAlign w:val="center"/>
          </w:tcPr>
          <w:p w:rsidR="00C271A9" w:rsidRPr="00AB1DB9" w:rsidRDefault="00C271A9" w:rsidP="00333ED5">
            <w:pPr>
              <w:ind w:left="0"/>
              <w:jc w:val="right"/>
              <w:rPr>
                <w:rFonts w:cs="Lucida Sans Unicode"/>
                <w:bCs/>
                <w:position w:val="0"/>
                <w:szCs w:val="20"/>
              </w:rPr>
            </w:pPr>
            <w:r>
              <w:t>1,115</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C271A9" w:rsidRPr="00AB1DB9" w:rsidRDefault="00C271A9" w:rsidP="00333ED5">
            <w:pPr>
              <w:ind w:left="0"/>
              <w:jc w:val="right"/>
              <w:rPr>
                <w:rFonts w:cs="Lucida Sans Unicode"/>
                <w:bCs/>
                <w:position w:val="0"/>
                <w:szCs w:val="20"/>
              </w:rPr>
            </w:pPr>
            <w:r>
              <w:t>-16</w:t>
            </w:r>
          </w:p>
        </w:tc>
      </w:tr>
    </w:tbl>
    <w:p w:rsidR="00C271A9" w:rsidRPr="00A03972" w:rsidRDefault="00C271A9" w:rsidP="00C271A9">
      <w:pPr>
        <w:spacing w:line="240" w:lineRule="auto"/>
        <w:ind w:left="0" w:right="0"/>
        <w:rPr>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C271A9" w:rsidRPr="00A03972" w:rsidRDefault="00C271A9" w:rsidP="00C271A9">
      <w:pPr>
        <w:spacing w:line="240" w:lineRule="auto"/>
        <w:ind w:left="0" w:right="0"/>
        <w:rPr>
          <w:bCs/>
          <w:sz w:val="16"/>
          <w:szCs w:val="16"/>
        </w:rPr>
      </w:pPr>
    </w:p>
    <w:p w:rsidR="00C271A9" w:rsidRDefault="00C271A9" w:rsidP="00C271A9">
      <w:pPr>
        <w:spacing w:after="120"/>
        <w:rPr>
          <w:b/>
          <w:bCs/>
        </w:rPr>
      </w:pPr>
    </w:p>
    <w:p w:rsidR="00C271A9" w:rsidRDefault="00C271A9">
      <w:pPr>
        <w:spacing w:line="240" w:lineRule="auto"/>
        <w:ind w:left="0" w:right="0"/>
        <w:rPr>
          <w:b/>
        </w:rPr>
      </w:pPr>
      <w:r>
        <w:rPr>
          <w:b/>
        </w:rPr>
        <w:br w:type="page"/>
      </w:r>
    </w:p>
    <w:p w:rsidR="00C271A9" w:rsidRPr="00D941D1" w:rsidRDefault="00C271A9" w:rsidP="00C271A9">
      <w:pPr>
        <w:spacing w:after="120"/>
        <w:rPr>
          <w:b/>
          <w:bCs/>
        </w:rPr>
      </w:pPr>
      <w:proofErr w:type="spellStart"/>
      <w:r>
        <w:rPr>
          <w:b/>
        </w:rPr>
        <w:lastRenderedPageBreak/>
        <w:t>Employees</w:t>
      </w:r>
      <w:proofErr w:type="spellEnd"/>
      <w:r>
        <w:rPr>
          <w:b/>
        </w:rPr>
        <w:t xml:space="preserve"> </w:t>
      </w:r>
      <w:proofErr w:type="spellStart"/>
      <w:r>
        <w:rPr>
          <w:b/>
        </w:rPr>
        <w:t>by</w:t>
      </w:r>
      <w:proofErr w:type="spellEnd"/>
      <w:r>
        <w:rPr>
          <w:b/>
        </w:rPr>
        <w:t xml:space="preserve"> </w:t>
      </w:r>
      <w:proofErr w:type="spellStart"/>
      <w:r>
        <w:rPr>
          <w:b/>
        </w:rPr>
        <w:t>segment</w:t>
      </w:r>
      <w:proofErr w:type="spellEnd"/>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C271A9" w:rsidRPr="00BE5DBC" w:rsidTr="00333ED5">
        <w:tc>
          <w:tcPr>
            <w:tcW w:w="4122" w:type="dxa"/>
          </w:tcPr>
          <w:p w:rsidR="00C271A9" w:rsidRPr="00B13E9A" w:rsidRDefault="00C271A9" w:rsidP="00333ED5">
            <w:pPr>
              <w:ind w:left="0"/>
              <w:rPr>
                <w:bCs/>
              </w:rPr>
            </w:pPr>
          </w:p>
        </w:tc>
        <w:tc>
          <w:tcPr>
            <w:tcW w:w="2172" w:type="dxa"/>
          </w:tcPr>
          <w:p w:rsidR="00C271A9" w:rsidRPr="00BE5DBC" w:rsidRDefault="00C271A9" w:rsidP="00333ED5">
            <w:pPr>
              <w:ind w:left="0"/>
              <w:jc w:val="center"/>
              <w:rPr>
                <w:b/>
                <w:bCs/>
              </w:rPr>
            </w:pPr>
            <w:r>
              <w:rPr>
                <w:b/>
              </w:rPr>
              <w:t>June 30, 2014</w:t>
            </w:r>
          </w:p>
        </w:tc>
        <w:tc>
          <w:tcPr>
            <w:tcW w:w="2173" w:type="dxa"/>
          </w:tcPr>
          <w:p w:rsidR="00C271A9" w:rsidRPr="00BE5DBC" w:rsidRDefault="00C271A9" w:rsidP="00333ED5">
            <w:pPr>
              <w:ind w:left="0"/>
              <w:jc w:val="center"/>
              <w:rPr>
                <w:b/>
                <w:bCs/>
              </w:rPr>
            </w:pPr>
            <w:proofErr w:type="spellStart"/>
            <w:r>
              <w:rPr>
                <w:b/>
              </w:rPr>
              <w:t>December</w:t>
            </w:r>
            <w:proofErr w:type="spellEnd"/>
            <w:r>
              <w:rPr>
                <w:b/>
              </w:rPr>
              <w:t xml:space="preserve"> 31, 2013</w:t>
            </w:r>
          </w:p>
        </w:tc>
      </w:tr>
      <w:tr w:rsidR="00C271A9" w:rsidRPr="00A14C8B" w:rsidTr="00333ED5">
        <w:tc>
          <w:tcPr>
            <w:tcW w:w="4122" w:type="dxa"/>
          </w:tcPr>
          <w:p w:rsidR="00C271A9" w:rsidRPr="00B13E9A" w:rsidRDefault="00C271A9" w:rsidP="00333ED5">
            <w:pPr>
              <w:ind w:left="0"/>
              <w:rPr>
                <w:bCs/>
              </w:rPr>
            </w:pPr>
            <w:r>
              <w:t>Consumer, Health &amp; Nutrition</w:t>
            </w:r>
          </w:p>
        </w:tc>
        <w:tc>
          <w:tcPr>
            <w:tcW w:w="2172" w:type="dxa"/>
          </w:tcPr>
          <w:p w:rsidR="00C271A9" w:rsidRPr="00A14C8B" w:rsidRDefault="00C271A9" w:rsidP="00333ED5">
            <w:pPr>
              <w:ind w:left="0"/>
              <w:jc w:val="right"/>
              <w:rPr>
                <w:bCs/>
              </w:rPr>
            </w:pPr>
            <w:r>
              <w:t>7,059</w:t>
            </w:r>
          </w:p>
        </w:tc>
        <w:tc>
          <w:tcPr>
            <w:tcW w:w="2173" w:type="dxa"/>
          </w:tcPr>
          <w:p w:rsidR="00C271A9" w:rsidRPr="00A14C8B" w:rsidRDefault="00C271A9" w:rsidP="00333ED5">
            <w:pPr>
              <w:ind w:left="0"/>
              <w:jc w:val="right"/>
              <w:rPr>
                <w:bCs/>
              </w:rPr>
            </w:pPr>
            <w:r>
              <w:t>7,150</w:t>
            </w:r>
          </w:p>
        </w:tc>
      </w:tr>
      <w:tr w:rsidR="00C271A9" w:rsidRPr="00A14C8B" w:rsidTr="00333ED5">
        <w:tc>
          <w:tcPr>
            <w:tcW w:w="4122" w:type="dxa"/>
          </w:tcPr>
          <w:p w:rsidR="00C271A9" w:rsidRPr="00A14C8B" w:rsidRDefault="00C271A9" w:rsidP="00333ED5">
            <w:pPr>
              <w:ind w:left="0"/>
              <w:rPr>
                <w:bCs/>
              </w:rPr>
            </w:pPr>
            <w:r>
              <w:t>Resource Efficiency</w:t>
            </w:r>
          </w:p>
        </w:tc>
        <w:tc>
          <w:tcPr>
            <w:tcW w:w="2172" w:type="dxa"/>
          </w:tcPr>
          <w:p w:rsidR="00C271A9" w:rsidRPr="00A14C8B" w:rsidRDefault="00C271A9" w:rsidP="00333ED5">
            <w:pPr>
              <w:ind w:left="0"/>
              <w:jc w:val="right"/>
              <w:rPr>
                <w:bCs/>
              </w:rPr>
            </w:pPr>
            <w:r>
              <w:t>5,984</w:t>
            </w:r>
          </w:p>
        </w:tc>
        <w:tc>
          <w:tcPr>
            <w:tcW w:w="2173" w:type="dxa"/>
          </w:tcPr>
          <w:p w:rsidR="00C271A9" w:rsidRPr="00A14C8B" w:rsidRDefault="00C271A9" w:rsidP="00333ED5">
            <w:pPr>
              <w:ind w:left="0"/>
              <w:jc w:val="right"/>
              <w:rPr>
                <w:bCs/>
              </w:rPr>
            </w:pPr>
            <w:r>
              <w:t>5,854</w:t>
            </w:r>
          </w:p>
        </w:tc>
      </w:tr>
      <w:tr w:rsidR="00C271A9" w:rsidRPr="00A14C8B" w:rsidTr="00333ED5">
        <w:tc>
          <w:tcPr>
            <w:tcW w:w="4122" w:type="dxa"/>
          </w:tcPr>
          <w:p w:rsidR="00C271A9" w:rsidRPr="00A14C8B" w:rsidRDefault="00C271A9" w:rsidP="00333ED5">
            <w:pPr>
              <w:ind w:left="0"/>
              <w:rPr>
                <w:bCs/>
              </w:rPr>
            </w:pPr>
            <w:r>
              <w:t>Specialty Materials</w:t>
            </w:r>
          </w:p>
        </w:tc>
        <w:tc>
          <w:tcPr>
            <w:tcW w:w="2172" w:type="dxa"/>
          </w:tcPr>
          <w:p w:rsidR="00C271A9" w:rsidRPr="00A14C8B" w:rsidRDefault="00C271A9" w:rsidP="00333ED5">
            <w:pPr>
              <w:ind w:left="0"/>
              <w:jc w:val="right"/>
              <w:rPr>
                <w:bCs/>
              </w:rPr>
            </w:pPr>
            <w:r>
              <w:t>6,333</w:t>
            </w:r>
          </w:p>
        </w:tc>
        <w:tc>
          <w:tcPr>
            <w:tcW w:w="2173" w:type="dxa"/>
          </w:tcPr>
          <w:p w:rsidR="00C271A9" w:rsidRPr="00A14C8B" w:rsidRDefault="00C271A9" w:rsidP="00333ED5">
            <w:pPr>
              <w:ind w:left="0"/>
              <w:jc w:val="right"/>
              <w:rPr>
                <w:bCs/>
              </w:rPr>
            </w:pPr>
            <w:r>
              <w:t>6,268</w:t>
            </w:r>
          </w:p>
        </w:tc>
      </w:tr>
      <w:tr w:rsidR="00C271A9" w:rsidRPr="00A14C8B" w:rsidTr="00333ED5">
        <w:tc>
          <w:tcPr>
            <w:tcW w:w="4122" w:type="dxa"/>
          </w:tcPr>
          <w:p w:rsidR="00C271A9" w:rsidRPr="00A14C8B" w:rsidRDefault="00C271A9" w:rsidP="00333ED5">
            <w:pPr>
              <w:ind w:left="0"/>
              <w:rPr>
                <w:bCs/>
              </w:rPr>
            </w:pPr>
            <w:r>
              <w:t>Services</w:t>
            </w:r>
          </w:p>
        </w:tc>
        <w:tc>
          <w:tcPr>
            <w:tcW w:w="2172" w:type="dxa"/>
          </w:tcPr>
          <w:p w:rsidR="00C271A9" w:rsidRPr="00A14C8B" w:rsidRDefault="00C271A9" w:rsidP="00333ED5">
            <w:pPr>
              <w:ind w:left="0"/>
              <w:jc w:val="right"/>
              <w:rPr>
                <w:bCs/>
              </w:rPr>
            </w:pPr>
            <w:r>
              <w:t>12,185</w:t>
            </w:r>
          </w:p>
        </w:tc>
        <w:tc>
          <w:tcPr>
            <w:tcW w:w="2173" w:type="dxa"/>
          </w:tcPr>
          <w:p w:rsidR="00C271A9" w:rsidRPr="00A14C8B" w:rsidRDefault="00C271A9" w:rsidP="00333ED5">
            <w:pPr>
              <w:ind w:left="0"/>
              <w:jc w:val="right"/>
              <w:rPr>
                <w:bCs/>
              </w:rPr>
            </w:pPr>
            <w:r>
              <w:t>12,192</w:t>
            </w:r>
          </w:p>
        </w:tc>
      </w:tr>
      <w:tr w:rsidR="00C271A9" w:rsidRPr="00B13E9A" w:rsidTr="00333ED5">
        <w:tc>
          <w:tcPr>
            <w:tcW w:w="4122" w:type="dxa"/>
          </w:tcPr>
          <w:p w:rsidR="00C271A9" w:rsidRPr="00A14C8B" w:rsidRDefault="00C271A9" w:rsidP="00333ED5">
            <w:pPr>
              <w:ind w:left="0"/>
              <w:rPr>
                <w:bCs/>
              </w:rPr>
            </w:pPr>
            <w:r>
              <w:t xml:space="preserve">Other </w:t>
            </w:r>
            <w:proofErr w:type="spellStart"/>
            <w:r>
              <w:t>operations</w:t>
            </w:r>
            <w:proofErr w:type="spellEnd"/>
          </w:p>
        </w:tc>
        <w:tc>
          <w:tcPr>
            <w:tcW w:w="2172" w:type="dxa"/>
          </w:tcPr>
          <w:p w:rsidR="00C271A9" w:rsidRPr="00A14C8B" w:rsidRDefault="00C271A9" w:rsidP="00333ED5">
            <w:pPr>
              <w:ind w:left="0"/>
              <w:jc w:val="right"/>
              <w:rPr>
                <w:bCs/>
              </w:rPr>
            </w:pPr>
            <w:r>
              <w:t>1,421</w:t>
            </w:r>
          </w:p>
        </w:tc>
        <w:tc>
          <w:tcPr>
            <w:tcW w:w="2173" w:type="dxa"/>
          </w:tcPr>
          <w:p w:rsidR="00C271A9" w:rsidRPr="00B13E9A" w:rsidRDefault="00C271A9" w:rsidP="00333ED5">
            <w:pPr>
              <w:ind w:left="0"/>
              <w:jc w:val="right"/>
              <w:rPr>
                <w:bCs/>
              </w:rPr>
            </w:pPr>
            <w:r>
              <w:t>1,531</w:t>
            </w:r>
          </w:p>
        </w:tc>
      </w:tr>
      <w:tr w:rsidR="00C271A9" w:rsidRPr="00B13E9A" w:rsidTr="00333ED5">
        <w:tc>
          <w:tcPr>
            <w:tcW w:w="4122" w:type="dxa"/>
          </w:tcPr>
          <w:p w:rsidR="00C271A9" w:rsidRPr="00B13E9A" w:rsidRDefault="00C271A9" w:rsidP="00333ED5">
            <w:pPr>
              <w:ind w:left="0"/>
              <w:rPr>
                <w:bCs/>
              </w:rPr>
            </w:pPr>
            <w:proofErr w:type="spellStart"/>
            <w:r>
              <w:t>Continuing</w:t>
            </w:r>
            <w:proofErr w:type="spellEnd"/>
            <w:r>
              <w:t xml:space="preserve"> </w:t>
            </w:r>
            <w:proofErr w:type="spellStart"/>
            <w:r>
              <w:t>operations</w:t>
            </w:r>
            <w:proofErr w:type="spellEnd"/>
          </w:p>
        </w:tc>
        <w:tc>
          <w:tcPr>
            <w:tcW w:w="2172" w:type="dxa"/>
          </w:tcPr>
          <w:p w:rsidR="00C271A9" w:rsidRPr="00B13E9A" w:rsidRDefault="00C271A9" w:rsidP="00333ED5">
            <w:pPr>
              <w:ind w:left="0"/>
              <w:jc w:val="right"/>
              <w:rPr>
                <w:bCs/>
              </w:rPr>
            </w:pPr>
            <w:r>
              <w:t>32,982</w:t>
            </w:r>
          </w:p>
        </w:tc>
        <w:tc>
          <w:tcPr>
            <w:tcW w:w="2173" w:type="dxa"/>
          </w:tcPr>
          <w:p w:rsidR="00C271A9" w:rsidRPr="00B13E9A" w:rsidRDefault="00C271A9" w:rsidP="00333ED5">
            <w:pPr>
              <w:ind w:left="0"/>
              <w:jc w:val="right"/>
              <w:rPr>
                <w:bCs/>
              </w:rPr>
            </w:pPr>
            <w:r>
              <w:t>32,995</w:t>
            </w:r>
          </w:p>
        </w:tc>
      </w:tr>
      <w:tr w:rsidR="00C271A9" w:rsidRPr="00B13E9A" w:rsidTr="00333ED5">
        <w:tc>
          <w:tcPr>
            <w:tcW w:w="4122" w:type="dxa"/>
          </w:tcPr>
          <w:p w:rsidR="00C271A9" w:rsidRPr="00B13E9A" w:rsidRDefault="00C271A9" w:rsidP="00333ED5">
            <w:pPr>
              <w:ind w:left="0"/>
              <w:rPr>
                <w:bCs/>
              </w:rPr>
            </w:pPr>
            <w:proofErr w:type="spellStart"/>
            <w:r>
              <w:t>Discontinued</w:t>
            </w:r>
            <w:proofErr w:type="spellEnd"/>
            <w:r>
              <w:t xml:space="preserve"> </w:t>
            </w:r>
            <w:proofErr w:type="spellStart"/>
            <w:r>
              <w:t>operations</w:t>
            </w:r>
            <w:proofErr w:type="spellEnd"/>
            <w:r>
              <w:t xml:space="preserve"> </w:t>
            </w:r>
          </w:p>
        </w:tc>
        <w:tc>
          <w:tcPr>
            <w:tcW w:w="2172" w:type="dxa"/>
          </w:tcPr>
          <w:p w:rsidR="00C271A9" w:rsidRPr="00B13E9A" w:rsidRDefault="00C271A9" w:rsidP="00333ED5">
            <w:pPr>
              <w:ind w:left="0"/>
              <w:jc w:val="right"/>
              <w:rPr>
                <w:bCs/>
              </w:rPr>
            </w:pPr>
            <w:r>
              <w:t>186</w:t>
            </w:r>
          </w:p>
        </w:tc>
        <w:tc>
          <w:tcPr>
            <w:tcW w:w="2173" w:type="dxa"/>
          </w:tcPr>
          <w:p w:rsidR="00C271A9" w:rsidRPr="00B13E9A" w:rsidRDefault="00C271A9" w:rsidP="00333ED5">
            <w:pPr>
              <w:ind w:left="0"/>
              <w:jc w:val="right"/>
              <w:rPr>
                <w:bCs/>
              </w:rPr>
            </w:pPr>
            <w:r>
              <w:t>655</w:t>
            </w:r>
          </w:p>
        </w:tc>
      </w:tr>
      <w:tr w:rsidR="00C271A9" w:rsidRPr="00BE5DBC" w:rsidTr="00333ED5">
        <w:tc>
          <w:tcPr>
            <w:tcW w:w="4122" w:type="dxa"/>
          </w:tcPr>
          <w:p w:rsidR="00C271A9" w:rsidRPr="00BE5DBC" w:rsidRDefault="00C271A9" w:rsidP="00333ED5">
            <w:pPr>
              <w:ind w:left="0"/>
              <w:rPr>
                <w:b/>
                <w:bCs/>
              </w:rPr>
            </w:pPr>
            <w:r>
              <w:rPr>
                <w:b/>
              </w:rPr>
              <w:t>Group</w:t>
            </w:r>
          </w:p>
        </w:tc>
        <w:tc>
          <w:tcPr>
            <w:tcW w:w="2172" w:type="dxa"/>
          </w:tcPr>
          <w:p w:rsidR="00C271A9" w:rsidRPr="00BE5DBC" w:rsidRDefault="00C271A9" w:rsidP="00333ED5">
            <w:pPr>
              <w:ind w:left="0"/>
              <w:jc w:val="right"/>
              <w:rPr>
                <w:b/>
                <w:bCs/>
              </w:rPr>
            </w:pPr>
            <w:r>
              <w:rPr>
                <w:b/>
              </w:rPr>
              <w:t>33,168</w:t>
            </w:r>
          </w:p>
        </w:tc>
        <w:tc>
          <w:tcPr>
            <w:tcW w:w="2173" w:type="dxa"/>
          </w:tcPr>
          <w:p w:rsidR="00C271A9" w:rsidRPr="00BE5DBC" w:rsidRDefault="00C271A9" w:rsidP="00333ED5">
            <w:pPr>
              <w:ind w:left="0"/>
              <w:jc w:val="right"/>
              <w:rPr>
                <w:b/>
                <w:bCs/>
              </w:rPr>
            </w:pPr>
            <w:r>
              <w:rPr>
                <w:b/>
              </w:rPr>
              <w:t>33,650</w:t>
            </w:r>
          </w:p>
        </w:tc>
      </w:tr>
    </w:tbl>
    <w:p w:rsidR="00C271A9" w:rsidRPr="00B13E9A" w:rsidRDefault="00C271A9" w:rsidP="00C271A9">
      <w:pPr>
        <w:rPr>
          <w:bCs/>
        </w:rPr>
      </w:pPr>
    </w:p>
    <w:p w:rsidR="00C271A9" w:rsidRDefault="00C271A9" w:rsidP="00C271A9">
      <w:pPr>
        <w:spacing w:line="240" w:lineRule="auto"/>
        <w:ind w:left="0" w:right="0"/>
        <w:rPr>
          <w:b/>
          <w:bCs/>
          <w:sz w:val="22"/>
          <w:szCs w:val="22"/>
        </w:rPr>
      </w:pPr>
    </w:p>
    <w:p w:rsidR="00394C88" w:rsidRDefault="00394C88" w:rsidP="00EF521C">
      <w:pPr>
        <w:spacing w:line="240" w:lineRule="auto"/>
        <w:ind w:right="0"/>
        <w:rPr>
          <w:rFonts w:cs="Lucida Sans Unicode"/>
          <w:b/>
          <w:bCs/>
          <w:color w:val="000000"/>
          <w:szCs w:val="18"/>
          <w:lang w:val="en-US"/>
        </w:rPr>
      </w:pPr>
    </w:p>
    <w:p w:rsidR="006F4337" w:rsidRDefault="006F4337" w:rsidP="00EF521C">
      <w:pPr>
        <w:spacing w:line="240" w:lineRule="auto"/>
        <w:ind w:right="0"/>
        <w:rPr>
          <w:rFonts w:cs="Lucida Sans Unicode"/>
          <w:b/>
          <w:bCs/>
          <w:color w:val="000000"/>
          <w:szCs w:val="18"/>
          <w:lang w:val="en-US"/>
        </w:rPr>
      </w:pPr>
    </w:p>
    <w:p w:rsidR="003C3375" w:rsidRDefault="003C3375" w:rsidP="00EF521C">
      <w:pPr>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EF521C">
      <w:pPr>
        <w:autoSpaceDE w:val="0"/>
        <w:autoSpaceDN w:val="0"/>
        <w:adjustRightInd w:val="0"/>
        <w:spacing w:line="220" w:lineRule="exact"/>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EF521C">
      <w:pPr>
        <w:autoSpaceDE w:val="0"/>
        <w:autoSpaceDN w:val="0"/>
        <w:adjustRightInd w:val="0"/>
        <w:spacing w:line="220" w:lineRule="exact"/>
        <w:rPr>
          <w:rFonts w:cs="Lucida Sans Unicode"/>
          <w:szCs w:val="18"/>
          <w:lang w:val="en-US"/>
        </w:rPr>
      </w:pPr>
    </w:p>
    <w:p w:rsidR="00D62AD8" w:rsidRPr="00BB06C8" w:rsidRDefault="00D62AD8" w:rsidP="00EF521C">
      <w:pPr>
        <w:autoSpaceDE w:val="0"/>
        <w:autoSpaceDN w:val="0"/>
        <w:adjustRightInd w:val="0"/>
        <w:spacing w:line="220" w:lineRule="exact"/>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w:t>
      </w:r>
      <w:r w:rsidR="00BC3F95">
        <w:rPr>
          <w:rFonts w:cs="Lucida Sans Unicode"/>
          <w:szCs w:val="18"/>
          <w:lang w:val="en-US"/>
        </w:rPr>
        <w:t>7</w:t>
      </w:r>
      <w:r w:rsidRPr="00BB06C8">
        <w:rPr>
          <w:rFonts w:cs="Lucida Sans Unicode"/>
          <w:szCs w:val="18"/>
          <w:lang w:val="en-US"/>
        </w:rPr>
        <w:t xml:space="preserve"> billion and an operating profit (adjusted EBITDA) of about €2.0 billion.</w:t>
      </w:r>
    </w:p>
    <w:p w:rsidR="003C3375" w:rsidRDefault="003C3375" w:rsidP="00EF521C">
      <w:pPr>
        <w:rPr>
          <w:szCs w:val="18"/>
          <w:lang w:val="en-US"/>
        </w:rPr>
      </w:pPr>
    </w:p>
    <w:p w:rsidR="003C3375" w:rsidRPr="00696302" w:rsidRDefault="003C3375" w:rsidP="00EF521C">
      <w:pPr>
        <w:spacing w:line="240" w:lineRule="auto"/>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EF521C">
      <w:pPr>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rsidP="00EF521C">
      <w:pPr>
        <w:spacing w:line="240" w:lineRule="auto"/>
        <w:ind w:right="0"/>
        <w:rPr>
          <w:rFonts w:cs="Lucida Sans Unicode"/>
          <w:position w:val="0"/>
          <w:szCs w:val="18"/>
          <w:lang w:val="en-US"/>
        </w:rPr>
      </w:pPr>
    </w:p>
    <w:p w:rsidR="00CC5D98" w:rsidRPr="003C3375" w:rsidRDefault="00CC5D98" w:rsidP="00EF521C">
      <w:pPr>
        <w:autoSpaceDE w:val="0"/>
        <w:autoSpaceDN w:val="0"/>
        <w:adjustRightInd w:val="0"/>
        <w:spacing w:line="220" w:lineRule="exact"/>
        <w:ind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6D" w:rsidRDefault="00620F6D">
      <w:r>
        <w:separator/>
      </w:r>
    </w:p>
    <w:p w:rsidR="00620F6D" w:rsidRDefault="00620F6D"/>
  </w:endnote>
  <w:endnote w:type="continuationSeparator" w:id="0">
    <w:p w:rsidR="00620F6D" w:rsidRDefault="00620F6D">
      <w:r>
        <w:continuationSeparator/>
      </w:r>
    </w:p>
    <w:p w:rsidR="00620F6D" w:rsidRDefault="0062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203D8">
      <w:rPr>
        <w:rStyle w:val="Seitenzahl"/>
        <w:noProof/>
      </w:rPr>
      <w:t>9</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203D8">
      <w:rPr>
        <w:rStyle w:val="Seitenzahl"/>
        <w:noProof/>
      </w:rPr>
      <w:t>9</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203D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203D8">
      <w:rPr>
        <w:rStyle w:val="Seitenzahl"/>
        <w:noProof/>
      </w:rPr>
      <w:t>9</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6D" w:rsidRDefault="00620F6D">
      <w:r>
        <w:separator/>
      </w:r>
    </w:p>
    <w:p w:rsidR="00620F6D" w:rsidRDefault="00620F6D"/>
  </w:footnote>
  <w:footnote w:type="continuationSeparator" w:id="0">
    <w:p w:rsidR="00620F6D" w:rsidRDefault="00620F6D">
      <w:r>
        <w:continuationSeparator/>
      </w:r>
    </w:p>
    <w:p w:rsidR="00620F6D" w:rsidRDefault="00620F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1312" behindDoc="1" locked="0" layoutInCell="1" allowOverlap="1" wp14:anchorId="1EB47478" wp14:editId="0BE4D68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65066543" wp14:editId="416796F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552E51" w:rsidRDefault="00552E51" w:rsidP="00CA632E">
    <w:pPr>
      <w:pStyle w:val="Kopfzeile"/>
      <w:rPr>
        <w:b/>
        <w:u w:val="single"/>
      </w:rPr>
    </w:pPr>
    <w:r>
      <w:br/>
    </w:r>
    <w:r>
      <w:br/>
    </w:r>
    <w:r>
      <w:br/>
    </w:r>
    <w:r>
      <w:br/>
    </w:r>
    <w:r>
      <w:br/>
    </w:r>
    <w:r>
      <w:br/>
    </w:r>
    <w:r>
      <w:br/>
    </w:r>
    <w:r>
      <w:br/>
    </w:r>
    <w:proofErr w:type="spellStart"/>
    <w:r w:rsidRPr="00552E51">
      <w:rPr>
        <w:b/>
        <w:u w:val="single"/>
      </w:rPr>
      <w:t>Embargoed</w:t>
    </w:r>
    <w:proofErr w:type="spellEnd"/>
    <w:r w:rsidRPr="00552E51">
      <w:rPr>
        <w:b/>
        <w:u w:val="single"/>
      </w:rPr>
      <w:t xml:space="preserve"> </w:t>
    </w:r>
    <w:proofErr w:type="spellStart"/>
    <w:r w:rsidRPr="00552E51">
      <w:rPr>
        <w:b/>
        <w:u w:val="single"/>
      </w:rPr>
      <w:t>until</w:t>
    </w:r>
    <w:proofErr w:type="spellEnd"/>
    <w:r w:rsidRPr="00552E51">
      <w:rPr>
        <w:b/>
        <w:u w:val="single"/>
      </w:rPr>
      <w:t xml:space="preserve">: </w:t>
    </w:r>
    <w:proofErr w:type="spellStart"/>
    <w:r w:rsidR="00CA632E">
      <w:rPr>
        <w:b/>
        <w:u w:val="single"/>
      </w:rPr>
      <w:t>July</w:t>
    </w:r>
    <w:proofErr w:type="spellEnd"/>
    <w:r w:rsidR="00CA632E">
      <w:rPr>
        <w:b/>
        <w:u w:val="single"/>
      </w:rPr>
      <w:t xml:space="preserve"> 31</w:t>
    </w:r>
    <w:r w:rsidRPr="00552E51">
      <w:rPr>
        <w:b/>
        <w:u w:val="single"/>
      </w:rPr>
      <w:t>, 2014, 7.00 a.m.</w:t>
    </w:r>
    <w:r w:rsidR="00794AB9" w:rsidRPr="00552E51">
      <w:rPr>
        <w:b/>
        <w:noProof/>
        <w:u w:val="single"/>
      </w:rPr>
      <w:drawing>
        <wp:anchor distT="0" distB="0" distL="114300" distR="114300" simplePos="0" relativeHeight="251660288" behindDoc="1" locked="0" layoutInCell="1" allowOverlap="1" wp14:anchorId="17DCC75B" wp14:editId="0BD8A7D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rPr>
      <mc:AlternateContent>
        <mc:Choice Requires="wpg">
          <w:drawing>
            <wp:anchor distT="0" distB="0" distL="114300" distR="114300" simplePos="0" relativeHeight="251656192" behindDoc="1" locked="0" layoutInCell="1" allowOverlap="1" wp14:anchorId="11AB4B95" wp14:editId="737F454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A1E0738"/>
    <w:multiLevelType w:val="hybridMultilevel"/>
    <w:tmpl w:val="4444364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8">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6"/>
  </w:num>
  <w:num w:numId="17">
    <w:abstractNumId w:val="1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6D"/>
    <w:rsid w:val="000434B6"/>
    <w:rsid w:val="002203D8"/>
    <w:rsid w:val="002836F3"/>
    <w:rsid w:val="002B6D6F"/>
    <w:rsid w:val="002B77FA"/>
    <w:rsid w:val="00394C88"/>
    <w:rsid w:val="003C3375"/>
    <w:rsid w:val="00552E51"/>
    <w:rsid w:val="00554BE4"/>
    <w:rsid w:val="005A0594"/>
    <w:rsid w:val="00620F6D"/>
    <w:rsid w:val="00634DA8"/>
    <w:rsid w:val="00665FE8"/>
    <w:rsid w:val="0067540D"/>
    <w:rsid w:val="0069514A"/>
    <w:rsid w:val="00696302"/>
    <w:rsid w:val="006C760D"/>
    <w:rsid w:val="006F4337"/>
    <w:rsid w:val="00762908"/>
    <w:rsid w:val="00777131"/>
    <w:rsid w:val="00787910"/>
    <w:rsid w:val="00787E54"/>
    <w:rsid w:val="00794AB9"/>
    <w:rsid w:val="008174AA"/>
    <w:rsid w:val="00841FF0"/>
    <w:rsid w:val="0093404D"/>
    <w:rsid w:val="00945C89"/>
    <w:rsid w:val="009B3F1F"/>
    <w:rsid w:val="009C3197"/>
    <w:rsid w:val="00A029E1"/>
    <w:rsid w:val="00A4039D"/>
    <w:rsid w:val="00A654E9"/>
    <w:rsid w:val="00AE6007"/>
    <w:rsid w:val="00AF0C7C"/>
    <w:rsid w:val="00B14022"/>
    <w:rsid w:val="00B81424"/>
    <w:rsid w:val="00BC3F95"/>
    <w:rsid w:val="00C271A9"/>
    <w:rsid w:val="00C96A06"/>
    <w:rsid w:val="00CA632E"/>
    <w:rsid w:val="00CC5D98"/>
    <w:rsid w:val="00D0669C"/>
    <w:rsid w:val="00D62AD8"/>
    <w:rsid w:val="00D93F4B"/>
    <w:rsid w:val="00DB5B19"/>
    <w:rsid w:val="00E00BD2"/>
    <w:rsid w:val="00E12886"/>
    <w:rsid w:val="00E23BAC"/>
    <w:rsid w:val="00E3471C"/>
    <w:rsid w:val="00E832D9"/>
    <w:rsid w:val="00EF521C"/>
    <w:rsid w:val="00F31F7C"/>
    <w:rsid w:val="00F54453"/>
    <w:rsid w:val="00F6408B"/>
    <w:rsid w:val="00F82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qFormat/>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qFormat/>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7E90-CF53-4A23-B7BE-6CA764D9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12F4EC47</Template>
  <TotalTime>0</TotalTime>
  <Pages>9</Pages>
  <Words>2517</Words>
  <Characters>13880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2014-07-30T15:00:00Z</cp:lastPrinted>
  <dcterms:created xsi:type="dcterms:W3CDTF">2014-07-30T11:25:00Z</dcterms:created>
  <dcterms:modified xsi:type="dcterms:W3CDTF">2014-07-30T15:00:00Z</dcterms:modified>
</cp:coreProperties>
</file>