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552E51">
            <w:pPr>
              <w:pStyle w:val="E-Datum"/>
              <w:framePr w:wrap="auto" w:vAnchor="margin" w:hAnchor="text" w:xAlign="left" w:yAlign="inline"/>
              <w:suppressOverlap w:val="0"/>
            </w:pPr>
            <w:r>
              <w:t>May 6, 201</w:t>
            </w:r>
            <w:r w:rsidR="006C1A93">
              <w:t>5</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974D97" w:rsidTr="00B14022">
        <w:trPr>
          <w:trHeight w:hRule="exact" w:val="1222"/>
        </w:trPr>
        <w:tc>
          <w:tcPr>
            <w:tcW w:w="2271" w:type="dxa"/>
            <w:shd w:val="clear" w:color="auto" w:fill="auto"/>
          </w:tcPr>
          <w:p w:rsidR="00CC5D98" w:rsidRPr="003C3375" w:rsidRDefault="006C1A93">
            <w:pPr>
              <w:pStyle w:val="M7"/>
              <w:framePr w:wrap="auto" w:vAnchor="margin" w:hAnchor="text" w:xAlign="left" w:yAlign="inline"/>
              <w:suppressOverlap w:val="0"/>
              <w:rPr>
                <w:lang w:val="en-US"/>
              </w:rPr>
            </w:pPr>
            <w:r>
              <w:rPr>
                <w:lang w:val="en-US"/>
              </w:rPr>
              <w:t>Hans-</w:t>
            </w:r>
            <w:proofErr w:type="spellStart"/>
            <w:r>
              <w:rPr>
                <w:lang w:val="en-US"/>
              </w:rPr>
              <w:t>Jörg</w:t>
            </w:r>
            <w:proofErr w:type="spellEnd"/>
            <w:r>
              <w:rPr>
                <w:lang w:val="en-US"/>
              </w:rPr>
              <w:t xml:space="preserve"> </w:t>
            </w:r>
            <w:proofErr w:type="spellStart"/>
            <w:r>
              <w:rPr>
                <w:lang w:val="en-US"/>
              </w:rPr>
              <w:t>Heims</w:t>
            </w:r>
            <w:proofErr w:type="spellEnd"/>
          </w:p>
          <w:p w:rsidR="00CC5D98" w:rsidRPr="00E12886" w:rsidRDefault="00552E51">
            <w:pPr>
              <w:pStyle w:val="M8"/>
              <w:framePr w:wrap="auto" w:vAnchor="margin" w:hAnchor="text" w:xAlign="left" w:yAlign="inline"/>
              <w:suppressOverlap w:val="0"/>
              <w:rPr>
                <w:lang w:val="en-US"/>
              </w:rPr>
            </w:pPr>
            <w:r>
              <w:rPr>
                <w:lang w:val="en-US"/>
              </w:rPr>
              <w:t>Head of Corporate Press</w:t>
            </w:r>
            <w:r w:rsidR="00B14022" w:rsidRPr="00E12886">
              <w:rPr>
                <w:lang w:val="en-US"/>
              </w:rPr>
              <w:t xml:space="preserve"> </w:t>
            </w:r>
          </w:p>
          <w:p w:rsidR="00CC5D98" w:rsidRPr="00E12886" w:rsidRDefault="00F31F7C">
            <w:pPr>
              <w:pStyle w:val="M9"/>
              <w:framePr w:wrap="auto" w:vAnchor="margin" w:hAnchor="text" w:xAlign="left" w:yAlign="inline"/>
              <w:suppressOverlap w:val="0"/>
              <w:rPr>
                <w:lang w:val="en-US"/>
              </w:rPr>
            </w:pPr>
            <w:r>
              <w:rPr>
                <w:lang w:val="en-US"/>
              </w:rPr>
              <w:t>Phone +</w:t>
            </w:r>
            <w:r w:rsidR="00B81424">
              <w:rPr>
                <w:lang w:val="en-US"/>
              </w:rPr>
              <w:t>49</w:t>
            </w:r>
            <w:r>
              <w:rPr>
                <w:lang w:val="en-US"/>
              </w:rPr>
              <w:tab/>
            </w:r>
            <w:r w:rsidR="00552E51">
              <w:rPr>
                <w:lang w:val="en-US"/>
              </w:rPr>
              <w:t>201 177-342</w:t>
            </w:r>
            <w:r w:rsidR="006C1A93">
              <w:rPr>
                <w:lang w:val="en-US"/>
              </w:rPr>
              <w:t>5</w:t>
            </w:r>
          </w:p>
          <w:p w:rsidR="00CC5D98" w:rsidRDefault="00F31F7C">
            <w:pPr>
              <w:pStyle w:val="M10"/>
              <w:framePr w:wrap="auto" w:vAnchor="margin" w:hAnchor="text" w:xAlign="left" w:yAlign="inline"/>
              <w:suppressOverlap w:val="0"/>
            </w:pPr>
            <w:r>
              <w:t>F</w:t>
            </w:r>
            <w:r w:rsidR="00B81424">
              <w:t>ax +49</w:t>
            </w:r>
            <w:r w:rsidR="00B81424">
              <w:tab/>
            </w:r>
            <w:r w:rsidR="00552E51">
              <w:t>201 177-3030</w:t>
            </w:r>
          </w:p>
          <w:p w:rsidR="00CC5D98" w:rsidRDefault="006C1A93" w:rsidP="00B81424">
            <w:pPr>
              <w:pStyle w:val="M10"/>
              <w:framePr w:wrap="auto" w:vAnchor="margin" w:hAnchor="text" w:xAlign="left" w:yAlign="inline"/>
              <w:suppressOverlap w:val="0"/>
            </w:pPr>
            <w:r>
              <w:t>hans-joerg.heims</w:t>
            </w:r>
            <w:r w:rsidR="00B14022">
              <w:t>@evonik.com</w:t>
            </w:r>
            <w:r w:rsidR="00B14022">
              <w:rPr>
                <w:lang w:val="sv-SE"/>
              </w:rPr>
              <w:t xml:space="preserve"> </w:t>
            </w:r>
          </w:p>
        </w:tc>
      </w:tr>
      <w:tr w:rsidR="00CC5D98" w:rsidRPr="00974D97" w:rsidTr="00B14022">
        <w:trPr>
          <w:trHeight w:val="2609"/>
        </w:trPr>
        <w:tc>
          <w:tcPr>
            <w:tcW w:w="2271" w:type="dxa"/>
            <w:shd w:val="clear" w:color="auto" w:fill="auto"/>
          </w:tcPr>
          <w:p w:rsidR="00CC5D98" w:rsidRPr="003C3375" w:rsidRDefault="00552E51">
            <w:pPr>
              <w:pStyle w:val="M7"/>
              <w:framePr w:wrap="auto" w:vAnchor="margin" w:hAnchor="text" w:xAlign="left" w:yAlign="inline"/>
              <w:suppressOverlap w:val="0"/>
              <w:rPr>
                <w:lang w:val="en-US"/>
              </w:rPr>
            </w:pPr>
            <w:r>
              <w:rPr>
                <w:lang w:val="en-US"/>
              </w:rPr>
              <w:t>Alexandra Boy</w:t>
            </w:r>
          </w:p>
          <w:p w:rsidR="00552E51" w:rsidRPr="00F31F7C" w:rsidRDefault="00552E51">
            <w:pPr>
              <w:pStyle w:val="M8"/>
              <w:framePr w:wrap="auto" w:vAnchor="margin" w:hAnchor="text" w:xAlign="left" w:yAlign="inline"/>
              <w:suppressOverlap w:val="0"/>
              <w:rPr>
                <w:lang w:val="en-US"/>
              </w:rPr>
            </w:pPr>
            <w:r>
              <w:rPr>
                <w:lang w:val="en-US"/>
              </w:rPr>
              <w:t>Deputy Head Corporate Press</w:t>
            </w:r>
          </w:p>
          <w:p w:rsidR="00CC5D98" w:rsidRPr="00BC3F95" w:rsidRDefault="00F31F7C">
            <w:pPr>
              <w:pStyle w:val="M9"/>
              <w:framePr w:wrap="auto" w:vAnchor="margin" w:hAnchor="text" w:xAlign="left" w:yAlign="inline"/>
              <w:suppressOverlap w:val="0"/>
              <w:rPr>
                <w:lang w:val="en-US"/>
              </w:rPr>
            </w:pPr>
            <w:r w:rsidRPr="00BC3F95">
              <w:rPr>
                <w:lang w:val="en-US"/>
              </w:rPr>
              <w:t>Phone</w:t>
            </w:r>
            <w:r w:rsidR="00B14022" w:rsidRPr="00BC3F95">
              <w:rPr>
                <w:lang w:val="en-US"/>
              </w:rPr>
              <w:t xml:space="preserve"> +49</w:t>
            </w:r>
            <w:r w:rsidR="00B14022" w:rsidRPr="00BC3F95">
              <w:rPr>
                <w:lang w:val="en-US"/>
              </w:rPr>
              <w:tab/>
            </w:r>
            <w:r w:rsidR="00552E51" w:rsidRPr="00BC3F95">
              <w:rPr>
                <w:lang w:val="en-US"/>
              </w:rPr>
              <w:t>201 177-3167</w:t>
            </w:r>
          </w:p>
          <w:p w:rsidR="00CC5D98" w:rsidRDefault="00F31F7C">
            <w:pPr>
              <w:pStyle w:val="M10"/>
              <w:framePr w:wrap="auto" w:vAnchor="margin" w:hAnchor="text" w:xAlign="left" w:yAlign="inline"/>
              <w:suppressOverlap w:val="0"/>
            </w:pPr>
            <w:r>
              <w:t>F</w:t>
            </w:r>
            <w:r w:rsidR="00B14022">
              <w:t>ax +49</w:t>
            </w:r>
            <w:r w:rsidR="00B14022">
              <w:tab/>
            </w:r>
            <w:r w:rsidR="00552E51">
              <w:t>201 177-3030</w:t>
            </w:r>
            <w:r w:rsidR="00B14022">
              <w:tab/>
            </w:r>
          </w:p>
          <w:p w:rsidR="00CC5D98" w:rsidRDefault="00552E51">
            <w:pPr>
              <w:pStyle w:val="M10"/>
              <w:framePr w:wrap="auto" w:vAnchor="margin" w:hAnchor="text" w:xAlign="left" w:yAlign="inline"/>
              <w:suppressOverlap w:val="0"/>
            </w:pPr>
            <w:r>
              <w:t>alexandra.boy</w:t>
            </w:r>
            <w:r w:rsidR="00B14022">
              <w:t>@evonik.com</w:t>
            </w:r>
          </w:p>
          <w:p w:rsidR="00CC5D98" w:rsidRPr="00BC3F95" w:rsidRDefault="00B14022">
            <w:pPr>
              <w:pStyle w:val="M12"/>
              <w:framePr w:wrap="auto" w:vAnchor="margin" w:hAnchor="text" w:xAlign="left" w:yAlign="inline"/>
              <w:suppressOverlap w:val="0"/>
              <w:rPr>
                <w:lang w:val="en-US"/>
              </w:rPr>
            </w:pPr>
            <w:r w:rsidRPr="00BC3F95">
              <w:rPr>
                <w:lang w:val="en-US"/>
              </w:rPr>
              <w:br/>
            </w:r>
          </w:p>
        </w:tc>
      </w:tr>
      <w:tr w:rsidR="00CC5D98" w:rsidRPr="003C3375" w:rsidTr="00B14022">
        <w:trPr>
          <w:trHeight w:hRule="exact" w:val="7880"/>
        </w:trPr>
        <w:tc>
          <w:tcPr>
            <w:tcW w:w="2271" w:type="dxa"/>
            <w:shd w:val="clear" w:color="auto" w:fill="auto"/>
            <w:vAlign w:val="bottom"/>
          </w:tcPr>
          <w:p w:rsidR="00CC5D98" w:rsidRPr="00BC3F95" w:rsidRDefault="00CC5D98">
            <w:pPr>
              <w:pStyle w:val="Marginalie"/>
              <w:framePr w:w="0" w:hSpace="0" w:wrap="auto" w:vAnchor="margin" w:hAnchor="text" w:xAlign="left" w:yAlign="inline"/>
              <w:rPr>
                <w:b/>
                <w:lang w:val="en-US"/>
              </w:rPr>
            </w:pPr>
          </w:p>
          <w:p w:rsidR="00B14022" w:rsidRPr="00BC3F95" w:rsidRDefault="00B14022">
            <w:pPr>
              <w:pStyle w:val="V1"/>
              <w:framePr w:wrap="auto" w:vAnchor="margin" w:hAnchor="text" w:xAlign="left" w:yAlign="inline"/>
              <w:suppressOverlap w:val="0"/>
              <w:rPr>
                <w:lang w:val="en-US"/>
              </w:rPr>
            </w:pPr>
          </w:p>
          <w:p w:rsidR="00B14022" w:rsidRPr="00BC3F95" w:rsidRDefault="00B14022">
            <w:pPr>
              <w:pStyle w:val="V1"/>
              <w:framePr w:wrap="auto" w:vAnchor="margin" w:hAnchor="text" w:xAlign="left" w:yAlign="inline"/>
              <w:suppressOverlap w:val="0"/>
              <w:rPr>
                <w:lang w:val="en-US"/>
              </w:rPr>
            </w:pPr>
          </w:p>
          <w:p w:rsidR="00B14022" w:rsidRPr="00BC3F95" w:rsidRDefault="00B14022">
            <w:pPr>
              <w:pStyle w:val="V1"/>
              <w:framePr w:wrap="auto" w:vAnchor="margin" w:hAnchor="text" w:xAlign="left" w:yAlign="inline"/>
              <w:suppressOverlap w:val="0"/>
              <w:rPr>
                <w:lang w:val="en-US"/>
              </w:rPr>
            </w:pPr>
          </w:p>
          <w:p w:rsidR="00B14022" w:rsidRPr="00BC3F95" w:rsidRDefault="00B14022">
            <w:pPr>
              <w:pStyle w:val="V1"/>
              <w:framePr w:wrap="auto" w:vAnchor="margin" w:hAnchor="text" w:xAlign="left" w:yAlign="inline"/>
              <w:suppressOverlap w:val="0"/>
              <w:rPr>
                <w:lang w:val="en-US"/>
              </w:rPr>
            </w:pPr>
          </w:p>
          <w:p w:rsidR="00B14022" w:rsidRPr="00BC3F95" w:rsidRDefault="00B14022">
            <w:pPr>
              <w:pStyle w:val="V1"/>
              <w:framePr w:wrap="auto" w:vAnchor="margin" w:hAnchor="text" w:xAlign="left" w:yAlign="inline"/>
              <w:suppressOverlap w:val="0"/>
              <w:rPr>
                <w:lang w:val="en-US"/>
              </w:rPr>
            </w:pPr>
          </w:p>
          <w:p w:rsidR="00B14022" w:rsidRPr="00BC3F95" w:rsidRDefault="00B14022">
            <w:pPr>
              <w:pStyle w:val="V1"/>
              <w:framePr w:wrap="auto" w:vAnchor="margin" w:hAnchor="text" w:xAlign="left" w:yAlign="inline"/>
              <w:suppressOverlap w:val="0"/>
              <w:rPr>
                <w:lang w:val="en-US"/>
              </w:rPr>
            </w:pPr>
          </w:p>
          <w:p w:rsidR="00B14022" w:rsidRPr="00BC3F95" w:rsidRDefault="00B14022">
            <w:pPr>
              <w:pStyle w:val="V1"/>
              <w:framePr w:wrap="auto" w:vAnchor="margin" w:hAnchor="text" w:xAlign="left" w:yAlign="inline"/>
              <w:suppressOverlap w:val="0"/>
              <w:rPr>
                <w:lang w:val="en-US"/>
              </w:rPr>
            </w:pPr>
          </w:p>
          <w:p w:rsidR="00B14022" w:rsidRPr="00BC3F95" w:rsidRDefault="00B14022">
            <w:pPr>
              <w:pStyle w:val="V1"/>
              <w:framePr w:wrap="auto" w:vAnchor="margin" w:hAnchor="text" w:xAlign="left" w:yAlign="inline"/>
              <w:suppressOverlap w:val="0"/>
              <w:rPr>
                <w:lang w:val="en-US"/>
              </w:rPr>
            </w:pPr>
          </w:p>
          <w:p w:rsidR="00B14022" w:rsidRPr="00BC3F95" w:rsidRDefault="00B14022">
            <w:pPr>
              <w:pStyle w:val="V1"/>
              <w:framePr w:wrap="auto" w:vAnchor="margin" w:hAnchor="text" w:xAlign="left" w:yAlign="inline"/>
              <w:suppressOverlap w:val="0"/>
              <w:rPr>
                <w:lang w:val="en-US"/>
              </w:rPr>
            </w:pPr>
          </w:p>
          <w:p w:rsidR="00B14022" w:rsidRPr="00BC3F95" w:rsidRDefault="00B14022">
            <w:pPr>
              <w:pStyle w:val="V1"/>
              <w:framePr w:wrap="auto" w:vAnchor="margin" w:hAnchor="text" w:xAlign="left" w:yAlign="inline"/>
              <w:suppressOverlap w:val="0"/>
              <w:rPr>
                <w:lang w:val="en-US"/>
              </w:rPr>
            </w:pPr>
          </w:p>
          <w:p w:rsidR="00B14022" w:rsidRPr="00BC3F95" w:rsidRDefault="00B14022">
            <w:pPr>
              <w:pStyle w:val="V1"/>
              <w:framePr w:wrap="auto" w:vAnchor="margin" w:hAnchor="text" w:xAlign="left" w:yAlign="inline"/>
              <w:suppressOverlap w:val="0"/>
              <w:rPr>
                <w:lang w:val="en-US"/>
              </w:rPr>
            </w:pPr>
          </w:p>
          <w:p w:rsidR="00B14022" w:rsidRPr="00BC3F95"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2B6D6F">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2B6D6F">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BC3F95">
              <w:rPr>
                <w:lang w:val="en-US"/>
              </w:rPr>
              <w:instrText xml:space="preserve"> FORMTEXT </w:instrText>
            </w:r>
            <w:r>
              <w:fldChar w:fldCharType="separate"/>
            </w:r>
            <w:r w:rsidR="002B6D6F" w:rsidRPr="00BC3F95">
              <w:rPr>
                <w:noProof/>
                <w:lang w:val="en-US"/>
              </w:rPr>
              <w:t>45128 Essen</w:t>
            </w:r>
            <w:r>
              <w:fldChar w:fldCharType="end"/>
            </w:r>
            <w:r w:rsidR="003C3375" w:rsidRPr="00BC3F95">
              <w:rPr>
                <w:lang w:val="en-US"/>
              </w:rPr>
              <w:br/>
              <w:t>Ger</w:t>
            </w:r>
            <w:r w:rsidR="003C3375" w:rsidRPr="00F31F7C">
              <w:rPr>
                <w:lang w:val="en-US"/>
              </w:rPr>
              <w:t>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2B6D6F" w:rsidRPr="00BC3F95">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2B6D6F" w:rsidRPr="00BC3F95">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2B6D6F">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2B6D6F">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2B6D6F">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2B6D6F" w:rsidRPr="00BC3F95">
              <w:rPr>
                <w:noProof/>
                <w:lang w:val="en-US"/>
              </w:rPr>
              <w:t>Executive Board</w:t>
            </w:r>
            <w:r>
              <w:fldChar w:fldCharType="end"/>
            </w:r>
          </w:p>
          <w:p w:rsidR="00CC5D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E00BD2">
              <w:instrText xml:space="preserve"> FORMTEXT </w:instrText>
            </w:r>
            <w:r>
              <w:fldChar w:fldCharType="separate"/>
            </w:r>
            <w:r w:rsidR="002B6D6F">
              <w:rPr>
                <w:noProof/>
              </w:rPr>
              <w:t>Dr. Klaus Engel</w:t>
            </w:r>
            <w:r>
              <w:fldChar w:fldCharType="end"/>
            </w:r>
            <w:r w:rsidRPr="00E00BD2">
              <w:t xml:space="preserve">, </w:t>
            </w:r>
            <w:r w:rsidR="003C3375" w:rsidRPr="00E00BD2">
              <w:t>Chairman</w:t>
            </w:r>
          </w:p>
          <w:p w:rsidR="006C1A93" w:rsidRPr="00E00BD2" w:rsidRDefault="006C1A93">
            <w:pPr>
              <w:pStyle w:val="V10"/>
              <w:framePr w:wrap="auto" w:vAnchor="margin" w:hAnchor="text" w:xAlign="left" w:yAlign="inline"/>
              <w:suppressOverlap w:val="0"/>
            </w:pPr>
            <w:r>
              <w:t>Christian Kullmann</w:t>
            </w:r>
          </w:p>
          <w:p w:rsidR="00CC5D98" w:rsidRDefault="00B14022" w:rsidP="00554BE4">
            <w:pPr>
              <w:pStyle w:val="V11"/>
              <w:framePr w:wrap="auto" w:vAnchor="margin" w:hAnchor="text" w:xAlign="left" w:yAlign="inline"/>
              <w:suppressOverlap w:val="0"/>
            </w:pPr>
            <w:r>
              <w:t>Thomas Wessel</w:t>
            </w:r>
            <w:r w:rsidR="00554BE4">
              <w:br/>
            </w:r>
            <w:r>
              <w:fldChar w:fldCharType="begin">
                <w:ffData>
                  <w:name w:val=""/>
                  <w:enabled/>
                  <w:calcOnExit w:val="0"/>
                  <w:textInput>
                    <w:default w:val="Patrik Wohlhauser"/>
                  </w:textInput>
                </w:ffData>
              </w:fldChar>
            </w:r>
            <w:r>
              <w:instrText xml:space="preserve"> FORMTEXT </w:instrText>
            </w:r>
            <w:r>
              <w:fldChar w:fldCharType="separate"/>
            </w:r>
            <w:r w:rsidR="002B6D6F">
              <w:rPr>
                <w:noProof/>
              </w:rPr>
              <w:t>Patrik Wohlhauser</w:t>
            </w:r>
            <w:r>
              <w:fldChar w:fldCharType="end"/>
            </w:r>
            <w:r w:rsidR="00554BE4">
              <w:br/>
              <w:t>Ute Wolf</w:t>
            </w:r>
            <w:r w:rsidR="00554BE4">
              <w:br/>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552E51" w:rsidRPr="00552E51" w:rsidRDefault="00552E51" w:rsidP="006C1A93">
      <w:pPr>
        <w:ind w:left="0"/>
        <w:rPr>
          <w:u w:val="single"/>
          <w:lang w:val="en-US"/>
        </w:rPr>
      </w:pPr>
      <w:r w:rsidRPr="00552E51">
        <w:rPr>
          <w:u w:val="single"/>
          <w:lang w:val="en-US"/>
        </w:rPr>
        <w:lastRenderedPageBreak/>
        <w:t>Key Financial Data:</w:t>
      </w:r>
    </w:p>
    <w:p w:rsidR="00552E51" w:rsidRPr="00552E51" w:rsidRDefault="006C1A93" w:rsidP="006C1A93">
      <w:pPr>
        <w:ind w:left="0"/>
        <w:rPr>
          <w:u w:val="single"/>
          <w:lang w:val="en-US"/>
        </w:rPr>
      </w:pPr>
      <w:r>
        <w:rPr>
          <w:u w:val="single"/>
          <w:lang w:val="en-US"/>
        </w:rPr>
        <w:t>January 1 to March 31, 2015 / Q1 2015</w:t>
      </w:r>
    </w:p>
    <w:p w:rsidR="00552E51" w:rsidRPr="00552E51" w:rsidRDefault="00552E51" w:rsidP="00552E51">
      <w:pPr>
        <w:spacing w:line="300" w:lineRule="exact"/>
        <w:rPr>
          <w:u w:val="single"/>
          <w:lang w:val="en-US"/>
        </w:rPr>
      </w:pPr>
    </w:p>
    <w:p w:rsidR="002A4B81" w:rsidRPr="002A4B81" w:rsidRDefault="002A4B81" w:rsidP="002A4B81">
      <w:pPr>
        <w:spacing w:line="300" w:lineRule="exact"/>
        <w:ind w:left="0"/>
        <w:rPr>
          <w:b/>
          <w:bCs/>
          <w:sz w:val="20"/>
          <w:szCs w:val="20"/>
          <w:lang w:val="en-US"/>
        </w:rPr>
      </w:pPr>
      <w:r w:rsidRPr="002A4B81">
        <w:rPr>
          <w:b/>
          <w:bCs/>
          <w:sz w:val="20"/>
          <w:szCs w:val="20"/>
          <w:lang w:val="en-US"/>
        </w:rPr>
        <w:t xml:space="preserve">Strong start to 2015—Outlook raised </w:t>
      </w:r>
    </w:p>
    <w:p w:rsidR="002A4B81" w:rsidRPr="002A4B81" w:rsidRDefault="002A4B81" w:rsidP="002A4B81">
      <w:pPr>
        <w:rPr>
          <w:b/>
          <w:lang w:val="en-US"/>
        </w:rPr>
      </w:pPr>
    </w:p>
    <w:p w:rsidR="002A4B81" w:rsidRPr="002A4B81" w:rsidRDefault="002A4B81" w:rsidP="002A4B81">
      <w:pPr>
        <w:numPr>
          <w:ilvl w:val="0"/>
          <w:numId w:val="14"/>
        </w:numPr>
        <w:tabs>
          <w:tab w:val="clear" w:pos="1425"/>
          <w:tab w:val="num" w:pos="340"/>
        </w:tabs>
        <w:spacing w:line="300" w:lineRule="exact"/>
        <w:ind w:left="340" w:hanging="340"/>
        <w:rPr>
          <w:rFonts w:cs="Lucida Sans Unicode"/>
          <w:b/>
          <w:position w:val="0"/>
          <w:sz w:val="20"/>
          <w:szCs w:val="20"/>
          <w:lang w:val="en-US"/>
        </w:rPr>
      </w:pPr>
      <w:r w:rsidRPr="002A4B81">
        <w:rPr>
          <w:rFonts w:cs="Lucida Sans Unicode"/>
          <w:b/>
          <w:position w:val="0"/>
          <w:sz w:val="20"/>
          <w:szCs w:val="20"/>
          <w:lang w:val="en-US"/>
        </w:rPr>
        <w:t>Positive trend from the second half of 2014 is continuing</w:t>
      </w:r>
    </w:p>
    <w:p w:rsidR="002A4B81" w:rsidRPr="002A4B81" w:rsidRDefault="002A4B81" w:rsidP="002A4B81">
      <w:pPr>
        <w:numPr>
          <w:ilvl w:val="0"/>
          <w:numId w:val="14"/>
        </w:numPr>
        <w:tabs>
          <w:tab w:val="clear" w:pos="1425"/>
          <w:tab w:val="num" w:pos="340"/>
        </w:tabs>
        <w:spacing w:line="300" w:lineRule="exact"/>
        <w:ind w:left="340" w:hanging="340"/>
        <w:rPr>
          <w:rFonts w:cs="Lucida Sans Unicode"/>
          <w:b/>
          <w:position w:val="0"/>
          <w:sz w:val="20"/>
          <w:szCs w:val="20"/>
          <w:lang w:val="en-US"/>
        </w:rPr>
      </w:pPr>
      <w:r w:rsidRPr="002A4B81">
        <w:rPr>
          <w:rFonts w:cs="Lucida Sans Unicode"/>
          <w:b/>
          <w:position w:val="0"/>
          <w:sz w:val="20"/>
          <w:szCs w:val="20"/>
          <w:lang w:val="en-US"/>
        </w:rPr>
        <w:t>Group sales grew 7 percent year-on-year to €3.4 billion</w:t>
      </w:r>
    </w:p>
    <w:p w:rsidR="002A4B81" w:rsidRPr="002A4B81" w:rsidRDefault="002A4B81" w:rsidP="002A4B81">
      <w:pPr>
        <w:numPr>
          <w:ilvl w:val="0"/>
          <w:numId w:val="14"/>
        </w:numPr>
        <w:tabs>
          <w:tab w:val="clear" w:pos="1425"/>
          <w:tab w:val="num" w:pos="340"/>
        </w:tabs>
        <w:spacing w:line="300" w:lineRule="exact"/>
        <w:ind w:left="340" w:hanging="340"/>
        <w:rPr>
          <w:rFonts w:cs="Lucida Sans Unicode"/>
          <w:b/>
          <w:position w:val="0"/>
          <w:sz w:val="20"/>
          <w:szCs w:val="20"/>
          <w:lang w:val="en-US"/>
        </w:rPr>
      </w:pPr>
      <w:r w:rsidRPr="002A4B81">
        <w:rPr>
          <w:rFonts w:cs="Lucida Sans Unicode"/>
          <w:b/>
          <w:position w:val="0"/>
          <w:sz w:val="20"/>
          <w:szCs w:val="20"/>
          <w:lang w:val="en-US"/>
        </w:rPr>
        <w:t xml:space="preserve">Considerable improvement in adjusted EBITDA to €650 million </w:t>
      </w:r>
      <w:r w:rsidRPr="002A4B81">
        <w:rPr>
          <w:rFonts w:cs="Lucida Sans Unicode"/>
          <w:b/>
          <w:position w:val="0"/>
          <w:sz w:val="20"/>
          <w:szCs w:val="20"/>
          <w:lang w:val="en-US"/>
        </w:rPr>
        <w:br/>
      </w:r>
      <w:r w:rsidRPr="002A4B81">
        <w:rPr>
          <w:rFonts w:cs="Lucida Sans Unicode"/>
          <w:b/>
          <w:position w:val="0"/>
          <w:sz w:val="20"/>
          <w:szCs w:val="20"/>
          <w:lang w:val="en-US"/>
        </w:rPr>
        <w:tab/>
        <w:t>(+40 percent)</w:t>
      </w:r>
    </w:p>
    <w:p w:rsidR="002A4B81" w:rsidRPr="002A4B81" w:rsidRDefault="002A4B81" w:rsidP="002A4B81">
      <w:pPr>
        <w:numPr>
          <w:ilvl w:val="0"/>
          <w:numId w:val="14"/>
        </w:numPr>
        <w:tabs>
          <w:tab w:val="clear" w:pos="1425"/>
          <w:tab w:val="num" w:pos="340"/>
        </w:tabs>
        <w:spacing w:line="300" w:lineRule="exact"/>
        <w:ind w:left="340" w:hanging="340"/>
        <w:rPr>
          <w:rFonts w:cs="Lucida Sans Unicode"/>
          <w:b/>
          <w:position w:val="0"/>
          <w:sz w:val="20"/>
          <w:szCs w:val="20"/>
          <w:lang w:val="en-US"/>
        </w:rPr>
      </w:pPr>
      <w:r w:rsidRPr="002A4B81">
        <w:rPr>
          <w:rFonts w:cs="Lucida Sans Unicode"/>
          <w:b/>
          <w:position w:val="0"/>
          <w:sz w:val="20"/>
          <w:szCs w:val="20"/>
          <w:lang w:val="en-US"/>
        </w:rPr>
        <w:t>Adjusted EBITDA margin at a high level of 19 percent</w:t>
      </w:r>
    </w:p>
    <w:p w:rsidR="002A4B81" w:rsidRPr="002A4B81" w:rsidRDefault="002A4B81" w:rsidP="002A4B81">
      <w:pPr>
        <w:numPr>
          <w:ilvl w:val="0"/>
          <w:numId w:val="14"/>
        </w:numPr>
        <w:tabs>
          <w:tab w:val="clear" w:pos="1425"/>
          <w:tab w:val="num" w:pos="340"/>
        </w:tabs>
        <w:spacing w:line="300" w:lineRule="exact"/>
        <w:ind w:left="340" w:hanging="340"/>
        <w:rPr>
          <w:rFonts w:cs="Lucida Sans Unicode"/>
          <w:b/>
          <w:position w:val="0"/>
          <w:sz w:val="20"/>
          <w:szCs w:val="20"/>
          <w:lang w:val="en-US"/>
        </w:rPr>
      </w:pPr>
      <w:r w:rsidRPr="002A4B81">
        <w:rPr>
          <w:rFonts w:cs="Lucida Sans Unicode"/>
          <w:b/>
          <w:position w:val="0"/>
          <w:sz w:val="20"/>
          <w:szCs w:val="20"/>
          <w:lang w:val="en-US"/>
        </w:rPr>
        <w:t xml:space="preserve">Adjusted net income increased substantially to €320 million  </w:t>
      </w:r>
      <w:r w:rsidRPr="002A4B81">
        <w:rPr>
          <w:rFonts w:cs="Lucida Sans Unicode"/>
          <w:b/>
          <w:position w:val="0"/>
          <w:sz w:val="20"/>
          <w:szCs w:val="20"/>
          <w:lang w:val="en-US"/>
        </w:rPr>
        <w:br/>
      </w:r>
      <w:r w:rsidRPr="002A4B81">
        <w:rPr>
          <w:rFonts w:cs="Lucida Sans Unicode"/>
          <w:b/>
          <w:position w:val="0"/>
          <w:sz w:val="20"/>
          <w:szCs w:val="20"/>
          <w:lang w:val="en-US"/>
        </w:rPr>
        <w:tab/>
        <w:t>(+63 percent)</w:t>
      </w:r>
    </w:p>
    <w:p w:rsidR="002A4B81" w:rsidRPr="002A4B81" w:rsidRDefault="002A4B81" w:rsidP="002A4B81">
      <w:pPr>
        <w:numPr>
          <w:ilvl w:val="0"/>
          <w:numId w:val="14"/>
        </w:numPr>
        <w:tabs>
          <w:tab w:val="clear" w:pos="1425"/>
          <w:tab w:val="num" w:pos="340"/>
        </w:tabs>
        <w:spacing w:line="300" w:lineRule="exact"/>
        <w:ind w:left="340" w:hanging="340"/>
        <w:rPr>
          <w:rFonts w:cs="Lucida Sans Unicode"/>
          <w:b/>
          <w:position w:val="0"/>
          <w:sz w:val="20"/>
          <w:szCs w:val="20"/>
          <w:lang w:val="en-US"/>
        </w:rPr>
      </w:pPr>
      <w:r w:rsidRPr="002A4B81">
        <w:rPr>
          <w:rFonts w:cs="Lucida Sans Unicode"/>
          <w:b/>
          <w:position w:val="0"/>
          <w:sz w:val="20"/>
          <w:szCs w:val="20"/>
          <w:lang w:val="en-US"/>
        </w:rPr>
        <w:t xml:space="preserve">Outlook for fiscal 2015 raised: sales slightly above prior year, </w:t>
      </w:r>
      <w:r w:rsidRPr="002A4B81">
        <w:rPr>
          <w:rFonts w:cs="Lucida Sans Unicode"/>
          <w:b/>
          <w:position w:val="0"/>
          <w:sz w:val="20"/>
          <w:szCs w:val="20"/>
          <w:lang w:val="en-US"/>
        </w:rPr>
        <w:br/>
      </w:r>
      <w:r w:rsidRPr="002A4B81">
        <w:rPr>
          <w:rFonts w:cs="Lucida Sans Unicode"/>
          <w:b/>
          <w:position w:val="0"/>
          <w:sz w:val="20"/>
          <w:szCs w:val="20"/>
          <w:lang w:val="en-US"/>
        </w:rPr>
        <w:tab/>
        <w:t>adjusted EBITDA expected to be at least €2.2 billion</w:t>
      </w:r>
    </w:p>
    <w:p w:rsidR="002A4B81" w:rsidRPr="002A4B81" w:rsidRDefault="002A4B81" w:rsidP="002A4B81">
      <w:pPr>
        <w:spacing w:line="300" w:lineRule="exact"/>
        <w:ind w:left="0"/>
        <w:rPr>
          <w:rFonts w:cs="Lucida Sans Unicode"/>
          <w:b/>
          <w:bCs/>
          <w:position w:val="0"/>
          <w:sz w:val="20"/>
          <w:szCs w:val="20"/>
          <w:lang w:val="en-US"/>
        </w:rPr>
      </w:pPr>
    </w:p>
    <w:p w:rsidR="002A4B81" w:rsidRPr="002A4B81" w:rsidRDefault="002A4B81" w:rsidP="002A4B81">
      <w:pPr>
        <w:spacing w:line="300" w:lineRule="exact"/>
        <w:ind w:left="0"/>
        <w:rPr>
          <w:rFonts w:cs="Lucida Sans Unicode"/>
          <w:b/>
          <w:bCs/>
          <w:position w:val="0"/>
          <w:sz w:val="20"/>
          <w:szCs w:val="20"/>
          <w:lang w:val="en-US"/>
        </w:rPr>
      </w:pPr>
    </w:p>
    <w:p w:rsidR="002A4B81" w:rsidRPr="002A4B81" w:rsidRDefault="002A4B81" w:rsidP="002A4B81">
      <w:pPr>
        <w:spacing w:line="300" w:lineRule="exact"/>
        <w:ind w:left="0"/>
        <w:rPr>
          <w:sz w:val="20"/>
          <w:szCs w:val="20"/>
          <w:lang w:val="en-US"/>
        </w:rPr>
      </w:pPr>
      <w:r w:rsidRPr="002A4B81">
        <w:rPr>
          <w:b/>
          <w:sz w:val="20"/>
          <w:szCs w:val="20"/>
          <w:lang w:val="en-US"/>
        </w:rPr>
        <w:t>Essen</w:t>
      </w:r>
      <w:r w:rsidRPr="002A4B81">
        <w:rPr>
          <w:sz w:val="20"/>
          <w:szCs w:val="20"/>
          <w:lang w:val="en-US"/>
        </w:rPr>
        <w:t>. Specialty chemicals company Evonik Industries started 2015 with a strong performance, generating one of its best quarterly results since 2009.</w:t>
      </w:r>
    </w:p>
    <w:p w:rsidR="002A4B81" w:rsidRPr="002A4B81" w:rsidRDefault="002A4B81" w:rsidP="002A4B81">
      <w:pPr>
        <w:spacing w:line="300" w:lineRule="atLeast"/>
        <w:rPr>
          <w:sz w:val="20"/>
          <w:lang w:val="en-US"/>
        </w:rPr>
      </w:pPr>
    </w:p>
    <w:p w:rsidR="002A4B81" w:rsidRPr="002A4B81" w:rsidRDefault="002A4B81" w:rsidP="002A4B81">
      <w:pPr>
        <w:spacing w:line="300" w:lineRule="atLeast"/>
        <w:ind w:left="0"/>
        <w:rPr>
          <w:sz w:val="20"/>
          <w:szCs w:val="20"/>
          <w:lang w:val="en-US"/>
        </w:rPr>
      </w:pPr>
      <w:r w:rsidRPr="002A4B81">
        <w:rPr>
          <w:sz w:val="20"/>
          <w:szCs w:val="20"/>
          <w:lang w:val="en-US"/>
        </w:rPr>
        <w:t xml:space="preserve">"The positive trend observed in the second half of 2014 has continued," said </w:t>
      </w:r>
      <w:r w:rsidRPr="002A4B81">
        <w:rPr>
          <w:b/>
          <w:sz w:val="20"/>
          <w:szCs w:val="20"/>
          <w:lang w:val="en-US"/>
        </w:rPr>
        <w:t>Klaus Engel, Chairman of the Executive Board of Evonik Industries AG</w:t>
      </w:r>
      <w:r w:rsidRPr="002A4B81">
        <w:rPr>
          <w:sz w:val="20"/>
          <w:szCs w:val="20"/>
          <w:lang w:val="en-US"/>
        </w:rPr>
        <w:t xml:space="preserve">, today, when the company published its key financial data for the first quarter. "Looking at our clear earnings increase, it is pleasing to see that three quarters of our 22 business lines were able to improve their earnings year-on-year," he continued. Looking forward, he is optimistic about 2015 as a whole: "We should exceed the targets previously forecast for 2015." </w:t>
      </w:r>
    </w:p>
    <w:p w:rsidR="002A4B81" w:rsidRPr="002A4B81" w:rsidRDefault="002A4B81" w:rsidP="002A4B81">
      <w:pPr>
        <w:ind w:left="0"/>
        <w:jc w:val="both"/>
        <w:rPr>
          <w:lang w:val="en-US"/>
        </w:rPr>
      </w:pPr>
    </w:p>
    <w:p w:rsidR="002A4B81" w:rsidRPr="00DB3813" w:rsidRDefault="002A4B81" w:rsidP="002A4B81">
      <w:pPr>
        <w:pStyle w:val="Kommentartext"/>
        <w:ind w:left="0"/>
        <w:rPr>
          <w:lang w:eastAsia="de-DE"/>
        </w:rPr>
      </w:pPr>
      <w:r>
        <w:rPr>
          <w:lang w:eastAsia="de-DE"/>
        </w:rPr>
        <w:t xml:space="preserve">The Nutrition &amp; Care and Resource Efficiency segments posted dynamic growth and raised volumes considerably year-on-year thanks to buoyant global demand. </w:t>
      </w:r>
      <w:r w:rsidRPr="00383AF5">
        <w:rPr>
          <w:lang w:eastAsia="de-DE"/>
        </w:rPr>
        <w:t xml:space="preserve">Capacity utilization at the production facilities that came on stream last year is therefore already good. </w:t>
      </w:r>
      <w:r>
        <w:rPr>
          <w:lang w:eastAsia="de-DE"/>
        </w:rPr>
        <w:t>Selling prices in the Nutrition &amp; Care segment rose considerably, whereas prices in the Performance Materials segment slipped further, mainly because of the drop in the oil price. The price effects in the segments balanced each other out, so the Group's selling prices were stable overall. The Group's adjusted EBITDA improved considerably compared with both the previous quarters and the prior-year period. This was also driven principally by the Nutrition &amp; Care and Resource Efficiency segments. In addition, currency effects had a positive influence on sales and earnings growth.</w:t>
      </w:r>
    </w:p>
    <w:p w:rsidR="002A4B81" w:rsidRPr="002A4B81" w:rsidRDefault="002A4B81" w:rsidP="002A4B81">
      <w:pPr>
        <w:spacing w:line="300" w:lineRule="atLeast"/>
        <w:jc w:val="both"/>
        <w:rPr>
          <w:sz w:val="20"/>
          <w:szCs w:val="20"/>
          <w:lang w:val="en-US"/>
        </w:rPr>
      </w:pPr>
    </w:p>
    <w:p w:rsidR="002A4B81" w:rsidRPr="002A4B81" w:rsidRDefault="002A4B81" w:rsidP="002A4B81">
      <w:pPr>
        <w:spacing w:after="120" w:line="300" w:lineRule="atLeast"/>
        <w:rPr>
          <w:sz w:val="20"/>
          <w:szCs w:val="20"/>
          <w:lang w:val="en-US"/>
        </w:rPr>
      </w:pPr>
      <w:r w:rsidRPr="002A4B81">
        <w:rPr>
          <w:b/>
          <w:sz w:val="20"/>
          <w:lang w:val="en-US"/>
        </w:rPr>
        <w:t xml:space="preserve">Outlook for 2015 </w:t>
      </w:r>
      <w:proofErr w:type="gramStart"/>
      <w:r w:rsidRPr="002A4B81">
        <w:rPr>
          <w:b/>
          <w:sz w:val="20"/>
          <w:lang w:val="en-US"/>
        </w:rPr>
        <w:t>raised</w:t>
      </w:r>
      <w:proofErr w:type="gramEnd"/>
    </w:p>
    <w:p w:rsidR="002A4B81" w:rsidRPr="002A4B81" w:rsidRDefault="002A4B81" w:rsidP="002A4B81">
      <w:pPr>
        <w:spacing w:line="300" w:lineRule="atLeast"/>
        <w:rPr>
          <w:sz w:val="20"/>
          <w:szCs w:val="20"/>
          <w:lang w:val="en-US"/>
        </w:rPr>
      </w:pPr>
      <w:r w:rsidRPr="002A4B81">
        <w:rPr>
          <w:sz w:val="20"/>
          <w:lang w:val="en-US"/>
        </w:rPr>
        <w:t>In view of the positive business trend in the first quarter, Evonik is ra</w:t>
      </w:r>
      <w:r w:rsidR="00974D97">
        <w:rPr>
          <w:sz w:val="20"/>
          <w:lang w:val="en-US"/>
        </w:rPr>
        <w:t>ising its outlook for fiscal 201</w:t>
      </w:r>
      <w:bookmarkStart w:id="0" w:name="_GoBack"/>
      <w:bookmarkEnd w:id="0"/>
      <w:r w:rsidRPr="002A4B81">
        <w:rPr>
          <w:sz w:val="20"/>
          <w:lang w:val="en-US"/>
        </w:rPr>
        <w:t>5. The company still anticipates that sales will rise slightly (2014: €12.9 billion). The forecast for adjusted EBITDA is now at least €2.2 billion (2014: €1,882 million), whereas at the start of the year a slight rise was assumed. Compared with the outlook given at the start of the year, the expected sales and earnings development now includes positive exchange rate effects (based on assumed euro/US dollar exchange rate of US$1.13, previously: around US$1.30).</w:t>
      </w:r>
    </w:p>
    <w:p w:rsidR="002A4B81" w:rsidRPr="002A4B81" w:rsidRDefault="002A4B81" w:rsidP="002A4B81">
      <w:pPr>
        <w:spacing w:line="300" w:lineRule="atLeast"/>
        <w:jc w:val="both"/>
        <w:rPr>
          <w:sz w:val="20"/>
          <w:szCs w:val="20"/>
          <w:lang w:val="en-US"/>
        </w:rPr>
      </w:pPr>
    </w:p>
    <w:p w:rsidR="002A4B81" w:rsidRDefault="002A4B81" w:rsidP="002A4B81">
      <w:pPr>
        <w:spacing w:after="120" w:line="300" w:lineRule="atLeast"/>
        <w:jc w:val="both"/>
        <w:rPr>
          <w:b/>
          <w:sz w:val="20"/>
          <w:lang w:val="en-US"/>
        </w:rPr>
      </w:pPr>
      <w:r w:rsidRPr="002A4B81">
        <w:rPr>
          <w:b/>
          <w:sz w:val="20"/>
          <w:lang w:val="en-US"/>
        </w:rPr>
        <w:t>Segment performance</w:t>
      </w:r>
    </w:p>
    <w:p w:rsidR="002A4B81" w:rsidRPr="002A4B81" w:rsidRDefault="002A4B81" w:rsidP="002A4B81">
      <w:pPr>
        <w:spacing w:line="300" w:lineRule="atLeast"/>
        <w:jc w:val="both"/>
        <w:rPr>
          <w:sz w:val="20"/>
          <w:szCs w:val="20"/>
          <w:lang w:val="en-US"/>
        </w:rPr>
      </w:pPr>
      <w:r w:rsidRPr="002A4B81">
        <w:rPr>
          <w:sz w:val="20"/>
          <w:lang w:val="en-US"/>
        </w:rPr>
        <w:t xml:space="preserve">Evonik reorganized its management and portfolio structure at the start of 2015. The three chemicals segments—Nutrition &amp; Care, Resource Efficiency, and Performance Materials—are now managed by separate legal entities and have greater entrepreneurial freedom than the former Consumer, Health &amp; Nutrition, Resource Efficiency, and Specialty Materials segments. </w:t>
      </w:r>
    </w:p>
    <w:p w:rsidR="002A4B81" w:rsidRPr="002A4B81" w:rsidRDefault="002A4B81" w:rsidP="002A4B81">
      <w:pPr>
        <w:spacing w:line="300" w:lineRule="atLeast"/>
        <w:rPr>
          <w:sz w:val="20"/>
          <w:szCs w:val="20"/>
          <w:lang w:val="en-US"/>
        </w:rPr>
      </w:pPr>
    </w:p>
    <w:p w:rsidR="002A4B81" w:rsidRDefault="002A4B81" w:rsidP="002A4B81">
      <w:pPr>
        <w:spacing w:line="300" w:lineRule="atLeast"/>
        <w:rPr>
          <w:sz w:val="20"/>
          <w:lang w:val="en-US"/>
        </w:rPr>
      </w:pPr>
      <w:r w:rsidRPr="002A4B81">
        <w:rPr>
          <w:sz w:val="20"/>
          <w:lang w:val="en-US"/>
        </w:rPr>
        <w:t xml:space="preserve">The </w:t>
      </w:r>
      <w:r w:rsidRPr="002A4B81">
        <w:rPr>
          <w:b/>
          <w:sz w:val="20"/>
          <w:lang w:val="en-US"/>
        </w:rPr>
        <w:t>Nutrition &amp; Care</w:t>
      </w:r>
      <w:r w:rsidRPr="002A4B81">
        <w:rPr>
          <w:sz w:val="20"/>
          <w:lang w:val="en-US"/>
        </w:rPr>
        <w:t xml:space="preserve"> segment posted sales of €1,229 million (Q1 2014: €962 million, +28 percent) and increased adjusted EBITDA substantially to €353 million (Q1 2014: €186 million). The adjusted EBITDA margin was excellent at 28.7 percent. This segment benefited from higher volumes and a considerable improvement in selling prices, especially for amino acids for animal nutrition.</w:t>
      </w:r>
    </w:p>
    <w:p w:rsidR="002A4B81" w:rsidRPr="002A4B81" w:rsidRDefault="002A4B81" w:rsidP="002A4B81">
      <w:pPr>
        <w:spacing w:line="300" w:lineRule="atLeast"/>
        <w:rPr>
          <w:sz w:val="20"/>
          <w:szCs w:val="20"/>
          <w:lang w:val="en-US"/>
        </w:rPr>
      </w:pPr>
    </w:p>
    <w:p w:rsidR="002A4B81" w:rsidRPr="002A4B81" w:rsidRDefault="002A4B81" w:rsidP="002A4B81">
      <w:pPr>
        <w:spacing w:line="300" w:lineRule="atLeast"/>
        <w:rPr>
          <w:sz w:val="20"/>
          <w:szCs w:val="20"/>
          <w:lang w:val="en-US"/>
        </w:rPr>
      </w:pPr>
      <w:r w:rsidRPr="002A4B81">
        <w:rPr>
          <w:sz w:val="20"/>
          <w:lang w:val="en-US"/>
        </w:rPr>
        <w:t xml:space="preserve">The </w:t>
      </w:r>
      <w:r w:rsidRPr="002A4B81">
        <w:rPr>
          <w:b/>
          <w:sz w:val="20"/>
          <w:lang w:val="en-US"/>
        </w:rPr>
        <w:t>Resource Efficiency</w:t>
      </w:r>
      <w:r w:rsidRPr="002A4B81">
        <w:rPr>
          <w:sz w:val="20"/>
          <w:lang w:val="en-US"/>
        </w:rPr>
        <w:t xml:space="preserve"> segment registered stable selling prices and higher demand for its products. Sales were €1,124 million, which was above the level in the first quarter of 2014 (€999 million, +13 percent). Almost all business activities contributed to the successful performance. Adjusted EBITDA rose 10 percent to €244 million. The adjusted EBITDA margin remained very good at 21.7 percent.</w:t>
      </w:r>
    </w:p>
    <w:p w:rsidR="002A4B81" w:rsidRDefault="002A4B81" w:rsidP="002A4B81">
      <w:pPr>
        <w:spacing w:line="300" w:lineRule="atLeast"/>
        <w:rPr>
          <w:sz w:val="20"/>
          <w:lang w:val="en-US"/>
        </w:rPr>
      </w:pPr>
    </w:p>
    <w:p w:rsidR="002A4B81" w:rsidRPr="002A4B81" w:rsidRDefault="002A4B81" w:rsidP="002A4B81">
      <w:pPr>
        <w:spacing w:line="300" w:lineRule="atLeast"/>
        <w:rPr>
          <w:sz w:val="20"/>
          <w:szCs w:val="20"/>
          <w:lang w:val="en-US"/>
        </w:rPr>
      </w:pPr>
      <w:r w:rsidRPr="002A4B81">
        <w:rPr>
          <w:sz w:val="20"/>
          <w:lang w:val="en-US"/>
        </w:rPr>
        <w:t xml:space="preserve">In the </w:t>
      </w:r>
      <w:r w:rsidRPr="002A4B81">
        <w:rPr>
          <w:b/>
          <w:sz w:val="20"/>
          <w:lang w:val="en-US"/>
        </w:rPr>
        <w:t xml:space="preserve">Performance Materials </w:t>
      </w:r>
      <w:r w:rsidRPr="002A4B81">
        <w:rPr>
          <w:sz w:val="20"/>
          <w:lang w:val="en-US"/>
        </w:rPr>
        <w:t xml:space="preserve">segment, sales were €851 million, 15 percent lower than in the prior-year period. Adjusted EBITDA was €72 million. The adjusted EBITDA margin increased slightly to 8.5 percent. The main reasons for this segment's development were lower volumes and, in particular, a drop in selling prices due to the lower oil price. </w:t>
      </w:r>
    </w:p>
    <w:p w:rsidR="002A4B81" w:rsidRPr="002A4B81" w:rsidRDefault="002A4B81" w:rsidP="002A4B81">
      <w:pPr>
        <w:rPr>
          <w:lang w:val="en-US"/>
        </w:rPr>
      </w:pPr>
    </w:p>
    <w:p w:rsidR="002A4B81" w:rsidRPr="002A4B81" w:rsidRDefault="002A4B81" w:rsidP="002A4B81">
      <w:pPr>
        <w:rPr>
          <w:lang w:val="en-US"/>
        </w:rPr>
      </w:pPr>
    </w:p>
    <w:p w:rsidR="002A4B81" w:rsidRPr="002A4B81" w:rsidRDefault="002A4B81" w:rsidP="002A4B81">
      <w:pPr>
        <w:spacing w:line="240" w:lineRule="auto"/>
        <w:ind w:left="0" w:right="0"/>
        <w:rPr>
          <w:b/>
          <w:bCs/>
          <w:lang w:val="en-US"/>
        </w:rPr>
      </w:pPr>
    </w:p>
    <w:p w:rsidR="002A4B81" w:rsidRPr="002A4B81" w:rsidRDefault="002A4B81" w:rsidP="002A4B81">
      <w:pPr>
        <w:spacing w:after="120"/>
        <w:rPr>
          <w:b/>
          <w:bCs/>
          <w:lang w:val="en-US"/>
        </w:rPr>
      </w:pPr>
      <w:r w:rsidRPr="002A4B81">
        <w:rPr>
          <w:b/>
          <w:lang w:val="en-US"/>
        </w:rPr>
        <w:t>Evonik Group: Excerpt from the income statement</w:t>
      </w:r>
    </w:p>
    <w:tbl>
      <w:tblPr>
        <w:tblW w:w="93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1254"/>
        <w:gridCol w:w="1304"/>
        <w:gridCol w:w="1383"/>
      </w:tblGrid>
      <w:tr w:rsidR="002A4B81" w:rsidRPr="00D941D1" w:rsidTr="00F709F6">
        <w:trPr>
          <w:trHeight w:val="504"/>
        </w:trPr>
        <w:tc>
          <w:tcPr>
            <w:tcW w:w="5387" w:type="dxa"/>
          </w:tcPr>
          <w:p w:rsidR="002A4B81" w:rsidRPr="00D941D1" w:rsidRDefault="002A4B81" w:rsidP="00F709F6">
            <w:pPr>
              <w:rPr>
                <w:b/>
                <w:bCs/>
              </w:rPr>
            </w:pPr>
            <w:r>
              <w:rPr>
                <w:b/>
              </w:rPr>
              <w:t xml:space="preserve">(in € </w:t>
            </w:r>
            <w:proofErr w:type="spellStart"/>
            <w:r>
              <w:rPr>
                <w:b/>
              </w:rPr>
              <w:t>million</w:t>
            </w:r>
            <w:proofErr w:type="spellEnd"/>
            <w:r>
              <w:rPr>
                <w:b/>
              </w:rPr>
              <w:t>)</w:t>
            </w:r>
          </w:p>
        </w:tc>
        <w:tc>
          <w:tcPr>
            <w:tcW w:w="1254" w:type="dxa"/>
            <w:shd w:val="clear" w:color="auto" w:fill="C0C0C0"/>
          </w:tcPr>
          <w:p w:rsidR="002A4B81" w:rsidRPr="00D941D1" w:rsidRDefault="002A4B81" w:rsidP="00F709F6">
            <w:pPr>
              <w:jc w:val="center"/>
              <w:rPr>
                <w:b/>
                <w:bCs/>
              </w:rPr>
            </w:pPr>
            <w:r>
              <w:rPr>
                <w:b/>
              </w:rPr>
              <w:t>Q1 2015</w:t>
            </w:r>
          </w:p>
        </w:tc>
        <w:tc>
          <w:tcPr>
            <w:tcW w:w="1304" w:type="dxa"/>
          </w:tcPr>
          <w:p w:rsidR="002A4B81" w:rsidRPr="00D941D1" w:rsidRDefault="002A4B81" w:rsidP="00F709F6">
            <w:pPr>
              <w:jc w:val="center"/>
              <w:rPr>
                <w:b/>
                <w:bCs/>
              </w:rPr>
            </w:pPr>
            <w:r>
              <w:rPr>
                <w:b/>
              </w:rPr>
              <w:t>Q1 2014</w:t>
            </w:r>
          </w:p>
        </w:tc>
        <w:tc>
          <w:tcPr>
            <w:tcW w:w="1383" w:type="dxa"/>
          </w:tcPr>
          <w:p w:rsidR="002A4B81" w:rsidRPr="00D941D1" w:rsidRDefault="002A4B81" w:rsidP="00F709F6">
            <w:pPr>
              <w:jc w:val="center"/>
              <w:rPr>
                <w:b/>
                <w:bCs/>
              </w:rPr>
            </w:pPr>
            <w:r>
              <w:rPr>
                <w:b/>
              </w:rPr>
              <w:t>Change</w:t>
            </w:r>
          </w:p>
          <w:p w:rsidR="002A4B81" w:rsidRPr="00D941D1" w:rsidRDefault="002A4B81" w:rsidP="00F709F6">
            <w:pPr>
              <w:jc w:val="center"/>
              <w:rPr>
                <w:b/>
                <w:bCs/>
              </w:rPr>
            </w:pPr>
            <w:r>
              <w:rPr>
                <w:b/>
              </w:rPr>
              <w:t>in %</w:t>
            </w:r>
          </w:p>
        </w:tc>
      </w:tr>
      <w:tr w:rsidR="002A4B81" w:rsidRPr="00B13E9A" w:rsidTr="00F709F6">
        <w:tc>
          <w:tcPr>
            <w:tcW w:w="5387" w:type="dxa"/>
          </w:tcPr>
          <w:p w:rsidR="002A4B81" w:rsidRPr="00B13E9A" w:rsidRDefault="002A4B81" w:rsidP="00F709F6">
            <w:pPr>
              <w:rPr>
                <w:bCs/>
              </w:rPr>
            </w:pPr>
            <w:proofErr w:type="spellStart"/>
            <w:r>
              <w:t>Sales</w:t>
            </w:r>
            <w:proofErr w:type="spellEnd"/>
          </w:p>
        </w:tc>
        <w:tc>
          <w:tcPr>
            <w:tcW w:w="1254" w:type="dxa"/>
            <w:shd w:val="clear" w:color="auto" w:fill="C0C0C0"/>
          </w:tcPr>
          <w:p w:rsidR="002A4B81" w:rsidRPr="00B13E9A" w:rsidRDefault="002A4B81" w:rsidP="00F709F6">
            <w:pPr>
              <w:jc w:val="right"/>
              <w:rPr>
                <w:bCs/>
              </w:rPr>
            </w:pPr>
            <w:r>
              <w:t>3,425</w:t>
            </w:r>
          </w:p>
        </w:tc>
        <w:tc>
          <w:tcPr>
            <w:tcW w:w="1304" w:type="dxa"/>
          </w:tcPr>
          <w:p w:rsidR="002A4B81" w:rsidRPr="00B13E9A" w:rsidRDefault="002A4B81" w:rsidP="00F709F6">
            <w:pPr>
              <w:ind w:right="120"/>
              <w:jc w:val="right"/>
              <w:rPr>
                <w:bCs/>
              </w:rPr>
            </w:pPr>
            <w:r>
              <w:t>3,201</w:t>
            </w:r>
          </w:p>
        </w:tc>
        <w:tc>
          <w:tcPr>
            <w:tcW w:w="1383" w:type="dxa"/>
          </w:tcPr>
          <w:p w:rsidR="002A4B81" w:rsidRPr="00B13E9A" w:rsidRDefault="002A4B81" w:rsidP="00F709F6">
            <w:pPr>
              <w:jc w:val="right"/>
              <w:rPr>
                <w:bCs/>
              </w:rPr>
            </w:pPr>
            <w:r>
              <w:t>7</w:t>
            </w:r>
          </w:p>
        </w:tc>
      </w:tr>
      <w:tr w:rsidR="002A4B81" w:rsidRPr="00B13E9A" w:rsidTr="00F709F6">
        <w:tc>
          <w:tcPr>
            <w:tcW w:w="5387" w:type="dxa"/>
          </w:tcPr>
          <w:p w:rsidR="002A4B81" w:rsidRPr="00B13E9A" w:rsidRDefault="002A4B81" w:rsidP="00F709F6">
            <w:pPr>
              <w:rPr>
                <w:bCs/>
              </w:rPr>
            </w:pPr>
            <w:proofErr w:type="spellStart"/>
            <w:r>
              <w:t>Adjusted</w:t>
            </w:r>
            <w:proofErr w:type="spellEnd"/>
            <w:r>
              <w:t xml:space="preserve"> EBITDA</w:t>
            </w:r>
          </w:p>
        </w:tc>
        <w:tc>
          <w:tcPr>
            <w:tcW w:w="1254" w:type="dxa"/>
            <w:shd w:val="clear" w:color="auto" w:fill="C0C0C0"/>
          </w:tcPr>
          <w:p w:rsidR="002A4B81" w:rsidRPr="00B13E9A" w:rsidRDefault="002A4B81" w:rsidP="00F709F6">
            <w:pPr>
              <w:jc w:val="right"/>
              <w:rPr>
                <w:bCs/>
              </w:rPr>
            </w:pPr>
            <w:r>
              <w:t>650</w:t>
            </w:r>
          </w:p>
        </w:tc>
        <w:tc>
          <w:tcPr>
            <w:tcW w:w="1304" w:type="dxa"/>
          </w:tcPr>
          <w:p w:rsidR="002A4B81" w:rsidRPr="00B13E9A" w:rsidRDefault="002A4B81" w:rsidP="00F709F6">
            <w:pPr>
              <w:ind w:right="120"/>
              <w:jc w:val="right"/>
              <w:rPr>
                <w:bCs/>
              </w:rPr>
            </w:pPr>
            <w:r>
              <w:t>465</w:t>
            </w:r>
          </w:p>
        </w:tc>
        <w:tc>
          <w:tcPr>
            <w:tcW w:w="1383" w:type="dxa"/>
          </w:tcPr>
          <w:p w:rsidR="002A4B81" w:rsidRPr="00B13E9A" w:rsidRDefault="002A4B81" w:rsidP="00F709F6">
            <w:pPr>
              <w:jc w:val="right"/>
              <w:rPr>
                <w:bCs/>
              </w:rPr>
            </w:pPr>
            <w:r>
              <w:t>40</w:t>
            </w:r>
          </w:p>
        </w:tc>
      </w:tr>
      <w:tr w:rsidR="002A4B81" w:rsidRPr="00B13E9A" w:rsidTr="00F709F6">
        <w:tc>
          <w:tcPr>
            <w:tcW w:w="5387" w:type="dxa"/>
          </w:tcPr>
          <w:p w:rsidR="002A4B81" w:rsidRPr="00B13E9A" w:rsidRDefault="002A4B81" w:rsidP="00F709F6">
            <w:pPr>
              <w:rPr>
                <w:bCs/>
              </w:rPr>
            </w:pPr>
            <w:proofErr w:type="spellStart"/>
            <w:r>
              <w:t>Adjusted</w:t>
            </w:r>
            <w:proofErr w:type="spellEnd"/>
            <w:r>
              <w:t xml:space="preserve"> EBIT</w:t>
            </w:r>
          </w:p>
        </w:tc>
        <w:tc>
          <w:tcPr>
            <w:tcW w:w="1254" w:type="dxa"/>
            <w:shd w:val="clear" w:color="auto" w:fill="C0C0C0"/>
          </w:tcPr>
          <w:p w:rsidR="002A4B81" w:rsidRPr="00B13E9A" w:rsidRDefault="002A4B81" w:rsidP="00F709F6">
            <w:pPr>
              <w:jc w:val="right"/>
              <w:rPr>
                <w:bCs/>
              </w:rPr>
            </w:pPr>
            <w:r>
              <w:t>485</w:t>
            </w:r>
          </w:p>
        </w:tc>
        <w:tc>
          <w:tcPr>
            <w:tcW w:w="1304" w:type="dxa"/>
          </w:tcPr>
          <w:p w:rsidR="002A4B81" w:rsidRPr="00B13E9A" w:rsidRDefault="002A4B81" w:rsidP="00F709F6">
            <w:pPr>
              <w:ind w:right="120"/>
              <w:jc w:val="right"/>
              <w:rPr>
                <w:bCs/>
              </w:rPr>
            </w:pPr>
            <w:r>
              <w:t>318</w:t>
            </w:r>
          </w:p>
        </w:tc>
        <w:tc>
          <w:tcPr>
            <w:tcW w:w="1383" w:type="dxa"/>
          </w:tcPr>
          <w:p w:rsidR="002A4B81" w:rsidRPr="00B13E9A" w:rsidRDefault="002A4B81" w:rsidP="00F709F6">
            <w:pPr>
              <w:jc w:val="right"/>
              <w:rPr>
                <w:bCs/>
              </w:rPr>
            </w:pPr>
            <w:r>
              <w:t>53</w:t>
            </w:r>
          </w:p>
        </w:tc>
      </w:tr>
      <w:tr w:rsidR="002A4B81" w:rsidRPr="00B13E9A" w:rsidTr="00F709F6">
        <w:tc>
          <w:tcPr>
            <w:tcW w:w="5387" w:type="dxa"/>
          </w:tcPr>
          <w:p w:rsidR="002A4B81" w:rsidRPr="00B13E9A" w:rsidRDefault="002A4B81" w:rsidP="00F709F6">
            <w:pPr>
              <w:rPr>
                <w:bCs/>
              </w:rPr>
            </w:pPr>
            <w:proofErr w:type="spellStart"/>
            <w:r>
              <w:t>Adjustments</w:t>
            </w:r>
            <w:proofErr w:type="spellEnd"/>
          </w:p>
        </w:tc>
        <w:tc>
          <w:tcPr>
            <w:tcW w:w="1254" w:type="dxa"/>
            <w:shd w:val="clear" w:color="auto" w:fill="C0C0C0"/>
          </w:tcPr>
          <w:p w:rsidR="002A4B81" w:rsidRPr="00B13E9A" w:rsidRDefault="002A4B81" w:rsidP="00F709F6">
            <w:pPr>
              <w:jc w:val="right"/>
              <w:rPr>
                <w:bCs/>
              </w:rPr>
            </w:pPr>
            <w:r>
              <w:t>-37</w:t>
            </w:r>
          </w:p>
        </w:tc>
        <w:tc>
          <w:tcPr>
            <w:tcW w:w="1304" w:type="dxa"/>
          </w:tcPr>
          <w:p w:rsidR="002A4B81" w:rsidRPr="00B13E9A" w:rsidRDefault="002A4B81" w:rsidP="00F709F6">
            <w:pPr>
              <w:ind w:right="120"/>
              <w:jc w:val="right"/>
              <w:rPr>
                <w:bCs/>
              </w:rPr>
            </w:pPr>
            <w:r>
              <w:t>-19</w:t>
            </w:r>
          </w:p>
        </w:tc>
        <w:tc>
          <w:tcPr>
            <w:tcW w:w="1383" w:type="dxa"/>
          </w:tcPr>
          <w:p w:rsidR="002A4B81" w:rsidRPr="00B13E9A" w:rsidRDefault="002A4B81" w:rsidP="00F709F6">
            <w:pPr>
              <w:jc w:val="right"/>
              <w:rPr>
                <w:bCs/>
              </w:rPr>
            </w:pPr>
          </w:p>
        </w:tc>
      </w:tr>
      <w:tr w:rsidR="002A4B81" w:rsidRPr="00B13E9A" w:rsidTr="00F709F6">
        <w:tc>
          <w:tcPr>
            <w:tcW w:w="5387" w:type="dxa"/>
          </w:tcPr>
          <w:p w:rsidR="002A4B81" w:rsidRPr="00B13E9A" w:rsidRDefault="002A4B81" w:rsidP="00F709F6">
            <w:pPr>
              <w:rPr>
                <w:bCs/>
              </w:rPr>
            </w:pPr>
            <w:r>
              <w:t xml:space="preserve">Financial </w:t>
            </w:r>
            <w:proofErr w:type="spellStart"/>
            <w:r>
              <w:t>result</w:t>
            </w:r>
            <w:proofErr w:type="spellEnd"/>
          </w:p>
        </w:tc>
        <w:tc>
          <w:tcPr>
            <w:tcW w:w="1254" w:type="dxa"/>
            <w:shd w:val="clear" w:color="auto" w:fill="C0C0C0"/>
          </w:tcPr>
          <w:p w:rsidR="002A4B81" w:rsidRPr="00B13E9A" w:rsidRDefault="002A4B81" w:rsidP="00F709F6">
            <w:pPr>
              <w:jc w:val="right"/>
              <w:rPr>
                <w:bCs/>
              </w:rPr>
            </w:pPr>
            <w:r>
              <w:t>-63</w:t>
            </w:r>
          </w:p>
        </w:tc>
        <w:tc>
          <w:tcPr>
            <w:tcW w:w="1304" w:type="dxa"/>
          </w:tcPr>
          <w:p w:rsidR="002A4B81" w:rsidRPr="00B13E9A" w:rsidRDefault="002A4B81" w:rsidP="00F709F6">
            <w:pPr>
              <w:ind w:right="120"/>
              <w:jc w:val="right"/>
              <w:rPr>
                <w:bCs/>
              </w:rPr>
            </w:pPr>
            <w:r>
              <w:t>-83</w:t>
            </w:r>
          </w:p>
        </w:tc>
        <w:tc>
          <w:tcPr>
            <w:tcW w:w="1383" w:type="dxa"/>
          </w:tcPr>
          <w:p w:rsidR="002A4B81" w:rsidRPr="00B13E9A" w:rsidRDefault="002A4B81" w:rsidP="00F709F6">
            <w:pPr>
              <w:jc w:val="right"/>
              <w:rPr>
                <w:bCs/>
              </w:rPr>
            </w:pPr>
          </w:p>
        </w:tc>
      </w:tr>
      <w:tr w:rsidR="002A4B81" w:rsidRPr="00B13E9A" w:rsidTr="00F709F6">
        <w:tc>
          <w:tcPr>
            <w:tcW w:w="5387" w:type="dxa"/>
          </w:tcPr>
          <w:p w:rsidR="002A4B81" w:rsidRPr="002A4B81" w:rsidRDefault="002A4B81" w:rsidP="00F709F6">
            <w:pPr>
              <w:rPr>
                <w:bCs/>
                <w:lang w:val="en-US"/>
              </w:rPr>
            </w:pPr>
            <w:r w:rsidRPr="002A4B81">
              <w:rPr>
                <w:lang w:val="en-US"/>
              </w:rPr>
              <w:t>Income before income taxes, continuing operations</w:t>
            </w:r>
          </w:p>
        </w:tc>
        <w:tc>
          <w:tcPr>
            <w:tcW w:w="1254" w:type="dxa"/>
            <w:shd w:val="clear" w:color="auto" w:fill="C0C0C0"/>
          </w:tcPr>
          <w:p w:rsidR="002A4B81" w:rsidRPr="00B13E9A" w:rsidRDefault="002A4B81" w:rsidP="00F709F6">
            <w:pPr>
              <w:jc w:val="right"/>
              <w:rPr>
                <w:bCs/>
              </w:rPr>
            </w:pPr>
            <w:r>
              <w:t>385</w:t>
            </w:r>
          </w:p>
        </w:tc>
        <w:tc>
          <w:tcPr>
            <w:tcW w:w="1304" w:type="dxa"/>
          </w:tcPr>
          <w:p w:rsidR="002A4B81" w:rsidRPr="00B13E9A" w:rsidRDefault="002A4B81" w:rsidP="00F709F6">
            <w:pPr>
              <w:ind w:right="120"/>
              <w:jc w:val="right"/>
              <w:rPr>
                <w:bCs/>
              </w:rPr>
            </w:pPr>
            <w:r>
              <w:t>216</w:t>
            </w:r>
          </w:p>
        </w:tc>
        <w:tc>
          <w:tcPr>
            <w:tcW w:w="1383" w:type="dxa"/>
          </w:tcPr>
          <w:p w:rsidR="002A4B81" w:rsidRPr="00B13E9A" w:rsidRDefault="002A4B81" w:rsidP="00F709F6">
            <w:pPr>
              <w:jc w:val="right"/>
              <w:rPr>
                <w:bCs/>
              </w:rPr>
            </w:pPr>
            <w:r>
              <w:t>78</w:t>
            </w:r>
          </w:p>
        </w:tc>
      </w:tr>
      <w:tr w:rsidR="002A4B81" w:rsidRPr="00B13E9A" w:rsidTr="00F709F6">
        <w:tc>
          <w:tcPr>
            <w:tcW w:w="5387" w:type="dxa"/>
          </w:tcPr>
          <w:p w:rsidR="002A4B81" w:rsidRPr="00B13E9A" w:rsidRDefault="002A4B81" w:rsidP="00F709F6">
            <w:pPr>
              <w:jc w:val="both"/>
              <w:rPr>
                <w:bCs/>
              </w:rPr>
            </w:pPr>
            <w:r>
              <w:t xml:space="preserve">Income </w:t>
            </w:r>
            <w:proofErr w:type="spellStart"/>
            <w:r>
              <w:t>taxes</w:t>
            </w:r>
            <w:proofErr w:type="spellEnd"/>
          </w:p>
        </w:tc>
        <w:tc>
          <w:tcPr>
            <w:tcW w:w="1254" w:type="dxa"/>
            <w:shd w:val="clear" w:color="auto" w:fill="C0C0C0"/>
          </w:tcPr>
          <w:p w:rsidR="002A4B81" w:rsidRPr="00B13E9A" w:rsidRDefault="002A4B81" w:rsidP="00F709F6">
            <w:pPr>
              <w:jc w:val="right"/>
              <w:rPr>
                <w:bCs/>
              </w:rPr>
            </w:pPr>
            <w:r>
              <w:t>-115</w:t>
            </w:r>
          </w:p>
        </w:tc>
        <w:tc>
          <w:tcPr>
            <w:tcW w:w="1304" w:type="dxa"/>
          </w:tcPr>
          <w:p w:rsidR="002A4B81" w:rsidRPr="00B13E9A" w:rsidRDefault="002A4B81" w:rsidP="00F709F6">
            <w:pPr>
              <w:ind w:right="120"/>
              <w:jc w:val="right"/>
              <w:rPr>
                <w:bCs/>
              </w:rPr>
            </w:pPr>
            <w:r>
              <w:t>-63</w:t>
            </w:r>
          </w:p>
        </w:tc>
        <w:tc>
          <w:tcPr>
            <w:tcW w:w="1383" w:type="dxa"/>
          </w:tcPr>
          <w:p w:rsidR="002A4B81" w:rsidRPr="00B13E9A" w:rsidRDefault="002A4B81" w:rsidP="00F709F6">
            <w:pPr>
              <w:jc w:val="right"/>
              <w:rPr>
                <w:bCs/>
              </w:rPr>
            </w:pPr>
          </w:p>
        </w:tc>
      </w:tr>
      <w:tr w:rsidR="002A4B81" w:rsidRPr="00B13E9A" w:rsidTr="00F709F6">
        <w:tc>
          <w:tcPr>
            <w:tcW w:w="5387" w:type="dxa"/>
          </w:tcPr>
          <w:p w:rsidR="002A4B81" w:rsidRPr="002A4B81" w:rsidRDefault="002A4B81" w:rsidP="00F709F6">
            <w:pPr>
              <w:rPr>
                <w:bCs/>
                <w:lang w:val="en-US"/>
              </w:rPr>
            </w:pPr>
            <w:r w:rsidRPr="002A4B81">
              <w:rPr>
                <w:lang w:val="en-US"/>
              </w:rPr>
              <w:t>Income after taxes, continuing operations</w:t>
            </w:r>
          </w:p>
        </w:tc>
        <w:tc>
          <w:tcPr>
            <w:tcW w:w="1254" w:type="dxa"/>
            <w:shd w:val="clear" w:color="auto" w:fill="C0C0C0"/>
          </w:tcPr>
          <w:p w:rsidR="002A4B81" w:rsidRDefault="002A4B81" w:rsidP="00F709F6">
            <w:pPr>
              <w:jc w:val="right"/>
              <w:rPr>
                <w:bCs/>
              </w:rPr>
            </w:pPr>
            <w:r>
              <w:t>270</w:t>
            </w:r>
          </w:p>
        </w:tc>
        <w:tc>
          <w:tcPr>
            <w:tcW w:w="1304" w:type="dxa"/>
          </w:tcPr>
          <w:p w:rsidR="002A4B81" w:rsidRDefault="002A4B81" w:rsidP="00F709F6">
            <w:pPr>
              <w:ind w:right="120"/>
              <w:jc w:val="right"/>
              <w:rPr>
                <w:bCs/>
              </w:rPr>
            </w:pPr>
            <w:r>
              <w:t>153</w:t>
            </w:r>
          </w:p>
        </w:tc>
        <w:tc>
          <w:tcPr>
            <w:tcW w:w="1383" w:type="dxa"/>
          </w:tcPr>
          <w:p w:rsidR="002A4B81" w:rsidRPr="00B13E9A" w:rsidRDefault="002A4B81" w:rsidP="00F709F6">
            <w:pPr>
              <w:jc w:val="right"/>
              <w:rPr>
                <w:bCs/>
              </w:rPr>
            </w:pPr>
            <w:r>
              <w:t>76</w:t>
            </w:r>
          </w:p>
        </w:tc>
      </w:tr>
      <w:tr w:rsidR="002A4B81" w:rsidRPr="00B13E9A" w:rsidTr="00F709F6">
        <w:tc>
          <w:tcPr>
            <w:tcW w:w="5387" w:type="dxa"/>
          </w:tcPr>
          <w:p w:rsidR="002A4B81" w:rsidRPr="002A4B81" w:rsidRDefault="002A4B81" w:rsidP="00F709F6">
            <w:pPr>
              <w:rPr>
                <w:bCs/>
                <w:lang w:val="en-US"/>
              </w:rPr>
            </w:pPr>
            <w:r w:rsidRPr="002A4B81">
              <w:rPr>
                <w:lang w:val="en-US"/>
              </w:rPr>
              <w:t>Income after taxes, discontinued operations</w:t>
            </w:r>
          </w:p>
        </w:tc>
        <w:tc>
          <w:tcPr>
            <w:tcW w:w="1254" w:type="dxa"/>
            <w:shd w:val="clear" w:color="auto" w:fill="C0C0C0"/>
          </w:tcPr>
          <w:p w:rsidR="002A4B81" w:rsidRPr="00B13E9A" w:rsidRDefault="002A4B81" w:rsidP="00F709F6">
            <w:pPr>
              <w:jc w:val="right"/>
              <w:rPr>
                <w:bCs/>
              </w:rPr>
            </w:pPr>
            <w:r>
              <w:t>-11</w:t>
            </w:r>
          </w:p>
        </w:tc>
        <w:tc>
          <w:tcPr>
            <w:tcW w:w="1304" w:type="dxa"/>
          </w:tcPr>
          <w:p w:rsidR="002A4B81" w:rsidRPr="00B13E9A" w:rsidRDefault="002A4B81" w:rsidP="00F709F6">
            <w:pPr>
              <w:ind w:right="120"/>
              <w:jc w:val="right"/>
              <w:rPr>
                <w:bCs/>
              </w:rPr>
            </w:pPr>
            <w:r>
              <w:t>17</w:t>
            </w:r>
          </w:p>
        </w:tc>
        <w:tc>
          <w:tcPr>
            <w:tcW w:w="1383" w:type="dxa"/>
          </w:tcPr>
          <w:p w:rsidR="002A4B81" w:rsidRPr="00B13E9A" w:rsidRDefault="002A4B81" w:rsidP="00F709F6">
            <w:pPr>
              <w:jc w:val="right"/>
              <w:rPr>
                <w:bCs/>
              </w:rPr>
            </w:pPr>
          </w:p>
        </w:tc>
      </w:tr>
      <w:tr w:rsidR="002A4B81" w:rsidRPr="00B13E9A" w:rsidTr="00F709F6">
        <w:tc>
          <w:tcPr>
            <w:tcW w:w="5387" w:type="dxa"/>
          </w:tcPr>
          <w:p w:rsidR="002A4B81" w:rsidRPr="00B13E9A" w:rsidRDefault="002A4B81" w:rsidP="00F709F6">
            <w:pPr>
              <w:jc w:val="both"/>
              <w:rPr>
                <w:bCs/>
              </w:rPr>
            </w:pPr>
            <w:r>
              <w:t xml:space="preserve">Income after </w:t>
            </w:r>
            <w:proofErr w:type="spellStart"/>
            <w:r>
              <w:t>taxes</w:t>
            </w:r>
            <w:proofErr w:type="spellEnd"/>
          </w:p>
        </w:tc>
        <w:tc>
          <w:tcPr>
            <w:tcW w:w="1254" w:type="dxa"/>
            <w:shd w:val="clear" w:color="auto" w:fill="C0C0C0"/>
          </w:tcPr>
          <w:p w:rsidR="002A4B81" w:rsidRPr="00B13E9A" w:rsidRDefault="002A4B81" w:rsidP="00F709F6">
            <w:pPr>
              <w:jc w:val="right"/>
              <w:rPr>
                <w:bCs/>
              </w:rPr>
            </w:pPr>
            <w:r>
              <w:t>259</w:t>
            </w:r>
          </w:p>
        </w:tc>
        <w:tc>
          <w:tcPr>
            <w:tcW w:w="1304" w:type="dxa"/>
          </w:tcPr>
          <w:p w:rsidR="002A4B81" w:rsidRPr="00B13E9A" w:rsidRDefault="002A4B81" w:rsidP="00F709F6">
            <w:pPr>
              <w:ind w:right="120"/>
              <w:jc w:val="right"/>
              <w:rPr>
                <w:bCs/>
              </w:rPr>
            </w:pPr>
            <w:r>
              <w:t>170</w:t>
            </w:r>
          </w:p>
        </w:tc>
        <w:tc>
          <w:tcPr>
            <w:tcW w:w="1383" w:type="dxa"/>
          </w:tcPr>
          <w:p w:rsidR="002A4B81" w:rsidRPr="00B13E9A" w:rsidRDefault="002A4B81" w:rsidP="00F709F6">
            <w:pPr>
              <w:jc w:val="right"/>
              <w:rPr>
                <w:bCs/>
              </w:rPr>
            </w:pPr>
            <w:r>
              <w:t>52</w:t>
            </w:r>
          </w:p>
        </w:tc>
      </w:tr>
      <w:tr w:rsidR="002A4B81" w:rsidRPr="00B13E9A" w:rsidTr="00F709F6">
        <w:tc>
          <w:tcPr>
            <w:tcW w:w="5387" w:type="dxa"/>
          </w:tcPr>
          <w:p w:rsidR="002A4B81" w:rsidRPr="002A4B81" w:rsidRDefault="002A4B81" w:rsidP="00F709F6">
            <w:pPr>
              <w:jc w:val="both"/>
              <w:rPr>
                <w:bCs/>
                <w:lang w:val="en-US"/>
              </w:rPr>
            </w:pPr>
            <w:r w:rsidRPr="002A4B81">
              <w:rPr>
                <w:lang w:val="en-US"/>
              </w:rPr>
              <w:t>thereof attributable to non-controlling interests</w:t>
            </w:r>
          </w:p>
        </w:tc>
        <w:tc>
          <w:tcPr>
            <w:tcW w:w="1254" w:type="dxa"/>
            <w:shd w:val="clear" w:color="auto" w:fill="C0C0C0"/>
          </w:tcPr>
          <w:p w:rsidR="002A4B81" w:rsidRPr="00B13E9A" w:rsidRDefault="002A4B81" w:rsidP="00F709F6">
            <w:pPr>
              <w:jc w:val="right"/>
              <w:rPr>
                <w:bCs/>
              </w:rPr>
            </w:pPr>
            <w:r>
              <w:t>3</w:t>
            </w:r>
          </w:p>
        </w:tc>
        <w:tc>
          <w:tcPr>
            <w:tcW w:w="1304" w:type="dxa"/>
          </w:tcPr>
          <w:p w:rsidR="002A4B81" w:rsidRPr="00B13E9A" w:rsidRDefault="002A4B81" w:rsidP="00F709F6">
            <w:pPr>
              <w:ind w:right="120"/>
              <w:jc w:val="right"/>
              <w:rPr>
                <w:bCs/>
              </w:rPr>
            </w:pPr>
            <w:r>
              <w:t>4</w:t>
            </w:r>
          </w:p>
        </w:tc>
        <w:tc>
          <w:tcPr>
            <w:tcW w:w="1383" w:type="dxa"/>
          </w:tcPr>
          <w:p w:rsidR="002A4B81" w:rsidRPr="00B13E9A" w:rsidRDefault="002A4B81" w:rsidP="00F709F6">
            <w:pPr>
              <w:jc w:val="right"/>
              <w:rPr>
                <w:bCs/>
              </w:rPr>
            </w:pPr>
          </w:p>
        </w:tc>
      </w:tr>
      <w:tr w:rsidR="002A4B81" w:rsidRPr="00B13E9A" w:rsidTr="00F709F6">
        <w:tc>
          <w:tcPr>
            <w:tcW w:w="5387" w:type="dxa"/>
          </w:tcPr>
          <w:p w:rsidR="002A4B81" w:rsidRPr="00AF2A30" w:rsidRDefault="002A4B81" w:rsidP="00F709F6">
            <w:pPr>
              <w:jc w:val="both"/>
              <w:rPr>
                <w:b/>
                <w:bCs/>
              </w:rPr>
            </w:pPr>
            <w:r>
              <w:rPr>
                <w:b/>
              </w:rPr>
              <w:t xml:space="preserve">Net </w:t>
            </w:r>
            <w:proofErr w:type="spellStart"/>
            <w:r>
              <w:rPr>
                <w:b/>
              </w:rPr>
              <w:t>income</w:t>
            </w:r>
            <w:proofErr w:type="spellEnd"/>
          </w:p>
        </w:tc>
        <w:tc>
          <w:tcPr>
            <w:tcW w:w="1254" w:type="dxa"/>
            <w:shd w:val="clear" w:color="auto" w:fill="C0C0C0"/>
          </w:tcPr>
          <w:p w:rsidR="002A4B81" w:rsidRPr="00B13E9A" w:rsidRDefault="002A4B81" w:rsidP="00F709F6">
            <w:pPr>
              <w:jc w:val="right"/>
              <w:rPr>
                <w:bCs/>
              </w:rPr>
            </w:pPr>
            <w:r>
              <w:t>256</w:t>
            </w:r>
          </w:p>
        </w:tc>
        <w:tc>
          <w:tcPr>
            <w:tcW w:w="1304" w:type="dxa"/>
          </w:tcPr>
          <w:p w:rsidR="002A4B81" w:rsidRPr="00B13E9A" w:rsidRDefault="002A4B81" w:rsidP="00F709F6">
            <w:pPr>
              <w:ind w:right="120"/>
              <w:jc w:val="right"/>
              <w:rPr>
                <w:bCs/>
              </w:rPr>
            </w:pPr>
            <w:r>
              <w:t>166</w:t>
            </w:r>
          </w:p>
        </w:tc>
        <w:tc>
          <w:tcPr>
            <w:tcW w:w="1383" w:type="dxa"/>
          </w:tcPr>
          <w:p w:rsidR="002A4B81" w:rsidRPr="00B13E9A" w:rsidRDefault="002A4B81" w:rsidP="00F709F6">
            <w:pPr>
              <w:jc w:val="right"/>
              <w:rPr>
                <w:bCs/>
              </w:rPr>
            </w:pPr>
            <w:r>
              <w:t>54</w:t>
            </w:r>
          </w:p>
        </w:tc>
      </w:tr>
      <w:tr w:rsidR="002A4B81" w:rsidRPr="00B13E9A" w:rsidTr="00F709F6">
        <w:tc>
          <w:tcPr>
            <w:tcW w:w="5387" w:type="dxa"/>
          </w:tcPr>
          <w:p w:rsidR="002A4B81" w:rsidRPr="00AF2A30" w:rsidRDefault="002A4B81" w:rsidP="00F709F6">
            <w:pPr>
              <w:jc w:val="both"/>
              <w:rPr>
                <w:b/>
                <w:bCs/>
              </w:rPr>
            </w:pPr>
            <w:proofErr w:type="spellStart"/>
            <w:r>
              <w:rPr>
                <w:b/>
              </w:rPr>
              <w:t>Adjusted</w:t>
            </w:r>
            <w:proofErr w:type="spellEnd"/>
            <w:r>
              <w:rPr>
                <w:b/>
              </w:rPr>
              <w:t xml:space="preserve"> </w:t>
            </w:r>
            <w:proofErr w:type="spellStart"/>
            <w:r>
              <w:rPr>
                <w:b/>
              </w:rPr>
              <w:t>net</w:t>
            </w:r>
            <w:proofErr w:type="spellEnd"/>
            <w:r>
              <w:rPr>
                <w:b/>
              </w:rPr>
              <w:t xml:space="preserve"> </w:t>
            </w:r>
            <w:proofErr w:type="spellStart"/>
            <w:r>
              <w:rPr>
                <w:b/>
              </w:rPr>
              <w:t>income</w:t>
            </w:r>
            <w:proofErr w:type="spellEnd"/>
          </w:p>
        </w:tc>
        <w:tc>
          <w:tcPr>
            <w:tcW w:w="1254" w:type="dxa"/>
            <w:shd w:val="clear" w:color="auto" w:fill="C0C0C0"/>
          </w:tcPr>
          <w:p w:rsidR="002A4B81" w:rsidRPr="00B13E9A" w:rsidRDefault="002A4B81" w:rsidP="00F709F6">
            <w:pPr>
              <w:jc w:val="right"/>
              <w:rPr>
                <w:bCs/>
              </w:rPr>
            </w:pPr>
            <w:r>
              <w:t>320</w:t>
            </w:r>
          </w:p>
        </w:tc>
        <w:tc>
          <w:tcPr>
            <w:tcW w:w="1304" w:type="dxa"/>
          </w:tcPr>
          <w:p w:rsidR="002A4B81" w:rsidRPr="00B13E9A" w:rsidRDefault="002A4B81" w:rsidP="00F709F6">
            <w:pPr>
              <w:ind w:right="120"/>
              <w:jc w:val="right"/>
              <w:rPr>
                <w:bCs/>
              </w:rPr>
            </w:pPr>
            <w:r>
              <w:t>196</w:t>
            </w:r>
          </w:p>
        </w:tc>
        <w:tc>
          <w:tcPr>
            <w:tcW w:w="1383" w:type="dxa"/>
          </w:tcPr>
          <w:p w:rsidR="002A4B81" w:rsidRPr="00B13E9A" w:rsidRDefault="002A4B81" w:rsidP="00F709F6">
            <w:pPr>
              <w:jc w:val="right"/>
              <w:rPr>
                <w:bCs/>
              </w:rPr>
            </w:pPr>
            <w:r>
              <w:t>63</w:t>
            </w:r>
          </w:p>
        </w:tc>
      </w:tr>
    </w:tbl>
    <w:p w:rsidR="002A4B81" w:rsidRPr="002A4B81" w:rsidRDefault="002A4B81" w:rsidP="002A4B81">
      <w:pPr>
        <w:rPr>
          <w:bCs/>
          <w:lang w:val="en-US"/>
        </w:rPr>
      </w:pPr>
      <w:r w:rsidRPr="002A4B81">
        <w:rPr>
          <w:lang w:val="en-US"/>
        </w:rPr>
        <w:t>Prior-year figures restated</w:t>
      </w:r>
    </w:p>
    <w:p w:rsidR="002A4B81" w:rsidRPr="002A4B81" w:rsidRDefault="002A4B81" w:rsidP="002A4B81">
      <w:pPr>
        <w:rPr>
          <w:bCs/>
          <w:lang w:val="en-US"/>
        </w:rPr>
      </w:pPr>
    </w:p>
    <w:p w:rsidR="002A4B81" w:rsidRPr="002A4B81" w:rsidRDefault="002A4B81" w:rsidP="002A4B81">
      <w:pPr>
        <w:spacing w:after="120"/>
        <w:rPr>
          <w:b/>
          <w:bCs/>
          <w:lang w:val="en-US"/>
        </w:rPr>
      </w:pPr>
      <w:r w:rsidRPr="002A4B81">
        <w:rPr>
          <w:b/>
          <w:lang w:val="en-US"/>
        </w:rPr>
        <w:t>Segment performance</w:t>
      </w:r>
    </w:p>
    <w:tbl>
      <w:tblPr>
        <w:tblW w:w="97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231"/>
        <w:gridCol w:w="1134"/>
        <w:gridCol w:w="1134"/>
        <w:gridCol w:w="1276"/>
        <w:gridCol w:w="1275"/>
        <w:gridCol w:w="993"/>
      </w:tblGrid>
      <w:tr w:rsidR="002A4B81" w:rsidRPr="00B13E9A" w:rsidTr="00F709F6">
        <w:tc>
          <w:tcPr>
            <w:tcW w:w="2694" w:type="dxa"/>
            <w:vMerge w:val="restart"/>
          </w:tcPr>
          <w:p w:rsidR="002A4B81" w:rsidRPr="002A4B81" w:rsidRDefault="002A4B81" w:rsidP="00F709F6">
            <w:pPr>
              <w:rPr>
                <w:bCs/>
                <w:lang w:val="en-US"/>
              </w:rPr>
            </w:pPr>
          </w:p>
        </w:tc>
        <w:tc>
          <w:tcPr>
            <w:tcW w:w="3499" w:type="dxa"/>
            <w:gridSpan w:val="3"/>
          </w:tcPr>
          <w:p w:rsidR="002A4B81" w:rsidRPr="00BE5DBC" w:rsidRDefault="002A4B81" w:rsidP="00F709F6">
            <w:pPr>
              <w:jc w:val="center"/>
              <w:rPr>
                <w:b/>
                <w:bCs/>
              </w:rPr>
            </w:pPr>
            <w:proofErr w:type="spellStart"/>
            <w:r>
              <w:rPr>
                <w:b/>
              </w:rPr>
              <w:t>Sales</w:t>
            </w:r>
            <w:proofErr w:type="spellEnd"/>
          </w:p>
        </w:tc>
        <w:tc>
          <w:tcPr>
            <w:tcW w:w="3544" w:type="dxa"/>
            <w:gridSpan w:val="3"/>
          </w:tcPr>
          <w:p w:rsidR="002A4B81" w:rsidRPr="00BE5DBC" w:rsidRDefault="002A4B81" w:rsidP="00F709F6">
            <w:pPr>
              <w:jc w:val="center"/>
              <w:rPr>
                <w:b/>
                <w:bCs/>
              </w:rPr>
            </w:pPr>
            <w:proofErr w:type="spellStart"/>
            <w:r>
              <w:rPr>
                <w:b/>
              </w:rPr>
              <w:t>Adjusted</w:t>
            </w:r>
            <w:proofErr w:type="spellEnd"/>
            <w:r>
              <w:rPr>
                <w:b/>
              </w:rPr>
              <w:t xml:space="preserve"> EBITDA</w:t>
            </w:r>
          </w:p>
        </w:tc>
      </w:tr>
      <w:tr w:rsidR="002A4B81" w:rsidRPr="00B13E9A" w:rsidTr="00F709F6">
        <w:tc>
          <w:tcPr>
            <w:tcW w:w="2694" w:type="dxa"/>
            <w:vMerge/>
          </w:tcPr>
          <w:p w:rsidR="002A4B81" w:rsidRPr="00B13E9A" w:rsidRDefault="002A4B81" w:rsidP="00F709F6">
            <w:pPr>
              <w:rPr>
                <w:bCs/>
              </w:rPr>
            </w:pPr>
          </w:p>
        </w:tc>
        <w:tc>
          <w:tcPr>
            <w:tcW w:w="1231" w:type="dxa"/>
            <w:shd w:val="clear" w:color="auto" w:fill="C0C0C0"/>
          </w:tcPr>
          <w:p w:rsidR="002A4B81" w:rsidRPr="00BE5DBC" w:rsidRDefault="002A4B81" w:rsidP="00F709F6">
            <w:pPr>
              <w:jc w:val="center"/>
              <w:rPr>
                <w:b/>
                <w:bCs/>
                <w:sz w:val="16"/>
                <w:szCs w:val="16"/>
              </w:rPr>
            </w:pPr>
            <w:r>
              <w:rPr>
                <w:b/>
                <w:sz w:val="16"/>
              </w:rPr>
              <w:t>Q1 2015</w:t>
            </w:r>
            <w:r>
              <w:rPr>
                <w:b/>
                <w:bCs/>
                <w:sz w:val="16"/>
                <w:szCs w:val="16"/>
              </w:rPr>
              <w:br/>
            </w:r>
            <w:r>
              <w:rPr>
                <w:b/>
                <w:sz w:val="16"/>
              </w:rPr>
              <w:t xml:space="preserve">in € </w:t>
            </w:r>
            <w:proofErr w:type="spellStart"/>
            <w:r>
              <w:rPr>
                <w:b/>
                <w:sz w:val="16"/>
              </w:rPr>
              <w:t>million</w:t>
            </w:r>
            <w:proofErr w:type="spellEnd"/>
          </w:p>
        </w:tc>
        <w:tc>
          <w:tcPr>
            <w:tcW w:w="1134" w:type="dxa"/>
          </w:tcPr>
          <w:p w:rsidR="002A4B81" w:rsidRPr="00BE5DBC" w:rsidRDefault="002A4B81" w:rsidP="00F709F6">
            <w:pPr>
              <w:jc w:val="center"/>
              <w:rPr>
                <w:b/>
                <w:bCs/>
                <w:sz w:val="16"/>
                <w:szCs w:val="16"/>
              </w:rPr>
            </w:pPr>
            <w:r>
              <w:rPr>
                <w:b/>
                <w:sz w:val="16"/>
              </w:rPr>
              <w:t>Q1 2014</w:t>
            </w:r>
            <w:r>
              <w:rPr>
                <w:b/>
                <w:bCs/>
                <w:sz w:val="16"/>
                <w:szCs w:val="16"/>
              </w:rPr>
              <w:br/>
            </w:r>
            <w:r>
              <w:rPr>
                <w:b/>
                <w:sz w:val="16"/>
              </w:rPr>
              <w:t xml:space="preserve">in € </w:t>
            </w:r>
            <w:proofErr w:type="spellStart"/>
            <w:r>
              <w:rPr>
                <w:b/>
                <w:sz w:val="16"/>
              </w:rPr>
              <w:t>million</w:t>
            </w:r>
            <w:proofErr w:type="spellEnd"/>
          </w:p>
        </w:tc>
        <w:tc>
          <w:tcPr>
            <w:tcW w:w="1134" w:type="dxa"/>
          </w:tcPr>
          <w:p w:rsidR="002A4B81" w:rsidRPr="00BE5DBC" w:rsidRDefault="002A4B81" w:rsidP="00F709F6">
            <w:pPr>
              <w:jc w:val="center"/>
              <w:rPr>
                <w:b/>
                <w:bCs/>
                <w:sz w:val="16"/>
                <w:szCs w:val="16"/>
              </w:rPr>
            </w:pPr>
            <w:r>
              <w:rPr>
                <w:b/>
                <w:sz w:val="16"/>
              </w:rPr>
              <w:t xml:space="preserve">Change </w:t>
            </w:r>
            <w:r>
              <w:rPr>
                <w:b/>
                <w:bCs/>
                <w:sz w:val="16"/>
                <w:szCs w:val="16"/>
              </w:rPr>
              <w:br/>
            </w:r>
            <w:r>
              <w:rPr>
                <w:b/>
                <w:sz w:val="16"/>
              </w:rPr>
              <w:t>in %</w:t>
            </w:r>
          </w:p>
        </w:tc>
        <w:tc>
          <w:tcPr>
            <w:tcW w:w="1276" w:type="dxa"/>
            <w:shd w:val="clear" w:color="auto" w:fill="C0C0C0"/>
          </w:tcPr>
          <w:p w:rsidR="002A4B81" w:rsidRPr="00BE5DBC" w:rsidRDefault="002A4B81" w:rsidP="00F709F6">
            <w:pPr>
              <w:jc w:val="center"/>
              <w:rPr>
                <w:b/>
                <w:bCs/>
                <w:sz w:val="16"/>
                <w:szCs w:val="16"/>
              </w:rPr>
            </w:pPr>
            <w:r>
              <w:rPr>
                <w:b/>
                <w:sz w:val="16"/>
              </w:rPr>
              <w:t>Q1 2015</w:t>
            </w:r>
            <w:r>
              <w:rPr>
                <w:b/>
                <w:bCs/>
                <w:sz w:val="16"/>
                <w:szCs w:val="16"/>
              </w:rPr>
              <w:br/>
            </w:r>
            <w:r>
              <w:rPr>
                <w:b/>
                <w:sz w:val="16"/>
              </w:rPr>
              <w:t xml:space="preserve">in € </w:t>
            </w:r>
            <w:proofErr w:type="spellStart"/>
            <w:r>
              <w:rPr>
                <w:b/>
                <w:sz w:val="16"/>
              </w:rPr>
              <w:t>million</w:t>
            </w:r>
            <w:proofErr w:type="spellEnd"/>
          </w:p>
        </w:tc>
        <w:tc>
          <w:tcPr>
            <w:tcW w:w="1275" w:type="dxa"/>
          </w:tcPr>
          <w:p w:rsidR="002A4B81" w:rsidRPr="00BE5DBC" w:rsidRDefault="002A4B81" w:rsidP="00F709F6">
            <w:pPr>
              <w:jc w:val="center"/>
              <w:rPr>
                <w:b/>
                <w:bCs/>
                <w:sz w:val="16"/>
                <w:szCs w:val="16"/>
              </w:rPr>
            </w:pPr>
            <w:r>
              <w:rPr>
                <w:b/>
                <w:sz w:val="16"/>
              </w:rPr>
              <w:t>Q1 2014</w:t>
            </w:r>
            <w:r>
              <w:rPr>
                <w:b/>
                <w:bCs/>
                <w:sz w:val="16"/>
                <w:szCs w:val="16"/>
              </w:rPr>
              <w:br/>
            </w:r>
            <w:r>
              <w:rPr>
                <w:b/>
                <w:sz w:val="16"/>
              </w:rPr>
              <w:t xml:space="preserve">in € </w:t>
            </w:r>
            <w:proofErr w:type="spellStart"/>
            <w:r>
              <w:rPr>
                <w:b/>
                <w:sz w:val="16"/>
              </w:rPr>
              <w:t>million</w:t>
            </w:r>
            <w:proofErr w:type="spellEnd"/>
          </w:p>
        </w:tc>
        <w:tc>
          <w:tcPr>
            <w:tcW w:w="993" w:type="dxa"/>
          </w:tcPr>
          <w:p w:rsidR="002A4B81" w:rsidRPr="00BE5DBC" w:rsidRDefault="002A4B81" w:rsidP="00F709F6">
            <w:pPr>
              <w:jc w:val="center"/>
              <w:rPr>
                <w:b/>
                <w:bCs/>
                <w:sz w:val="16"/>
                <w:szCs w:val="16"/>
              </w:rPr>
            </w:pPr>
            <w:r>
              <w:rPr>
                <w:b/>
                <w:sz w:val="16"/>
              </w:rPr>
              <w:t>Change in %</w:t>
            </w:r>
          </w:p>
        </w:tc>
      </w:tr>
      <w:tr w:rsidR="002A4B81" w:rsidRPr="008D56C4" w:rsidTr="00F709F6">
        <w:tc>
          <w:tcPr>
            <w:tcW w:w="2694" w:type="dxa"/>
          </w:tcPr>
          <w:p w:rsidR="002A4B81" w:rsidRPr="00BE5DBC" w:rsidRDefault="002A4B81" w:rsidP="00F709F6">
            <w:pPr>
              <w:rPr>
                <w:bCs/>
              </w:rPr>
            </w:pPr>
            <w:r>
              <w:t>Nutrition &amp; Care</w:t>
            </w:r>
          </w:p>
        </w:tc>
        <w:tc>
          <w:tcPr>
            <w:tcW w:w="1231" w:type="dxa"/>
            <w:shd w:val="clear" w:color="auto" w:fill="C0C0C0"/>
            <w:vAlign w:val="center"/>
          </w:tcPr>
          <w:p w:rsidR="002A4B81" w:rsidRPr="00BE5DBC" w:rsidRDefault="002A4B81" w:rsidP="00F709F6">
            <w:pPr>
              <w:jc w:val="right"/>
              <w:rPr>
                <w:bCs/>
              </w:rPr>
            </w:pPr>
            <w:r>
              <w:t>1,229</w:t>
            </w:r>
          </w:p>
        </w:tc>
        <w:tc>
          <w:tcPr>
            <w:tcW w:w="1134" w:type="dxa"/>
            <w:vAlign w:val="center"/>
          </w:tcPr>
          <w:p w:rsidR="002A4B81" w:rsidRPr="00A02C86" w:rsidRDefault="002A4B81" w:rsidP="00F709F6">
            <w:pPr>
              <w:jc w:val="right"/>
              <w:rPr>
                <w:bCs/>
              </w:rPr>
            </w:pPr>
            <w:r>
              <w:t>962</w:t>
            </w:r>
          </w:p>
        </w:tc>
        <w:tc>
          <w:tcPr>
            <w:tcW w:w="1134" w:type="dxa"/>
            <w:vAlign w:val="center"/>
          </w:tcPr>
          <w:p w:rsidR="002A4B81" w:rsidRPr="00A02C86" w:rsidRDefault="002A4B81" w:rsidP="00F709F6">
            <w:pPr>
              <w:jc w:val="right"/>
              <w:rPr>
                <w:bCs/>
              </w:rPr>
            </w:pPr>
            <w:r>
              <w:t>28</w:t>
            </w:r>
          </w:p>
        </w:tc>
        <w:tc>
          <w:tcPr>
            <w:tcW w:w="1276" w:type="dxa"/>
            <w:shd w:val="clear" w:color="auto" w:fill="C0C0C0"/>
            <w:vAlign w:val="center"/>
          </w:tcPr>
          <w:p w:rsidR="002A4B81" w:rsidRPr="00A02C86" w:rsidRDefault="002A4B81" w:rsidP="00F709F6">
            <w:pPr>
              <w:jc w:val="right"/>
              <w:rPr>
                <w:bCs/>
              </w:rPr>
            </w:pPr>
            <w:r>
              <w:t>353</w:t>
            </w:r>
          </w:p>
        </w:tc>
        <w:tc>
          <w:tcPr>
            <w:tcW w:w="1275" w:type="dxa"/>
            <w:vAlign w:val="center"/>
          </w:tcPr>
          <w:p w:rsidR="002A4B81" w:rsidRPr="00A02C86" w:rsidRDefault="002A4B81" w:rsidP="00F709F6">
            <w:pPr>
              <w:jc w:val="right"/>
              <w:rPr>
                <w:bCs/>
              </w:rPr>
            </w:pPr>
            <w:r>
              <w:t>186</w:t>
            </w:r>
          </w:p>
        </w:tc>
        <w:tc>
          <w:tcPr>
            <w:tcW w:w="993" w:type="dxa"/>
            <w:vAlign w:val="center"/>
          </w:tcPr>
          <w:p w:rsidR="002A4B81" w:rsidRPr="00A02C86" w:rsidRDefault="002A4B81" w:rsidP="00F709F6">
            <w:pPr>
              <w:jc w:val="right"/>
              <w:rPr>
                <w:bCs/>
              </w:rPr>
            </w:pPr>
            <w:r>
              <w:t>90</w:t>
            </w:r>
          </w:p>
        </w:tc>
      </w:tr>
      <w:tr w:rsidR="002A4B81" w:rsidRPr="008D56C4" w:rsidTr="00F709F6">
        <w:tc>
          <w:tcPr>
            <w:tcW w:w="2694" w:type="dxa"/>
          </w:tcPr>
          <w:p w:rsidR="002A4B81" w:rsidRPr="00A02C86" w:rsidRDefault="002A4B81" w:rsidP="00F709F6">
            <w:pPr>
              <w:rPr>
                <w:bCs/>
              </w:rPr>
            </w:pPr>
            <w:r>
              <w:t>Resource Efficiency</w:t>
            </w:r>
          </w:p>
        </w:tc>
        <w:tc>
          <w:tcPr>
            <w:tcW w:w="1231" w:type="dxa"/>
            <w:shd w:val="clear" w:color="auto" w:fill="C0C0C0"/>
            <w:vAlign w:val="center"/>
          </w:tcPr>
          <w:p w:rsidR="002A4B81" w:rsidRPr="00A02C86" w:rsidRDefault="002A4B81" w:rsidP="00F709F6">
            <w:pPr>
              <w:jc w:val="right"/>
              <w:rPr>
                <w:bCs/>
              </w:rPr>
            </w:pPr>
            <w:r>
              <w:t>1,124</w:t>
            </w:r>
          </w:p>
        </w:tc>
        <w:tc>
          <w:tcPr>
            <w:tcW w:w="1134" w:type="dxa"/>
            <w:vAlign w:val="center"/>
          </w:tcPr>
          <w:p w:rsidR="002A4B81" w:rsidRPr="00A02C86" w:rsidRDefault="002A4B81" w:rsidP="00F709F6">
            <w:pPr>
              <w:jc w:val="right"/>
              <w:rPr>
                <w:bCs/>
              </w:rPr>
            </w:pPr>
            <w:r>
              <w:t>999</w:t>
            </w:r>
          </w:p>
        </w:tc>
        <w:tc>
          <w:tcPr>
            <w:tcW w:w="1134" w:type="dxa"/>
            <w:vAlign w:val="center"/>
          </w:tcPr>
          <w:p w:rsidR="002A4B81" w:rsidRPr="00A02C86" w:rsidRDefault="002A4B81" w:rsidP="00F709F6">
            <w:pPr>
              <w:jc w:val="right"/>
              <w:rPr>
                <w:bCs/>
              </w:rPr>
            </w:pPr>
            <w:r>
              <w:t>13</w:t>
            </w:r>
          </w:p>
        </w:tc>
        <w:tc>
          <w:tcPr>
            <w:tcW w:w="1276" w:type="dxa"/>
            <w:shd w:val="clear" w:color="auto" w:fill="C0C0C0"/>
            <w:vAlign w:val="center"/>
          </w:tcPr>
          <w:p w:rsidR="002A4B81" w:rsidRPr="00A02C86" w:rsidRDefault="002A4B81" w:rsidP="00F709F6">
            <w:pPr>
              <w:jc w:val="right"/>
              <w:rPr>
                <w:bCs/>
              </w:rPr>
            </w:pPr>
            <w:r>
              <w:t>244</w:t>
            </w:r>
          </w:p>
        </w:tc>
        <w:tc>
          <w:tcPr>
            <w:tcW w:w="1275" w:type="dxa"/>
            <w:vAlign w:val="center"/>
          </w:tcPr>
          <w:p w:rsidR="002A4B81" w:rsidRPr="00A02C86" w:rsidRDefault="002A4B81" w:rsidP="00F709F6">
            <w:pPr>
              <w:jc w:val="right"/>
              <w:rPr>
                <w:bCs/>
              </w:rPr>
            </w:pPr>
            <w:r>
              <w:t>221</w:t>
            </w:r>
          </w:p>
        </w:tc>
        <w:tc>
          <w:tcPr>
            <w:tcW w:w="993" w:type="dxa"/>
            <w:vAlign w:val="center"/>
          </w:tcPr>
          <w:p w:rsidR="002A4B81" w:rsidRPr="00A02C86" w:rsidRDefault="002A4B81" w:rsidP="00F709F6">
            <w:pPr>
              <w:jc w:val="right"/>
              <w:rPr>
                <w:bCs/>
              </w:rPr>
            </w:pPr>
            <w:r>
              <w:t>10</w:t>
            </w:r>
          </w:p>
        </w:tc>
      </w:tr>
      <w:tr w:rsidR="002A4B81" w:rsidRPr="00B13E9A" w:rsidTr="00F709F6">
        <w:tc>
          <w:tcPr>
            <w:tcW w:w="2694" w:type="dxa"/>
          </w:tcPr>
          <w:p w:rsidR="002A4B81" w:rsidRPr="00A02C86" w:rsidRDefault="002A4B81" w:rsidP="00F709F6">
            <w:pPr>
              <w:rPr>
                <w:bCs/>
              </w:rPr>
            </w:pPr>
            <w:r>
              <w:t>Performance Materials</w:t>
            </w:r>
          </w:p>
        </w:tc>
        <w:tc>
          <w:tcPr>
            <w:tcW w:w="1231" w:type="dxa"/>
            <w:shd w:val="clear" w:color="auto" w:fill="C0C0C0"/>
            <w:vAlign w:val="center"/>
          </w:tcPr>
          <w:p w:rsidR="002A4B81" w:rsidRPr="00A02C86" w:rsidRDefault="002A4B81" w:rsidP="00F709F6">
            <w:pPr>
              <w:jc w:val="right"/>
              <w:rPr>
                <w:bCs/>
              </w:rPr>
            </w:pPr>
            <w:r>
              <w:t>851</w:t>
            </w:r>
          </w:p>
        </w:tc>
        <w:tc>
          <w:tcPr>
            <w:tcW w:w="1134" w:type="dxa"/>
            <w:vAlign w:val="center"/>
          </w:tcPr>
          <w:p w:rsidR="002A4B81" w:rsidRPr="00A02C86" w:rsidRDefault="002A4B81" w:rsidP="00F709F6">
            <w:pPr>
              <w:jc w:val="right"/>
              <w:rPr>
                <w:bCs/>
              </w:rPr>
            </w:pPr>
            <w:r>
              <w:t>999</w:t>
            </w:r>
          </w:p>
        </w:tc>
        <w:tc>
          <w:tcPr>
            <w:tcW w:w="1134" w:type="dxa"/>
            <w:vAlign w:val="center"/>
          </w:tcPr>
          <w:p w:rsidR="002A4B81" w:rsidRPr="00A02C86" w:rsidRDefault="002A4B81" w:rsidP="00F709F6">
            <w:pPr>
              <w:jc w:val="right"/>
              <w:rPr>
                <w:bCs/>
              </w:rPr>
            </w:pPr>
            <w:r>
              <w:t>-15</w:t>
            </w:r>
          </w:p>
        </w:tc>
        <w:tc>
          <w:tcPr>
            <w:tcW w:w="1276" w:type="dxa"/>
            <w:shd w:val="clear" w:color="auto" w:fill="C0C0C0"/>
            <w:vAlign w:val="center"/>
          </w:tcPr>
          <w:p w:rsidR="002A4B81" w:rsidRPr="00A02C86" w:rsidRDefault="002A4B81" w:rsidP="00F709F6">
            <w:pPr>
              <w:jc w:val="right"/>
              <w:rPr>
                <w:bCs/>
              </w:rPr>
            </w:pPr>
            <w:r>
              <w:t>72</w:t>
            </w:r>
          </w:p>
        </w:tc>
        <w:tc>
          <w:tcPr>
            <w:tcW w:w="1275" w:type="dxa"/>
            <w:vAlign w:val="center"/>
          </w:tcPr>
          <w:p w:rsidR="002A4B81" w:rsidRPr="00A02C86" w:rsidRDefault="002A4B81" w:rsidP="00F709F6">
            <w:pPr>
              <w:jc w:val="right"/>
              <w:rPr>
                <w:bCs/>
              </w:rPr>
            </w:pPr>
            <w:r>
              <w:t>80</w:t>
            </w:r>
          </w:p>
        </w:tc>
        <w:tc>
          <w:tcPr>
            <w:tcW w:w="993" w:type="dxa"/>
            <w:vAlign w:val="center"/>
          </w:tcPr>
          <w:p w:rsidR="002A4B81" w:rsidRPr="00B13E9A" w:rsidRDefault="002A4B81" w:rsidP="00F709F6">
            <w:pPr>
              <w:jc w:val="right"/>
              <w:rPr>
                <w:bCs/>
              </w:rPr>
            </w:pPr>
            <w:r>
              <w:t>-10</w:t>
            </w:r>
          </w:p>
        </w:tc>
      </w:tr>
      <w:tr w:rsidR="002A4B81" w:rsidRPr="00B13E9A" w:rsidTr="00F709F6">
        <w:tc>
          <w:tcPr>
            <w:tcW w:w="2694" w:type="dxa"/>
          </w:tcPr>
          <w:p w:rsidR="002A4B81" w:rsidRPr="00B13E9A" w:rsidRDefault="002A4B81" w:rsidP="00F709F6">
            <w:pPr>
              <w:rPr>
                <w:bCs/>
              </w:rPr>
            </w:pPr>
            <w:r>
              <w:t>Services</w:t>
            </w:r>
          </w:p>
        </w:tc>
        <w:tc>
          <w:tcPr>
            <w:tcW w:w="1231" w:type="dxa"/>
            <w:shd w:val="clear" w:color="auto" w:fill="C0C0C0"/>
            <w:vAlign w:val="center"/>
          </w:tcPr>
          <w:p w:rsidR="002A4B81" w:rsidRPr="00B13E9A" w:rsidRDefault="002A4B81" w:rsidP="00F709F6">
            <w:pPr>
              <w:jc w:val="right"/>
              <w:rPr>
                <w:bCs/>
              </w:rPr>
            </w:pPr>
            <w:r>
              <w:t>207</w:t>
            </w:r>
          </w:p>
        </w:tc>
        <w:tc>
          <w:tcPr>
            <w:tcW w:w="1134" w:type="dxa"/>
            <w:vAlign w:val="center"/>
          </w:tcPr>
          <w:p w:rsidR="002A4B81" w:rsidRPr="00B13E9A" w:rsidRDefault="002A4B81" w:rsidP="00F709F6">
            <w:pPr>
              <w:jc w:val="right"/>
              <w:rPr>
                <w:bCs/>
              </w:rPr>
            </w:pPr>
            <w:r>
              <w:t>231</w:t>
            </w:r>
          </w:p>
        </w:tc>
        <w:tc>
          <w:tcPr>
            <w:tcW w:w="1134" w:type="dxa"/>
            <w:vAlign w:val="center"/>
          </w:tcPr>
          <w:p w:rsidR="002A4B81" w:rsidRPr="00B13E9A" w:rsidRDefault="002A4B81" w:rsidP="00F709F6">
            <w:pPr>
              <w:jc w:val="right"/>
              <w:rPr>
                <w:bCs/>
              </w:rPr>
            </w:pPr>
            <w:r>
              <w:t>-10</w:t>
            </w:r>
          </w:p>
        </w:tc>
        <w:tc>
          <w:tcPr>
            <w:tcW w:w="1276" w:type="dxa"/>
            <w:shd w:val="clear" w:color="auto" w:fill="C0C0C0"/>
            <w:vAlign w:val="center"/>
          </w:tcPr>
          <w:p w:rsidR="002A4B81" w:rsidRPr="00B13E9A" w:rsidRDefault="002A4B81" w:rsidP="00F709F6">
            <w:pPr>
              <w:jc w:val="right"/>
              <w:rPr>
                <w:bCs/>
              </w:rPr>
            </w:pPr>
            <w:r>
              <w:t>46</w:t>
            </w:r>
          </w:p>
        </w:tc>
        <w:tc>
          <w:tcPr>
            <w:tcW w:w="1275" w:type="dxa"/>
            <w:vAlign w:val="center"/>
          </w:tcPr>
          <w:p w:rsidR="002A4B81" w:rsidRPr="00B13E9A" w:rsidRDefault="002A4B81" w:rsidP="00F709F6">
            <w:pPr>
              <w:jc w:val="right"/>
              <w:rPr>
                <w:bCs/>
              </w:rPr>
            </w:pPr>
            <w:r>
              <w:t>43</w:t>
            </w:r>
          </w:p>
        </w:tc>
        <w:tc>
          <w:tcPr>
            <w:tcW w:w="993" w:type="dxa"/>
            <w:vAlign w:val="center"/>
          </w:tcPr>
          <w:p w:rsidR="002A4B81" w:rsidRPr="00B13E9A" w:rsidRDefault="002A4B81" w:rsidP="00F709F6">
            <w:pPr>
              <w:jc w:val="right"/>
              <w:rPr>
                <w:bCs/>
              </w:rPr>
            </w:pPr>
            <w:r>
              <w:t>7</w:t>
            </w:r>
          </w:p>
        </w:tc>
      </w:tr>
      <w:tr w:rsidR="002A4B81" w:rsidRPr="00B13E9A" w:rsidTr="00F709F6">
        <w:tc>
          <w:tcPr>
            <w:tcW w:w="2694" w:type="dxa"/>
          </w:tcPr>
          <w:p w:rsidR="002A4B81" w:rsidRPr="00B13E9A" w:rsidRDefault="002A4B81" w:rsidP="00F709F6">
            <w:pPr>
              <w:rPr>
                <w:bCs/>
              </w:rPr>
            </w:pPr>
            <w:r>
              <w:t xml:space="preserve">Other </w:t>
            </w:r>
            <w:proofErr w:type="spellStart"/>
            <w:r>
              <w:t>operations</w:t>
            </w:r>
            <w:proofErr w:type="spellEnd"/>
          </w:p>
        </w:tc>
        <w:tc>
          <w:tcPr>
            <w:tcW w:w="1231" w:type="dxa"/>
            <w:shd w:val="clear" w:color="auto" w:fill="C0C0C0"/>
            <w:vAlign w:val="center"/>
          </w:tcPr>
          <w:p w:rsidR="002A4B81" w:rsidRPr="00B13E9A" w:rsidRDefault="002A4B81" w:rsidP="00F709F6">
            <w:pPr>
              <w:jc w:val="right"/>
              <w:rPr>
                <w:bCs/>
              </w:rPr>
            </w:pPr>
            <w:r>
              <w:t>14</w:t>
            </w:r>
          </w:p>
        </w:tc>
        <w:tc>
          <w:tcPr>
            <w:tcW w:w="1134" w:type="dxa"/>
            <w:vAlign w:val="center"/>
          </w:tcPr>
          <w:p w:rsidR="002A4B81" w:rsidRPr="00B13E9A" w:rsidRDefault="002A4B81" w:rsidP="00F709F6">
            <w:pPr>
              <w:jc w:val="right"/>
              <w:rPr>
                <w:bCs/>
              </w:rPr>
            </w:pPr>
            <w:r>
              <w:t>10</w:t>
            </w:r>
          </w:p>
        </w:tc>
        <w:tc>
          <w:tcPr>
            <w:tcW w:w="1134" w:type="dxa"/>
            <w:vAlign w:val="center"/>
          </w:tcPr>
          <w:p w:rsidR="002A4B81" w:rsidRPr="00B13E9A" w:rsidRDefault="002A4B81" w:rsidP="00F709F6">
            <w:pPr>
              <w:jc w:val="right"/>
              <w:rPr>
                <w:bCs/>
              </w:rPr>
            </w:pPr>
            <w:r>
              <w:t>-</w:t>
            </w:r>
          </w:p>
        </w:tc>
        <w:tc>
          <w:tcPr>
            <w:tcW w:w="1276" w:type="dxa"/>
            <w:shd w:val="clear" w:color="auto" w:fill="C0C0C0"/>
            <w:vAlign w:val="center"/>
          </w:tcPr>
          <w:p w:rsidR="002A4B81" w:rsidRPr="00B13E9A" w:rsidRDefault="002A4B81" w:rsidP="00F709F6">
            <w:pPr>
              <w:jc w:val="right"/>
              <w:rPr>
                <w:bCs/>
              </w:rPr>
            </w:pPr>
            <w:r>
              <w:t>-65</w:t>
            </w:r>
          </w:p>
        </w:tc>
        <w:tc>
          <w:tcPr>
            <w:tcW w:w="1275" w:type="dxa"/>
            <w:vAlign w:val="center"/>
          </w:tcPr>
          <w:p w:rsidR="002A4B81" w:rsidRPr="00B13E9A" w:rsidRDefault="002A4B81" w:rsidP="00F709F6">
            <w:pPr>
              <w:jc w:val="right"/>
              <w:rPr>
                <w:bCs/>
              </w:rPr>
            </w:pPr>
            <w:r>
              <w:t>-65</w:t>
            </w:r>
          </w:p>
        </w:tc>
        <w:tc>
          <w:tcPr>
            <w:tcW w:w="993" w:type="dxa"/>
            <w:vAlign w:val="center"/>
          </w:tcPr>
          <w:p w:rsidR="002A4B81" w:rsidRPr="00B13E9A" w:rsidRDefault="002A4B81" w:rsidP="00F709F6">
            <w:pPr>
              <w:jc w:val="right"/>
              <w:rPr>
                <w:bCs/>
              </w:rPr>
            </w:pPr>
            <w:r>
              <w:t>-</w:t>
            </w:r>
          </w:p>
        </w:tc>
      </w:tr>
      <w:tr w:rsidR="002A4B81" w:rsidRPr="00B13E9A" w:rsidTr="00F709F6">
        <w:tc>
          <w:tcPr>
            <w:tcW w:w="2694" w:type="dxa"/>
          </w:tcPr>
          <w:p w:rsidR="002A4B81" w:rsidRPr="00AF2A30" w:rsidRDefault="002A4B81" w:rsidP="00F709F6">
            <w:pPr>
              <w:rPr>
                <w:b/>
                <w:bCs/>
              </w:rPr>
            </w:pPr>
            <w:r>
              <w:rPr>
                <w:b/>
              </w:rPr>
              <w:t>Group</w:t>
            </w:r>
          </w:p>
        </w:tc>
        <w:tc>
          <w:tcPr>
            <w:tcW w:w="1231" w:type="dxa"/>
            <w:shd w:val="clear" w:color="auto" w:fill="C0C0C0"/>
            <w:vAlign w:val="center"/>
          </w:tcPr>
          <w:p w:rsidR="002A4B81" w:rsidRPr="00B13E9A" w:rsidRDefault="002A4B81" w:rsidP="00F709F6">
            <w:pPr>
              <w:jc w:val="right"/>
              <w:rPr>
                <w:bCs/>
              </w:rPr>
            </w:pPr>
            <w:r>
              <w:t>3,425</w:t>
            </w:r>
          </w:p>
        </w:tc>
        <w:tc>
          <w:tcPr>
            <w:tcW w:w="1134" w:type="dxa"/>
            <w:vAlign w:val="center"/>
          </w:tcPr>
          <w:p w:rsidR="002A4B81" w:rsidRPr="00B13E9A" w:rsidRDefault="002A4B81" w:rsidP="00F709F6">
            <w:pPr>
              <w:jc w:val="right"/>
              <w:rPr>
                <w:bCs/>
              </w:rPr>
            </w:pPr>
            <w:r>
              <w:t>3,201</w:t>
            </w:r>
          </w:p>
        </w:tc>
        <w:tc>
          <w:tcPr>
            <w:tcW w:w="1134" w:type="dxa"/>
            <w:vAlign w:val="center"/>
          </w:tcPr>
          <w:p w:rsidR="002A4B81" w:rsidRPr="00B13E9A" w:rsidRDefault="002A4B81" w:rsidP="00F709F6">
            <w:pPr>
              <w:jc w:val="right"/>
              <w:rPr>
                <w:bCs/>
              </w:rPr>
            </w:pPr>
            <w:r>
              <w:t>7</w:t>
            </w:r>
          </w:p>
        </w:tc>
        <w:tc>
          <w:tcPr>
            <w:tcW w:w="1276" w:type="dxa"/>
            <w:shd w:val="clear" w:color="auto" w:fill="C0C0C0"/>
            <w:vAlign w:val="center"/>
          </w:tcPr>
          <w:p w:rsidR="002A4B81" w:rsidRPr="00B13E9A" w:rsidRDefault="002A4B81" w:rsidP="00F709F6">
            <w:pPr>
              <w:jc w:val="right"/>
              <w:rPr>
                <w:bCs/>
              </w:rPr>
            </w:pPr>
            <w:r>
              <w:t>650</w:t>
            </w:r>
          </w:p>
        </w:tc>
        <w:tc>
          <w:tcPr>
            <w:tcW w:w="1275" w:type="dxa"/>
            <w:vAlign w:val="center"/>
          </w:tcPr>
          <w:p w:rsidR="002A4B81" w:rsidRPr="00B13E9A" w:rsidRDefault="002A4B81" w:rsidP="00F709F6">
            <w:pPr>
              <w:jc w:val="right"/>
              <w:rPr>
                <w:bCs/>
              </w:rPr>
            </w:pPr>
            <w:r>
              <w:t>465</w:t>
            </w:r>
          </w:p>
        </w:tc>
        <w:tc>
          <w:tcPr>
            <w:tcW w:w="993" w:type="dxa"/>
            <w:vAlign w:val="center"/>
          </w:tcPr>
          <w:p w:rsidR="002A4B81" w:rsidRPr="00B13E9A" w:rsidRDefault="002A4B81" w:rsidP="00F709F6">
            <w:pPr>
              <w:jc w:val="right"/>
              <w:rPr>
                <w:bCs/>
              </w:rPr>
            </w:pPr>
            <w:r>
              <w:t>40</w:t>
            </w:r>
          </w:p>
        </w:tc>
      </w:tr>
    </w:tbl>
    <w:p w:rsidR="002A4B81" w:rsidRDefault="002A4B81" w:rsidP="002A4B81">
      <w:pPr>
        <w:ind w:left="142"/>
        <w:rPr>
          <w:bCs/>
        </w:rPr>
      </w:pPr>
      <w:r>
        <w:t>Prior-</w:t>
      </w:r>
      <w:proofErr w:type="spellStart"/>
      <w:r>
        <w:t>year</w:t>
      </w:r>
      <w:proofErr w:type="spellEnd"/>
      <w:r>
        <w:t xml:space="preserve"> </w:t>
      </w:r>
      <w:proofErr w:type="spellStart"/>
      <w:r>
        <w:t>figures</w:t>
      </w:r>
      <w:proofErr w:type="spellEnd"/>
      <w:r>
        <w:t xml:space="preserve"> </w:t>
      </w:r>
      <w:proofErr w:type="spellStart"/>
      <w:r>
        <w:t>restated</w:t>
      </w:r>
      <w:proofErr w:type="spellEnd"/>
    </w:p>
    <w:p w:rsidR="002A4B81" w:rsidRDefault="002A4B81" w:rsidP="002A4B81">
      <w:pPr>
        <w:rPr>
          <w:bCs/>
        </w:rPr>
      </w:pPr>
    </w:p>
    <w:p w:rsidR="002A4B81" w:rsidRDefault="002A4B81" w:rsidP="002A4B81">
      <w:pPr>
        <w:spacing w:line="240" w:lineRule="auto"/>
        <w:ind w:left="0" w:right="0"/>
      </w:pPr>
    </w:p>
    <w:p w:rsidR="002A4B81" w:rsidRPr="00D941D1" w:rsidRDefault="002A4B81" w:rsidP="002A4B81">
      <w:pPr>
        <w:spacing w:line="240" w:lineRule="auto"/>
        <w:ind w:left="0" w:right="0"/>
        <w:rPr>
          <w:b/>
          <w:bCs/>
        </w:rPr>
      </w:pPr>
      <w:proofErr w:type="spellStart"/>
      <w:r>
        <w:rPr>
          <w:b/>
        </w:rPr>
        <w:t>Employees</w:t>
      </w:r>
      <w:proofErr w:type="spellEnd"/>
      <w:r>
        <w:rPr>
          <w:b/>
        </w:rPr>
        <w:t xml:space="preserve"> </w:t>
      </w:r>
      <w:proofErr w:type="spellStart"/>
      <w:r>
        <w:rPr>
          <w:b/>
        </w:rPr>
        <w:t>by</w:t>
      </w:r>
      <w:proofErr w:type="spellEnd"/>
      <w:r>
        <w:rPr>
          <w:b/>
        </w:rPr>
        <w:t xml:space="preserve"> </w:t>
      </w:r>
      <w:proofErr w:type="spellStart"/>
      <w:r>
        <w:rPr>
          <w:b/>
        </w:rPr>
        <w:t>segment</w:t>
      </w:r>
      <w:proofErr w:type="spellEnd"/>
    </w:p>
    <w:tbl>
      <w:tblPr>
        <w:tblW w:w="8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2"/>
        <w:gridCol w:w="2172"/>
        <w:gridCol w:w="2173"/>
      </w:tblGrid>
      <w:tr w:rsidR="002A4B81" w:rsidRPr="00BE5DBC" w:rsidTr="00F709F6">
        <w:tc>
          <w:tcPr>
            <w:tcW w:w="4122" w:type="dxa"/>
          </w:tcPr>
          <w:p w:rsidR="002A4B81" w:rsidRPr="00B13E9A" w:rsidRDefault="002A4B81" w:rsidP="00F709F6">
            <w:pPr>
              <w:rPr>
                <w:bCs/>
              </w:rPr>
            </w:pPr>
          </w:p>
        </w:tc>
        <w:tc>
          <w:tcPr>
            <w:tcW w:w="2172" w:type="dxa"/>
          </w:tcPr>
          <w:p w:rsidR="002A4B81" w:rsidRPr="00BE5DBC" w:rsidRDefault="002A4B81" w:rsidP="00F709F6">
            <w:pPr>
              <w:jc w:val="center"/>
              <w:rPr>
                <w:b/>
                <w:bCs/>
              </w:rPr>
            </w:pPr>
            <w:r>
              <w:rPr>
                <w:b/>
              </w:rPr>
              <w:t>Mar. 31, 2015</w:t>
            </w:r>
          </w:p>
        </w:tc>
        <w:tc>
          <w:tcPr>
            <w:tcW w:w="2173" w:type="dxa"/>
          </w:tcPr>
          <w:p w:rsidR="002A4B81" w:rsidRPr="00BE5DBC" w:rsidRDefault="002A4B81" w:rsidP="00F709F6">
            <w:pPr>
              <w:jc w:val="center"/>
              <w:rPr>
                <w:b/>
                <w:bCs/>
              </w:rPr>
            </w:pPr>
            <w:proofErr w:type="spellStart"/>
            <w:r>
              <w:rPr>
                <w:b/>
              </w:rPr>
              <w:t>Dec</w:t>
            </w:r>
            <w:proofErr w:type="spellEnd"/>
            <w:r>
              <w:rPr>
                <w:b/>
              </w:rPr>
              <w:t>. 31, 2014</w:t>
            </w:r>
          </w:p>
        </w:tc>
      </w:tr>
      <w:tr w:rsidR="002A4B81" w:rsidRPr="00A14C8B" w:rsidTr="00F709F6">
        <w:tc>
          <w:tcPr>
            <w:tcW w:w="4122" w:type="dxa"/>
          </w:tcPr>
          <w:p w:rsidR="002A4B81" w:rsidRPr="00B13E9A" w:rsidRDefault="002A4B81" w:rsidP="00F709F6">
            <w:pPr>
              <w:rPr>
                <w:bCs/>
              </w:rPr>
            </w:pPr>
            <w:r>
              <w:t>Nutrition &amp; Care</w:t>
            </w:r>
          </w:p>
        </w:tc>
        <w:tc>
          <w:tcPr>
            <w:tcW w:w="2172" w:type="dxa"/>
          </w:tcPr>
          <w:p w:rsidR="002A4B81" w:rsidRPr="00A14C8B" w:rsidRDefault="002A4B81" w:rsidP="00F709F6">
            <w:pPr>
              <w:jc w:val="right"/>
              <w:rPr>
                <w:bCs/>
              </w:rPr>
            </w:pPr>
            <w:r>
              <w:t>6,927</w:t>
            </w:r>
          </w:p>
        </w:tc>
        <w:tc>
          <w:tcPr>
            <w:tcW w:w="2173" w:type="dxa"/>
          </w:tcPr>
          <w:p w:rsidR="002A4B81" w:rsidRPr="00A14C8B" w:rsidRDefault="002A4B81" w:rsidP="00F709F6">
            <w:pPr>
              <w:jc w:val="right"/>
              <w:rPr>
                <w:bCs/>
              </w:rPr>
            </w:pPr>
            <w:r>
              <w:t>6,943</w:t>
            </w:r>
          </w:p>
        </w:tc>
      </w:tr>
      <w:tr w:rsidR="002A4B81" w:rsidRPr="00A14C8B" w:rsidTr="00F709F6">
        <w:tc>
          <w:tcPr>
            <w:tcW w:w="4122" w:type="dxa"/>
          </w:tcPr>
          <w:p w:rsidR="002A4B81" w:rsidRPr="00A14C8B" w:rsidRDefault="002A4B81" w:rsidP="00F709F6">
            <w:pPr>
              <w:rPr>
                <w:bCs/>
              </w:rPr>
            </w:pPr>
            <w:r>
              <w:t>Resource Efficiency</w:t>
            </w:r>
          </w:p>
        </w:tc>
        <w:tc>
          <w:tcPr>
            <w:tcW w:w="2172" w:type="dxa"/>
          </w:tcPr>
          <w:p w:rsidR="002A4B81" w:rsidRPr="00A14C8B" w:rsidRDefault="002A4B81" w:rsidP="00F709F6">
            <w:pPr>
              <w:jc w:val="right"/>
              <w:rPr>
                <w:bCs/>
              </w:rPr>
            </w:pPr>
            <w:r>
              <w:t>7,908</w:t>
            </w:r>
          </w:p>
        </w:tc>
        <w:tc>
          <w:tcPr>
            <w:tcW w:w="2173" w:type="dxa"/>
          </w:tcPr>
          <w:p w:rsidR="002A4B81" w:rsidRPr="00A14C8B" w:rsidRDefault="002A4B81" w:rsidP="00F709F6">
            <w:pPr>
              <w:jc w:val="right"/>
              <w:rPr>
                <w:bCs/>
              </w:rPr>
            </w:pPr>
            <w:r>
              <w:t>7,835</w:t>
            </w:r>
          </w:p>
        </w:tc>
      </w:tr>
      <w:tr w:rsidR="002A4B81" w:rsidRPr="00A14C8B" w:rsidTr="00F709F6">
        <w:tc>
          <w:tcPr>
            <w:tcW w:w="4122" w:type="dxa"/>
          </w:tcPr>
          <w:p w:rsidR="002A4B81" w:rsidRPr="00A14C8B" w:rsidRDefault="002A4B81" w:rsidP="00F709F6">
            <w:pPr>
              <w:rPr>
                <w:bCs/>
              </w:rPr>
            </w:pPr>
            <w:r>
              <w:t>Performance Materials</w:t>
            </w:r>
          </w:p>
        </w:tc>
        <w:tc>
          <w:tcPr>
            <w:tcW w:w="2172" w:type="dxa"/>
          </w:tcPr>
          <w:p w:rsidR="002A4B81" w:rsidRPr="00A14C8B" w:rsidRDefault="002A4B81" w:rsidP="00F709F6">
            <w:pPr>
              <w:jc w:val="right"/>
              <w:rPr>
                <w:bCs/>
              </w:rPr>
            </w:pPr>
            <w:r>
              <w:t>4,346</w:t>
            </w:r>
          </w:p>
        </w:tc>
        <w:tc>
          <w:tcPr>
            <w:tcW w:w="2173" w:type="dxa"/>
          </w:tcPr>
          <w:p w:rsidR="002A4B81" w:rsidRPr="00A14C8B" w:rsidRDefault="002A4B81" w:rsidP="00F709F6">
            <w:pPr>
              <w:jc w:val="right"/>
              <w:rPr>
                <w:bCs/>
              </w:rPr>
            </w:pPr>
            <w:r>
              <w:t>4,353</w:t>
            </w:r>
          </w:p>
        </w:tc>
      </w:tr>
      <w:tr w:rsidR="002A4B81" w:rsidRPr="00A14C8B" w:rsidTr="00F709F6">
        <w:tc>
          <w:tcPr>
            <w:tcW w:w="4122" w:type="dxa"/>
          </w:tcPr>
          <w:p w:rsidR="002A4B81" w:rsidRPr="00A14C8B" w:rsidRDefault="002A4B81" w:rsidP="00F709F6">
            <w:pPr>
              <w:rPr>
                <w:bCs/>
              </w:rPr>
            </w:pPr>
            <w:r>
              <w:t>Services</w:t>
            </w:r>
          </w:p>
        </w:tc>
        <w:tc>
          <w:tcPr>
            <w:tcW w:w="2172" w:type="dxa"/>
          </w:tcPr>
          <w:p w:rsidR="002A4B81" w:rsidRPr="00A14C8B" w:rsidRDefault="002A4B81" w:rsidP="00F709F6">
            <w:pPr>
              <w:jc w:val="right"/>
              <w:rPr>
                <w:bCs/>
              </w:rPr>
            </w:pPr>
            <w:r>
              <w:t>12,971</w:t>
            </w:r>
          </w:p>
        </w:tc>
        <w:tc>
          <w:tcPr>
            <w:tcW w:w="2173" w:type="dxa"/>
          </w:tcPr>
          <w:p w:rsidR="002A4B81" w:rsidRPr="00A14C8B" w:rsidRDefault="002A4B81" w:rsidP="00F709F6">
            <w:pPr>
              <w:jc w:val="right"/>
              <w:rPr>
                <w:bCs/>
              </w:rPr>
            </w:pPr>
            <w:r>
              <w:t>13,173</w:t>
            </w:r>
          </w:p>
        </w:tc>
      </w:tr>
      <w:tr w:rsidR="002A4B81" w:rsidRPr="00B13E9A" w:rsidTr="00F709F6">
        <w:tc>
          <w:tcPr>
            <w:tcW w:w="4122" w:type="dxa"/>
          </w:tcPr>
          <w:p w:rsidR="002A4B81" w:rsidRPr="00A14C8B" w:rsidRDefault="002A4B81" w:rsidP="00F709F6">
            <w:pPr>
              <w:rPr>
                <w:bCs/>
              </w:rPr>
            </w:pPr>
            <w:r>
              <w:t xml:space="preserve">Other </w:t>
            </w:r>
            <w:proofErr w:type="spellStart"/>
            <w:r>
              <w:t>operations</w:t>
            </w:r>
            <w:proofErr w:type="spellEnd"/>
          </w:p>
        </w:tc>
        <w:tc>
          <w:tcPr>
            <w:tcW w:w="2172" w:type="dxa"/>
          </w:tcPr>
          <w:p w:rsidR="002A4B81" w:rsidRPr="00A14C8B" w:rsidRDefault="002A4B81" w:rsidP="00F709F6">
            <w:pPr>
              <w:jc w:val="right"/>
              <w:rPr>
                <w:bCs/>
              </w:rPr>
            </w:pPr>
            <w:r>
              <w:t>923</w:t>
            </w:r>
          </w:p>
        </w:tc>
        <w:tc>
          <w:tcPr>
            <w:tcW w:w="2173" w:type="dxa"/>
          </w:tcPr>
          <w:p w:rsidR="002A4B81" w:rsidRPr="00B13E9A" w:rsidRDefault="002A4B81" w:rsidP="00F709F6">
            <w:pPr>
              <w:jc w:val="right"/>
              <w:rPr>
                <w:bCs/>
              </w:rPr>
            </w:pPr>
            <w:r>
              <w:t>937</w:t>
            </w:r>
          </w:p>
        </w:tc>
      </w:tr>
      <w:tr w:rsidR="002A4B81" w:rsidRPr="00B93B7A" w:rsidTr="00F709F6">
        <w:tc>
          <w:tcPr>
            <w:tcW w:w="4122" w:type="dxa"/>
          </w:tcPr>
          <w:p w:rsidR="002A4B81" w:rsidRPr="00B93B7A" w:rsidRDefault="002A4B81" w:rsidP="00F709F6">
            <w:pPr>
              <w:rPr>
                <w:b/>
                <w:bCs/>
              </w:rPr>
            </w:pPr>
            <w:proofErr w:type="spellStart"/>
            <w:r>
              <w:rPr>
                <w:b/>
              </w:rPr>
              <w:t>Continuing</w:t>
            </w:r>
            <w:proofErr w:type="spellEnd"/>
            <w:r>
              <w:rPr>
                <w:b/>
              </w:rPr>
              <w:t xml:space="preserve"> </w:t>
            </w:r>
            <w:proofErr w:type="spellStart"/>
            <w:r>
              <w:rPr>
                <w:b/>
              </w:rPr>
              <w:t>operations</w:t>
            </w:r>
            <w:proofErr w:type="spellEnd"/>
          </w:p>
        </w:tc>
        <w:tc>
          <w:tcPr>
            <w:tcW w:w="2172" w:type="dxa"/>
          </w:tcPr>
          <w:p w:rsidR="002A4B81" w:rsidRPr="00B93B7A" w:rsidRDefault="002A4B81" w:rsidP="00F709F6">
            <w:pPr>
              <w:jc w:val="right"/>
              <w:rPr>
                <w:b/>
                <w:bCs/>
              </w:rPr>
            </w:pPr>
            <w:r>
              <w:rPr>
                <w:b/>
              </w:rPr>
              <w:t>33,075</w:t>
            </w:r>
          </w:p>
        </w:tc>
        <w:tc>
          <w:tcPr>
            <w:tcW w:w="2173" w:type="dxa"/>
          </w:tcPr>
          <w:p w:rsidR="002A4B81" w:rsidRPr="00B93B7A" w:rsidRDefault="002A4B81" w:rsidP="00F709F6">
            <w:pPr>
              <w:jc w:val="right"/>
              <w:rPr>
                <w:b/>
                <w:bCs/>
              </w:rPr>
            </w:pPr>
            <w:r>
              <w:rPr>
                <w:b/>
              </w:rPr>
              <w:t>33,241</w:t>
            </w:r>
          </w:p>
        </w:tc>
      </w:tr>
      <w:tr w:rsidR="002A4B81" w:rsidRPr="00B13E9A" w:rsidTr="00F709F6">
        <w:tc>
          <w:tcPr>
            <w:tcW w:w="4122" w:type="dxa"/>
          </w:tcPr>
          <w:p w:rsidR="002A4B81" w:rsidRPr="00B13E9A" w:rsidRDefault="002A4B81" w:rsidP="00F709F6">
            <w:pPr>
              <w:rPr>
                <w:bCs/>
              </w:rPr>
            </w:pPr>
            <w:proofErr w:type="spellStart"/>
            <w:r>
              <w:t>Discontinued</w:t>
            </w:r>
            <w:proofErr w:type="spellEnd"/>
            <w:r>
              <w:t xml:space="preserve"> </w:t>
            </w:r>
            <w:proofErr w:type="spellStart"/>
            <w:r>
              <w:t>operations</w:t>
            </w:r>
            <w:proofErr w:type="spellEnd"/>
            <w:r>
              <w:t xml:space="preserve"> </w:t>
            </w:r>
          </w:p>
        </w:tc>
        <w:tc>
          <w:tcPr>
            <w:tcW w:w="2172" w:type="dxa"/>
          </w:tcPr>
          <w:p w:rsidR="002A4B81" w:rsidRPr="00B13E9A" w:rsidRDefault="002A4B81" w:rsidP="00F709F6">
            <w:pPr>
              <w:jc w:val="right"/>
              <w:rPr>
                <w:bCs/>
              </w:rPr>
            </w:pPr>
            <w:r>
              <w:t>167</w:t>
            </w:r>
          </w:p>
        </w:tc>
        <w:tc>
          <w:tcPr>
            <w:tcW w:w="2173" w:type="dxa"/>
          </w:tcPr>
          <w:p w:rsidR="002A4B81" w:rsidRPr="00B13E9A" w:rsidRDefault="002A4B81" w:rsidP="00F709F6">
            <w:pPr>
              <w:jc w:val="right"/>
              <w:rPr>
                <w:bCs/>
              </w:rPr>
            </w:pPr>
            <w:r>
              <w:t>171</w:t>
            </w:r>
          </w:p>
        </w:tc>
      </w:tr>
      <w:tr w:rsidR="002A4B81" w:rsidRPr="00BE5DBC" w:rsidTr="00F709F6">
        <w:tc>
          <w:tcPr>
            <w:tcW w:w="4122" w:type="dxa"/>
          </w:tcPr>
          <w:p w:rsidR="002A4B81" w:rsidRPr="00BE5DBC" w:rsidRDefault="002A4B81" w:rsidP="00F709F6">
            <w:pPr>
              <w:rPr>
                <w:b/>
                <w:bCs/>
              </w:rPr>
            </w:pPr>
            <w:r>
              <w:rPr>
                <w:b/>
              </w:rPr>
              <w:t>Group</w:t>
            </w:r>
          </w:p>
        </w:tc>
        <w:tc>
          <w:tcPr>
            <w:tcW w:w="2172" w:type="dxa"/>
          </w:tcPr>
          <w:p w:rsidR="002A4B81" w:rsidRPr="00BE5DBC" w:rsidRDefault="002A4B81" w:rsidP="00F709F6">
            <w:pPr>
              <w:jc w:val="right"/>
              <w:rPr>
                <w:b/>
                <w:bCs/>
              </w:rPr>
            </w:pPr>
            <w:r>
              <w:rPr>
                <w:b/>
              </w:rPr>
              <w:t>33,242</w:t>
            </w:r>
          </w:p>
        </w:tc>
        <w:tc>
          <w:tcPr>
            <w:tcW w:w="2173" w:type="dxa"/>
          </w:tcPr>
          <w:p w:rsidR="002A4B81" w:rsidRPr="00BE5DBC" w:rsidRDefault="002A4B81" w:rsidP="00F709F6">
            <w:pPr>
              <w:jc w:val="right"/>
              <w:rPr>
                <w:b/>
                <w:bCs/>
              </w:rPr>
            </w:pPr>
            <w:r>
              <w:rPr>
                <w:b/>
              </w:rPr>
              <w:t>33,412</w:t>
            </w:r>
          </w:p>
        </w:tc>
      </w:tr>
    </w:tbl>
    <w:p w:rsidR="002A4B81" w:rsidRDefault="002A4B81" w:rsidP="006C1A93">
      <w:pPr>
        <w:spacing w:line="300" w:lineRule="exact"/>
        <w:ind w:left="0"/>
        <w:rPr>
          <w:sz w:val="20"/>
          <w:szCs w:val="20"/>
          <w:lang w:val="en-US"/>
        </w:rPr>
      </w:pPr>
    </w:p>
    <w:p w:rsidR="00394C88" w:rsidRDefault="00552E51" w:rsidP="002A4B81">
      <w:pPr>
        <w:spacing w:after="120"/>
        <w:rPr>
          <w:rFonts w:cs="Lucida Sans Unicode"/>
          <w:b/>
          <w:bCs/>
          <w:color w:val="000000"/>
          <w:szCs w:val="18"/>
          <w:lang w:val="en-US"/>
        </w:rPr>
      </w:pPr>
      <w:r w:rsidRPr="002A4B81">
        <w:rPr>
          <w:lang w:val="en-US"/>
        </w:rPr>
        <w:br w:type="page"/>
      </w:r>
    </w:p>
    <w:p w:rsidR="00F93CED" w:rsidRDefault="00F93CED" w:rsidP="00F93CED">
      <w:pPr>
        <w:ind w:left="0"/>
        <w:outlineLvl w:val="0"/>
        <w:rPr>
          <w:rFonts w:cs="Lucida Sans Unicode"/>
          <w:b/>
          <w:bCs/>
          <w:color w:val="000000"/>
          <w:szCs w:val="18"/>
          <w:lang w:val="en-US"/>
        </w:rPr>
      </w:pPr>
      <w:r>
        <w:rPr>
          <w:rFonts w:cs="Lucida Sans Unicode"/>
          <w:b/>
          <w:bCs/>
          <w:color w:val="000000"/>
          <w:szCs w:val="18"/>
          <w:lang w:val="en-US"/>
        </w:rPr>
        <w:lastRenderedPageBreak/>
        <w:t xml:space="preserve">Company information </w:t>
      </w:r>
    </w:p>
    <w:p w:rsidR="00F93CED" w:rsidRDefault="00F93CED" w:rsidP="00F93CED">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F93CED" w:rsidRDefault="00F93CED" w:rsidP="00F93CED">
      <w:pPr>
        <w:autoSpaceDE w:val="0"/>
        <w:autoSpaceDN w:val="0"/>
        <w:adjustRightInd w:val="0"/>
        <w:spacing w:line="220" w:lineRule="exact"/>
        <w:ind w:left="0"/>
        <w:rPr>
          <w:rFonts w:cs="Lucida Sans Unicode"/>
          <w:szCs w:val="18"/>
          <w:lang w:val="en-US"/>
        </w:rPr>
      </w:pPr>
    </w:p>
    <w:p w:rsidR="00F93CED" w:rsidRPr="00BB06C8" w:rsidRDefault="00F93CED" w:rsidP="00F93CED">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w:t>
      </w:r>
      <w:r>
        <w:rPr>
          <w:rFonts w:cs="Lucida Sans Unicode"/>
          <w:szCs w:val="18"/>
          <w:lang w:val="en-US"/>
        </w:rPr>
        <w:t>4</w:t>
      </w:r>
      <w:r w:rsidRPr="00BB06C8">
        <w:rPr>
          <w:rFonts w:cs="Lucida Sans Unicode"/>
          <w:szCs w:val="18"/>
          <w:lang w:val="en-US"/>
        </w:rPr>
        <w:t xml:space="preserve"> more than 33,</w:t>
      </w:r>
      <w:r>
        <w:rPr>
          <w:rFonts w:cs="Lucida Sans Unicode"/>
          <w:szCs w:val="18"/>
          <w:lang w:val="en-US"/>
        </w:rPr>
        <w:t>0</w:t>
      </w:r>
      <w:r w:rsidRPr="00BB06C8">
        <w:rPr>
          <w:rFonts w:cs="Lucida Sans Unicode"/>
          <w:szCs w:val="18"/>
          <w:lang w:val="en-US"/>
        </w:rPr>
        <w:t>00 employees</w:t>
      </w:r>
      <w:r>
        <w:rPr>
          <w:rFonts w:cs="Lucida Sans Unicode"/>
          <w:szCs w:val="18"/>
          <w:lang w:val="en-US"/>
        </w:rPr>
        <w:t xml:space="preserve"> generated sales of around €12.9</w:t>
      </w:r>
      <w:r w:rsidRPr="00BB06C8">
        <w:rPr>
          <w:rFonts w:cs="Lucida Sans Unicode"/>
          <w:szCs w:val="18"/>
          <w:lang w:val="en-US"/>
        </w:rPr>
        <w:t xml:space="preserve"> billion and an operating profit (adjusted EBITDA) of about €</w:t>
      </w:r>
      <w:r>
        <w:rPr>
          <w:rFonts w:cs="Lucida Sans Unicode"/>
          <w:szCs w:val="18"/>
          <w:lang w:val="en-US"/>
        </w:rPr>
        <w:t>1</w:t>
      </w:r>
      <w:r w:rsidRPr="00BB06C8">
        <w:rPr>
          <w:rFonts w:cs="Lucida Sans Unicode"/>
          <w:szCs w:val="18"/>
          <w:lang w:val="en-US"/>
        </w:rPr>
        <w:t>.</w:t>
      </w:r>
      <w:r>
        <w:rPr>
          <w:rFonts w:cs="Lucida Sans Unicode"/>
          <w:szCs w:val="18"/>
          <w:lang w:val="en-US"/>
        </w:rPr>
        <w:t>9</w:t>
      </w:r>
      <w:r w:rsidRPr="00BB06C8">
        <w:rPr>
          <w:rFonts w:cs="Lucida Sans Unicode"/>
          <w:szCs w:val="18"/>
          <w:lang w:val="en-US"/>
        </w:rPr>
        <w:t xml:space="preserve"> billion.</w:t>
      </w:r>
    </w:p>
    <w:p w:rsidR="00F93CED" w:rsidRDefault="00F93CED" w:rsidP="00F93CED">
      <w:pPr>
        <w:ind w:left="0"/>
        <w:rPr>
          <w:szCs w:val="18"/>
          <w:lang w:val="en-US"/>
        </w:rPr>
      </w:pPr>
    </w:p>
    <w:p w:rsidR="00F93CED" w:rsidRPr="00696302" w:rsidRDefault="00F93CED" w:rsidP="00F93CED">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F93CED" w:rsidRPr="00696302" w:rsidRDefault="00F93CED" w:rsidP="00F93CED">
      <w:pPr>
        <w:ind w:left="0"/>
        <w:rPr>
          <w:rFonts w:cs="Lucida Sans Unicode"/>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E51" w:rsidRDefault="00552E51">
      <w:r>
        <w:separator/>
      </w:r>
    </w:p>
    <w:p w:rsidR="00552E51" w:rsidRDefault="00552E51"/>
  </w:endnote>
  <w:endnote w:type="continuationSeparator" w:id="0">
    <w:p w:rsidR="00552E51" w:rsidRDefault="00552E51">
      <w:r>
        <w:continuationSeparator/>
      </w:r>
    </w:p>
    <w:p w:rsidR="00552E51" w:rsidRDefault="00552E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974D97">
      <w:rPr>
        <w:rStyle w:val="Seitenzahl"/>
        <w:noProof/>
      </w:rPr>
      <w:t>3</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974D97">
      <w:rPr>
        <w:rStyle w:val="Seitenzahl"/>
        <w:noProof/>
      </w:rPr>
      <w:t>4</w:t>
    </w:r>
    <w:r w:rsidR="00B14022">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974D97">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974D97">
      <w:rPr>
        <w:rStyle w:val="Seitenzahl"/>
        <w:noProof/>
      </w:rPr>
      <w:t>1</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E51" w:rsidRDefault="00552E51">
      <w:r>
        <w:separator/>
      </w:r>
    </w:p>
    <w:p w:rsidR="00552E51" w:rsidRDefault="00552E51"/>
  </w:footnote>
  <w:footnote w:type="continuationSeparator" w:id="0">
    <w:p w:rsidR="00552E51" w:rsidRDefault="00552E51">
      <w:r>
        <w:continuationSeparator/>
      </w:r>
    </w:p>
    <w:p w:rsidR="00552E51" w:rsidRDefault="00552E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1312" behindDoc="1" locked="0" layoutInCell="1" allowOverlap="1" wp14:anchorId="26BB9241" wp14:editId="04E68762">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1AE45DD2" wp14:editId="45F00300">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Pr="00552E51" w:rsidRDefault="00552E51">
    <w:pPr>
      <w:pStyle w:val="Kopfzeile"/>
      <w:ind w:left="0"/>
      <w:rPr>
        <w:b/>
        <w:u w:val="single"/>
      </w:rPr>
    </w:pPr>
    <w:r>
      <w:br/>
    </w:r>
    <w:r>
      <w:br/>
    </w:r>
    <w:r>
      <w:br/>
    </w:r>
    <w:r>
      <w:br/>
    </w:r>
    <w:r>
      <w:br/>
    </w:r>
    <w:r>
      <w:br/>
    </w:r>
    <w:r>
      <w:br/>
    </w:r>
    <w:r>
      <w:br/>
    </w:r>
    <w:proofErr w:type="spellStart"/>
    <w:r w:rsidR="006C1A93">
      <w:rPr>
        <w:b/>
        <w:u w:val="single"/>
      </w:rPr>
      <w:t>Embargoed</w:t>
    </w:r>
    <w:proofErr w:type="spellEnd"/>
    <w:r w:rsidR="006C1A93">
      <w:rPr>
        <w:b/>
        <w:u w:val="single"/>
      </w:rPr>
      <w:t xml:space="preserve"> </w:t>
    </w:r>
    <w:proofErr w:type="spellStart"/>
    <w:r w:rsidR="006C1A93">
      <w:rPr>
        <w:b/>
        <w:u w:val="single"/>
      </w:rPr>
      <w:t>until</w:t>
    </w:r>
    <w:proofErr w:type="spellEnd"/>
    <w:r w:rsidR="006C1A93">
      <w:rPr>
        <w:b/>
        <w:u w:val="single"/>
      </w:rPr>
      <w:t>: May 6, 2015</w:t>
    </w:r>
    <w:r w:rsidRPr="00552E51">
      <w:rPr>
        <w:b/>
        <w:u w:val="single"/>
      </w:rPr>
      <w:t>, 7.00 a.m.</w:t>
    </w:r>
    <w:r w:rsidR="00794AB9" w:rsidRPr="00552E51">
      <w:rPr>
        <w:b/>
        <w:noProof/>
        <w:u w:val="single"/>
      </w:rPr>
      <w:drawing>
        <wp:anchor distT="0" distB="0" distL="114300" distR="114300" simplePos="0" relativeHeight="251660288" behindDoc="1" locked="0" layoutInCell="1" allowOverlap="1" wp14:anchorId="0F1F350D" wp14:editId="3B42DD15">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sidRPr="00552E51">
      <w:rPr>
        <w:b/>
        <w:noProof/>
        <w:u w:val="single"/>
      </w:rPr>
      <mc:AlternateContent>
        <mc:Choice Requires="wpg">
          <w:drawing>
            <wp:anchor distT="0" distB="0" distL="114300" distR="114300" simplePos="0" relativeHeight="251656192" behindDoc="1" locked="0" layoutInCell="1" allowOverlap="1" wp14:anchorId="0F2852A9" wp14:editId="18F7E3A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02353CE"/>
    <w:multiLevelType w:val="hybridMultilevel"/>
    <w:tmpl w:val="7E200872"/>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3">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2FFB671D"/>
    <w:multiLevelType w:val="hybridMultilevel"/>
    <w:tmpl w:val="2C38AE50"/>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6">
    <w:nsid w:val="373242B9"/>
    <w:multiLevelType w:val="hybridMultilevel"/>
    <w:tmpl w:val="D18C851C"/>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7">
    <w:nsid w:val="54115FD0"/>
    <w:multiLevelType w:val="hybridMultilevel"/>
    <w:tmpl w:val="34FCF2E6"/>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10"/>
  </w:num>
  <w:num w:numId="16">
    <w:abstractNumId w:val="15"/>
  </w:num>
  <w:num w:numId="17">
    <w:abstractNumId w:val="1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E51"/>
    <w:rsid w:val="000434B6"/>
    <w:rsid w:val="002A4B81"/>
    <w:rsid w:val="002B6D6F"/>
    <w:rsid w:val="00394C88"/>
    <w:rsid w:val="003C3375"/>
    <w:rsid w:val="00552E51"/>
    <w:rsid w:val="00554BE4"/>
    <w:rsid w:val="00634DA8"/>
    <w:rsid w:val="0067540D"/>
    <w:rsid w:val="00696302"/>
    <w:rsid w:val="006C1A93"/>
    <w:rsid w:val="006C760D"/>
    <w:rsid w:val="00777131"/>
    <w:rsid w:val="00794AB9"/>
    <w:rsid w:val="008174AA"/>
    <w:rsid w:val="00841FF0"/>
    <w:rsid w:val="008D4684"/>
    <w:rsid w:val="00974D97"/>
    <w:rsid w:val="00A4039D"/>
    <w:rsid w:val="00A654E9"/>
    <w:rsid w:val="00B14022"/>
    <w:rsid w:val="00B81424"/>
    <w:rsid w:val="00BC3F95"/>
    <w:rsid w:val="00CC5D98"/>
    <w:rsid w:val="00D62AD8"/>
    <w:rsid w:val="00E00BD2"/>
    <w:rsid w:val="00E12886"/>
    <w:rsid w:val="00E3471C"/>
    <w:rsid w:val="00E832D9"/>
    <w:rsid w:val="00F31F7C"/>
    <w:rsid w:val="00F6408B"/>
    <w:rsid w:val="00F8236F"/>
    <w:rsid w:val="00F93C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ErsteZeile">
    <w:name w:val="Erste Zeile"/>
    <w:basedOn w:val="Standard"/>
    <w:next w:val="Standard"/>
    <w:autoRedefine/>
    <w:uiPriority w:val="99"/>
    <w:rsid w:val="00552E51"/>
    <w:pPr>
      <w:keepNext/>
      <w:keepLines/>
      <w:spacing w:line="300" w:lineRule="exact"/>
      <w:ind w:left="57"/>
    </w:pPr>
    <w:rPr>
      <w:rFonts w:cs="Lucida Sans Unicode"/>
      <w:bCs/>
      <w:position w:val="0"/>
      <w:sz w:val="20"/>
      <w:szCs w:val="20"/>
      <w:lang w:val="en-US" w:eastAsia="en-US"/>
    </w:rPr>
  </w:style>
  <w:style w:type="paragraph" w:customStyle="1" w:styleId="EvonikStandard">
    <w:name w:val="Evonik Standard"/>
    <w:basedOn w:val="Standard"/>
    <w:uiPriority w:val="99"/>
    <w:rsid w:val="00552E51"/>
    <w:pPr>
      <w:spacing w:line="300" w:lineRule="atLeast"/>
      <w:ind w:left="0" w:right="0" w:firstLine="567"/>
    </w:pPr>
    <w:rPr>
      <w:position w:val="0"/>
      <w:szCs w:val="20"/>
      <w:lang w:val="en-US" w:eastAsia="en-US"/>
    </w:rPr>
  </w:style>
  <w:style w:type="paragraph" w:styleId="Listenabsatz">
    <w:name w:val="List Paragraph"/>
    <w:basedOn w:val="Standard"/>
    <w:uiPriority w:val="99"/>
    <w:qFormat/>
    <w:rsid w:val="00552E51"/>
    <w:pPr>
      <w:ind w:left="720"/>
      <w:contextualSpacing/>
    </w:pPr>
    <w:rPr>
      <w:lang w:val="en-US" w:eastAsia="en-US"/>
    </w:rPr>
  </w:style>
  <w:style w:type="paragraph" w:styleId="Funotentext">
    <w:name w:val="footnote text"/>
    <w:basedOn w:val="Standard"/>
    <w:link w:val="FunotentextZchn"/>
    <w:rsid w:val="00841FF0"/>
    <w:pPr>
      <w:spacing w:line="240" w:lineRule="auto"/>
    </w:pPr>
    <w:rPr>
      <w:sz w:val="20"/>
      <w:szCs w:val="20"/>
    </w:rPr>
  </w:style>
  <w:style w:type="character" w:customStyle="1" w:styleId="FunotentextZchn">
    <w:name w:val="Fußnotentext Zchn"/>
    <w:basedOn w:val="Absatz-Standardschriftart"/>
    <w:link w:val="Funotentext"/>
    <w:rsid w:val="00841FF0"/>
    <w:rPr>
      <w:rFonts w:ascii="Lucida Sans Unicode" w:hAnsi="Lucida Sans Unicode"/>
      <w:position w:val="-2"/>
    </w:rPr>
  </w:style>
  <w:style w:type="character" w:styleId="Funotenzeichen">
    <w:name w:val="footnote reference"/>
    <w:basedOn w:val="Absatz-Standardschriftart"/>
    <w:rsid w:val="00841FF0"/>
    <w:rPr>
      <w:vertAlign w:val="superscript"/>
    </w:rPr>
  </w:style>
  <w:style w:type="paragraph" w:styleId="Kommentartext">
    <w:name w:val="annotation text"/>
    <w:basedOn w:val="Standard"/>
    <w:link w:val="KommentartextZchn"/>
    <w:uiPriority w:val="99"/>
    <w:unhideWhenUsed/>
    <w:rsid w:val="002A4B81"/>
    <w:pPr>
      <w:spacing w:line="240" w:lineRule="auto"/>
    </w:pPr>
    <w:rPr>
      <w:sz w:val="20"/>
      <w:szCs w:val="20"/>
      <w:lang w:val="en-US" w:eastAsia="en-US"/>
    </w:rPr>
  </w:style>
  <w:style w:type="character" w:customStyle="1" w:styleId="KommentartextZchn">
    <w:name w:val="Kommentartext Zchn"/>
    <w:basedOn w:val="Absatz-Standardschriftart"/>
    <w:link w:val="Kommentartext"/>
    <w:uiPriority w:val="99"/>
    <w:rsid w:val="002A4B81"/>
    <w:rPr>
      <w:rFonts w:ascii="Lucida Sans Unicode" w:hAnsi="Lucida Sans Unicode"/>
      <w:position w:val="-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ErsteZeile">
    <w:name w:val="Erste Zeile"/>
    <w:basedOn w:val="Standard"/>
    <w:next w:val="Standard"/>
    <w:autoRedefine/>
    <w:uiPriority w:val="99"/>
    <w:rsid w:val="00552E51"/>
    <w:pPr>
      <w:keepNext/>
      <w:keepLines/>
      <w:spacing w:line="300" w:lineRule="exact"/>
      <w:ind w:left="57"/>
    </w:pPr>
    <w:rPr>
      <w:rFonts w:cs="Lucida Sans Unicode"/>
      <w:bCs/>
      <w:position w:val="0"/>
      <w:sz w:val="20"/>
      <w:szCs w:val="20"/>
      <w:lang w:val="en-US" w:eastAsia="en-US"/>
    </w:rPr>
  </w:style>
  <w:style w:type="paragraph" w:customStyle="1" w:styleId="EvonikStandard">
    <w:name w:val="Evonik Standard"/>
    <w:basedOn w:val="Standard"/>
    <w:uiPriority w:val="99"/>
    <w:rsid w:val="00552E51"/>
    <w:pPr>
      <w:spacing w:line="300" w:lineRule="atLeast"/>
      <w:ind w:left="0" w:right="0" w:firstLine="567"/>
    </w:pPr>
    <w:rPr>
      <w:position w:val="0"/>
      <w:szCs w:val="20"/>
      <w:lang w:val="en-US" w:eastAsia="en-US"/>
    </w:rPr>
  </w:style>
  <w:style w:type="paragraph" w:styleId="Listenabsatz">
    <w:name w:val="List Paragraph"/>
    <w:basedOn w:val="Standard"/>
    <w:uiPriority w:val="99"/>
    <w:qFormat/>
    <w:rsid w:val="00552E51"/>
    <w:pPr>
      <w:ind w:left="720"/>
      <w:contextualSpacing/>
    </w:pPr>
    <w:rPr>
      <w:lang w:val="en-US" w:eastAsia="en-US"/>
    </w:rPr>
  </w:style>
  <w:style w:type="paragraph" w:styleId="Funotentext">
    <w:name w:val="footnote text"/>
    <w:basedOn w:val="Standard"/>
    <w:link w:val="FunotentextZchn"/>
    <w:rsid w:val="00841FF0"/>
    <w:pPr>
      <w:spacing w:line="240" w:lineRule="auto"/>
    </w:pPr>
    <w:rPr>
      <w:sz w:val="20"/>
      <w:szCs w:val="20"/>
    </w:rPr>
  </w:style>
  <w:style w:type="character" w:customStyle="1" w:styleId="FunotentextZchn">
    <w:name w:val="Fußnotentext Zchn"/>
    <w:basedOn w:val="Absatz-Standardschriftart"/>
    <w:link w:val="Funotentext"/>
    <w:rsid w:val="00841FF0"/>
    <w:rPr>
      <w:rFonts w:ascii="Lucida Sans Unicode" w:hAnsi="Lucida Sans Unicode"/>
      <w:position w:val="-2"/>
    </w:rPr>
  </w:style>
  <w:style w:type="character" w:styleId="Funotenzeichen">
    <w:name w:val="footnote reference"/>
    <w:basedOn w:val="Absatz-Standardschriftart"/>
    <w:rsid w:val="00841FF0"/>
    <w:rPr>
      <w:vertAlign w:val="superscript"/>
    </w:rPr>
  </w:style>
  <w:style w:type="paragraph" w:styleId="Kommentartext">
    <w:name w:val="annotation text"/>
    <w:basedOn w:val="Standard"/>
    <w:link w:val="KommentartextZchn"/>
    <w:uiPriority w:val="99"/>
    <w:unhideWhenUsed/>
    <w:rsid w:val="002A4B81"/>
    <w:pPr>
      <w:spacing w:line="240" w:lineRule="auto"/>
    </w:pPr>
    <w:rPr>
      <w:sz w:val="20"/>
      <w:szCs w:val="20"/>
      <w:lang w:val="en-US" w:eastAsia="en-US"/>
    </w:rPr>
  </w:style>
  <w:style w:type="character" w:customStyle="1" w:styleId="KommentartextZchn">
    <w:name w:val="Kommentartext Zchn"/>
    <w:basedOn w:val="Absatz-Standardschriftart"/>
    <w:link w:val="Kommentartext"/>
    <w:uiPriority w:val="99"/>
    <w:rsid w:val="002A4B81"/>
    <w:rPr>
      <w:rFonts w:ascii="Lucida Sans Unicode" w:hAnsi="Lucida Sans Unicode"/>
      <w:position w:val="-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AD661-CE84-449E-A50C-B0DEAED6B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BCDF9B53</Template>
  <TotalTime>0</TotalTime>
  <Pages>4</Pages>
  <Words>1101</Words>
  <Characters>6275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7362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3</cp:revision>
  <cp:lastPrinted>2014-05-02T09:56:00Z</cp:lastPrinted>
  <dcterms:created xsi:type="dcterms:W3CDTF">2015-05-04T12:37:00Z</dcterms:created>
  <dcterms:modified xsi:type="dcterms:W3CDTF">2015-05-05T13:51:00Z</dcterms:modified>
</cp:coreProperties>
</file>