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62FCB">
            <w:pPr>
              <w:pStyle w:val="E-Datum"/>
              <w:framePr w:wrap="auto" w:vAnchor="margin" w:hAnchor="text" w:xAlign="left" w:yAlign="inline"/>
              <w:suppressOverlap w:val="0"/>
            </w:pPr>
            <w:r>
              <w:t>November 4,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C74D1" w:rsidTr="00B14022">
        <w:trPr>
          <w:trHeight w:hRule="exact" w:val="1222"/>
        </w:trPr>
        <w:tc>
          <w:tcPr>
            <w:tcW w:w="2271" w:type="dxa"/>
            <w:shd w:val="clear" w:color="auto" w:fill="auto"/>
          </w:tcPr>
          <w:p w:rsidR="00CC5D98" w:rsidRPr="003C3375" w:rsidRDefault="00A616F3">
            <w:pPr>
              <w:pStyle w:val="M7"/>
              <w:framePr w:wrap="auto" w:vAnchor="margin" w:hAnchor="text" w:xAlign="left" w:yAlign="inline"/>
              <w:suppressOverlap w:val="0"/>
              <w:rPr>
                <w:lang w:val="en-US"/>
              </w:rPr>
            </w:pPr>
            <w:r>
              <w:rPr>
                <w:lang w:val="en-US"/>
              </w:rPr>
              <w:t>Hans-Jörg Heims</w:t>
            </w:r>
          </w:p>
          <w:p w:rsidR="00CC5D98" w:rsidRPr="00E12886" w:rsidRDefault="00401F7D">
            <w:pPr>
              <w:pStyle w:val="M8"/>
              <w:framePr w:wrap="auto" w:vAnchor="margin" w:hAnchor="text" w:xAlign="left" w:yAlign="inline"/>
              <w:suppressOverlap w:val="0"/>
              <w:rPr>
                <w:lang w:val="en-US"/>
              </w:rPr>
            </w:pPr>
            <w:r>
              <w:rPr>
                <w:lang w:val="en-US"/>
              </w:rPr>
              <w:t xml:space="preserve">Head of </w:t>
            </w:r>
            <w:r w:rsidR="003C3375" w:rsidRPr="00E12886">
              <w:rPr>
                <w:lang w:val="en-US"/>
              </w:rPr>
              <w:t>Corporate Press</w:t>
            </w:r>
            <w:r w:rsidR="00B14022" w:rsidRPr="00E12886">
              <w:rPr>
                <w:lang w:val="en-US"/>
              </w:rPr>
              <w:t xml:space="preserve"> </w:t>
            </w:r>
          </w:p>
          <w:p w:rsidR="00CC5D98" w:rsidRPr="00E12886" w:rsidRDefault="00462FCB">
            <w:pPr>
              <w:pStyle w:val="M9"/>
              <w:framePr w:wrap="auto" w:vAnchor="margin" w:hAnchor="text" w:xAlign="left" w:yAlign="inline"/>
              <w:suppressOverlap w:val="0"/>
              <w:rPr>
                <w:lang w:val="en-US"/>
              </w:rPr>
            </w:pPr>
            <w:r>
              <w:rPr>
                <w:lang w:val="en-US"/>
              </w:rPr>
              <w:t xml:space="preserve">Phone +49 </w:t>
            </w:r>
            <w:r w:rsidR="00A616F3">
              <w:rPr>
                <w:lang w:val="en-US"/>
              </w:rPr>
              <w:t>201 177-3425</w:t>
            </w:r>
          </w:p>
          <w:p w:rsidR="00CC5D98" w:rsidRDefault="00F31F7C">
            <w:pPr>
              <w:pStyle w:val="M10"/>
              <w:framePr w:wrap="auto" w:vAnchor="margin" w:hAnchor="text" w:xAlign="left" w:yAlign="inline"/>
              <w:suppressOverlap w:val="0"/>
            </w:pPr>
            <w:r>
              <w:t>F</w:t>
            </w:r>
            <w:r w:rsidR="00B14022">
              <w:t>ax +49</w:t>
            </w:r>
            <w:r w:rsidR="00462FCB">
              <w:t xml:space="preserve"> </w:t>
            </w:r>
            <w:r w:rsidR="00B14022">
              <w:t>201 177-3030</w:t>
            </w:r>
          </w:p>
          <w:p w:rsidR="00CC5D98" w:rsidRDefault="00A616F3">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5C74D1" w:rsidTr="00B14022">
        <w:trPr>
          <w:trHeight w:val="2609"/>
        </w:trPr>
        <w:tc>
          <w:tcPr>
            <w:tcW w:w="2271" w:type="dxa"/>
            <w:shd w:val="clear" w:color="auto" w:fill="auto"/>
          </w:tcPr>
          <w:p w:rsidR="00CC5D98" w:rsidRPr="003C3375" w:rsidRDefault="00462FCB">
            <w:pPr>
              <w:pStyle w:val="M7"/>
              <w:framePr w:wrap="auto" w:vAnchor="margin" w:hAnchor="text" w:xAlign="left" w:yAlign="inline"/>
              <w:suppressOverlap w:val="0"/>
              <w:rPr>
                <w:lang w:val="en-US"/>
              </w:rPr>
            </w:pPr>
            <w:r>
              <w:rPr>
                <w:lang w:val="en-US"/>
              </w:rPr>
              <w:t>Alexandra Boy</w:t>
            </w:r>
          </w:p>
          <w:p w:rsidR="00CC5D98" w:rsidRPr="00F31F7C" w:rsidRDefault="00462FCB">
            <w:pPr>
              <w:pStyle w:val="M8"/>
              <w:framePr w:wrap="auto" w:vAnchor="margin" w:hAnchor="text" w:xAlign="left" w:yAlign="inline"/>
              <w:suppressOverlap w:val="0"/>
              <w:rPr>
                <w:lang w:val="en-US"/>
              </w:rPr>
            </w:pPr>
            <w:r>
              <w:rPr>
                <w:lang w:val="en-US"/>
              </w:rPr>
              <w:t>Deputy Head Corporate Press</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462FCB">
              <w:rPr>
                <w:lang w:val="en-US"/>
              </w:rPr>
              <w:t xml:space="preserve"> +49 201 177-3167</w:t>
            </w:r>
          </w:p>
          <w:p w:rsidR="00CC5D98" w:rsidRPr="005C74D1" w:rsidRDefault="00F31F7C">
            <w:pPr>
              <w:pStyle w:val="M10"/>
              <w:framePr w:wrap="auto" w:vAnchor="margin" w:hAnchor="text" w:xAlign="left" w:yAlign="inline"/>
              <w:suppressOverlap w:val="0"/>
              <w:rPr>
                <w:lang w:val="en-US"/>
              </w:rPr>
            </w:pPr>
            <w:r>
              <w:t>F</w:t>
            </w:r>
            <w:r w:rsidR="00B14022">
              <w:t>ax +49</w:t>
            </w:r>
            <w:r w:rsidR="00462FCB">
              <w:t xml:space="preserve"> 201 177-3030</w:t>
            </w:r>
          </w:p>
          <w:p w:rsidR="00CC5D98" w:rsidRDefault="00462FCB">
            <w:pPr>
              <w:pStyle w:val="M10"/>
              <w:framePr w:wrap="auto" w:vAnchor="margin" w:hAnchor="text" w:xAlign="left" w:yAlign="inline"/>
              <w:suppressOverlap w:val="0"/>
            </w:pPr>
            <w:r>
              <w:t>alexandra.boy</w:t>
            </w:r>
            <w:r w:rsidR="00B14022">
              <w:t>@evonik.com</w:t>
            </w:r>
          </w:p>
          <w:p w:rsidR="00CC5D98" w:rsidRPr="005C74D1" w:rsidRDefault="00B14022">
            <w:pPr>
              <w:pStyle w:val="M12"/>
              <w:framePr w:wrap="auto" w:vAnchor="margin" w:hAnchor="text" w:xAlign="left" w:yAlign="inline"/>
              <w:suppressOverlap w:val="0"/>
              <w:rPr>
                <w:lang w:val="en-US"/>
              </w:rPr>
            </w:pPr>
            <w:r w:rsidRPr="005C74D1">
              <w:rPr>
                <w:lang w:val="en-US"/>
              </w:rPr>
              <w:br/>
            </w:r>
          </w:p>
        </w:tc>
      </w:tr>
      <w:tr w:rsidR="00CC5D98" w:rsidRPr="00C11B54" w:rsidTr="00B14022">
        <w:trPr>
          <w:trHeight w:hRule="exact" w:val="7880"/>
        </w:trPr>
        <w:tc>
          <w:tcPr>
            <w:tcW w:w="2271" w:type="dxa"/>
            <w:shd w:val="clear" w:color="auto" w:fill="auto"/>
            <w:vAlign w:val="bottom"/>
          </w:tcPr>
          <w:p w:rsidR="00CC5D98" w:rsidRPr="005C74D1" w:rsidRDefault="00CC5D98">
            <w:pPr>
              <w:pStyle w:val="Marginalie"/>
              <w:framePr w:w="0" w:hSpace="0" w:wrap="auto" w:vAnchor="margin" w:hAnchor="text" w:xAlign="left" w:yAlign="inline"/>
              <w:rPr>
                <w:b/>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B14022" w:rsidRPr="005C74D1"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5C74D1"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5C74D1">
              <w:rPr>
                <w:lang w:val="en-US"/>
              </w:rPr>
              <w:instrText xml:space="preserve"> FORMTEXT </w:instrText>
            </w:r>
            <w:r>
              <w:fldChar w:fldCharType="separate"/>
            </w:r>
            <w:r w:rsidRPr="005C74D1">
              <w:rPr>
                <w:noProof/>
                <w:lang w:val="en-US"/>
              </w:rPr>
              <w:t>45128 Essen</w:t>
            </w:r>
            <w:r>
              <w:fldChar w:fldCharType="end"/>
            </w:r>
            <w:r w:rsidR="003C3375" w:rsidRPr="005C74D1">
              <w:rPr>
                <w:lang w:val="en-US"/>
              </w:rPr>
              <w:br/>
              <w:t>Germany</w:t>
            </w:r>
          </w:p>
          <w:p w:rsidR="00CC5D98" w:rsidRPr="00E12886" w:rsidRDefault="003C3375">
            <w:pPr>
              <w:pStyle w:val="V4"/>
              <w:framePr w:wrap="auto" w:vAnchor="margin" w:hAnchor="text" w:xAlign="left" w:yAlign="inline"/>
              <w:suppressOverlap w:val="0"/>
              <w:rPr>
                <w:lang w:val="en-US"/>
              </w:rPr>
            </w:pPr>
            <w:r w:rsidRPr="005C74D1">
              <w:rPr>
                <w:lang w:val="en-US"/>
              </w:rPr>
              <w:t>Phone</w:t>
            </w:r>
            <w:r w:rsidR="00E12886" w:rsidRPr="005C74D1">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Pr="005C74D1"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C74D1">
              <w:instrText xml:space="preserve"> FORMTEXT </w:instrText>
            </w:r>
            <w:r>
              <w:fldChar w:fldCharType="separate"/>
            </w:r>
            <w:r w:rsidRPr="005C74D1">
              <w:rPr>
                <w:noProof/>
              </w:rPr>
              <w:t>Dr. Klaus Engel</w:t>
            </w:r>
            <w:r>
              <w:fldChar w:fldCharType="end"/>
            </w:r>
            <w:r w:rsidRPr="005C74D1">
              <w:t xml:space="preserve">, </w:t>
            </w:r>
            <w:r w:rsidR="003C3375" w:rsidRPr="005C74D1">
              <w:t>Chairman</w:t>
            </w:r>
          </w:p>
          <w:p w:rsidR="00CC5D98" w:rsidRPr="00A27B94" w:rsidRDefault="00F439D4" w:rsidP="00BE7BEC">
            <w:pPr>
              <w:pStyle w:val="V10"/>
              <w:framePr w:wrap="auto" w:vAnchor="margin" w:hAnchor="text" w:xAlign="left" w:yAlign="inline"/>
              <w:suppressOverlap w:val="0"/>
            </w:pPr>
            <w:r>
              <w:t>Dr. 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9531F" w:rsidRDefault="00B9531F" w:rsidP="00B9531F">
      <w:pPr>
        <w:ind w:left="0"/>
        <w:rPr>
          <w:u w:val="single"/>
        </w:rPr>
      </w:pPr>
      <w:r>
        <w:rPr>
          <w:u w:val="single"/>
        </w:rPr>
        <w:lastRenderedPageBreak/>
        <w:t>Key Financial Data:</w:t>
      </w:r>
    </w:p>
    <w:p w:rsidR="00B9531F" w:rsidRPr="00FD4D79" w:rsidRDefault="00B9531F" w:rsidP="00B9531F">
      <w:pPr>
        <w:ind w:left="0"/>
        <w:rPr>
          <w:u w:val="single"/>
        </w:rPr>
      </w:pPr>
      <w:r>
        <w:rPr>
          <w:u w:val="single"/>
        </w:rPr>
        <w:t xml:space="preserve">January 1 to September 30, 2015 / Q3 2015 </w:t>
      </w:r>
    </w:p>
    <w:p w:rsidR="00B9531F" w:rsidRDefault="00B9531F" w:rsidP="00B9531F">
      <w:pPr>
        <w:spacing w:line="300" w:lineRule="exact"/>
        <w:rPr>
          <w:u w:val="single"/>
        </w:rPr>
      </w:pPr>
    </w:p>
    <w:p w:rsidR="00B9531F" w:rsidRDefault="00B9531F" w:rsidP="00B9531F">
      <w:pPr>
        <w:spacing w:line="300" w:lineRule="exact"/>
        <w:ind w:left="0"/>
        <w:rPr>
          <w:b/>
          <w:bCs/>
          <w:sz w:val="22"/>
        </w:rPr>
      </w:pPr>
    </w:p>
    <w:p w:rsidR="00B9531F" w:rsidRDefault="00B9531F" w:rsidP="00B9531F">
      <w:pPr>
        <w:spacing w:line="300" w:lineRule="exact"/>
        <w:ind w:left="0"/>
        <w:rPr>
          <w:b/>
          <w:bCs/>
          <w:sz w:val="20"/>
          <w:szCs w:val="20"/>
        </w:rPr>
      </w:pPr>
      <w:r>
        <w:rPr>
          <w:b/>
          <w:sz w:val="22"/>
        </w:rPr>
        <w:t>Evonik delivers third strong quarter in a row</w:t>
      </w:r>
      <w:r>
        <w:rPr>
          <w:b/>
          <w:bCs/>
          <w:sz w:val="22"/>
        </w:rPr>
        <w:br/>
      </w:r>
    </w:p>
    <w:p w:rsidR="00B9531F" w:rsidRDefault="00B9531F" w:rsidP="00B9531F">
      <w:pPr>
        <w:spacing w:line="300" w:lineRule="exact"/>
        <w:ind w:left="0"/>
        <w:rPr>
          <w:b/>
          <w:bCs/>
          <w:sz w:val="20"/>
          <w:szCs w:val="20"/>
        </w:rPr>
      </w:pP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Strong business performance continued in the second half of the year</w:t>
      </w: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Sales grew 4 percent to €3.4 billion</w:t>
      </w: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 xml:space="preserve">Adjusted EBITDA up considerably year-on-year at €653 million </w:t>
      </w:r>
      <w:r>
        <w:rPr>
          <w:b/>
          <w:position w:val="0"/>
          <w:sz w:val="20"/>
        </w:rPr>
        <w:br/>
        <w:t>(+31 percent), and therefore in line with the previous quarters' high level</w:t>
      </w: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Year-on-year earnings growth in all three chemical segments</w:t>
      </w: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Adjusted EBITDA margin of 19.4 percent stands out in the chemicals sector</w:t>
      </w:r>
    </w:p>
    <w:p w:rsidR="00B9531F" w:rsidRPr="00FD4D79" w:rsidRDefault="00B9531F" w:rsidP="00B9531F">
      <w:pPr>
        <w:numPr>
          <w:ilvl w:val="0"/>
          <w:numId w:val="14"/>
        </w:numPr>
        <w:tabs>
          <w:tab w:val="clear" w:pos="1425"/>
          <w:tab w:val="num" w:pos="340"/>
          <w:tab w:val="num" w:pos="1397"/>
        </w:tabs>
        <w:spacing w:line="300" w:lineRule="exact"/>
        <w:ind w:left="312" w:hanging="312"/>
        <w:rPr>
          <w:rFonts w:cs="Lucida Sans Unicode"/>
          <w:b/>
          <w:bCs/>
          <w:position w:val="0"/>
          <w:sz w:val="20"/>
          <w:szCs w:val="20"/>
        </w:rPr>
      </w:pPr>
      <w:r>
        <w:rPr>
          <w:b/>
          <w:position w:val="0"/>
          <w:sz w:val="20"/>
        </w:rPr>
        <w:t xml:space="preserve">Outlook for 2015 confirmed  </w:t>
      </w:r>
    </w:p>
    <w:p w:rsidR="00B9531F" w:rsidRPr="00A02C86" w:rsidRDefault="00B9531F" w:rsidP="00B9531F">
      <w:pPr>
        <w:spacing w:line="300" w:lineRule="exact"/>
        <w:ind w:left="312"/>
        <w:rPr>
          <w:rFonts w:cs="Lucida Sans Unicode"/>
          <w:b/>
          <w:bCs/>
          <w:position w:val="0"/>
          <w:sz w:val="20"/>
          <w:szCs w:val="20"/>
        </w:rPr>
      </w:pPr>
      <w:r>
        <w:rPr>
          <w:rFonts w:cs="Lucida Sans Unicode"/>
          <w:b/>
          <w:bCs/>
          <w:position w:val="0"/>
          <w:sz w:val="20"/>
          <w:szCs w:val="20"/>
        </w:rPr>
        <w:br/>
      </w:r>
    </w:p>
    <w:p w:rsidR="00B9531F" w:rsidRDefault="00B9531F" w:rsidP="00B9531F">
      <w:pPr>
        <w:spacing w:line="300" w:lineRule="exact"/>
        <w:ind w:left="0" w:right="-62"/>
        <w:rPr>
          <w:rFonts w:cs="Lucida Sans Unicode"/>
          <w:sz w:val="20"/>
          <w:szCs w:val="20"/>
        </w:rPr>
      </w:pPr>
      <w:r>
        <w:rPr>
          <w:sz w:val="20"/>
        </w:rPr>
        <w:t>Essen. "Evonik remains successful," said Klaus Engel, Chairman of the Executive Board of Evonik Industries AG today, when the Group published its key financial figures for the third quarter of 2015 and the interim report for the period from January to September 2015. He explained the reasons for this: "Our business is continuing to develop at a high level in the second half of the year. It is also pleasing to report that all three chemical segments were able to increase their earnings year-on-year in the third quarter. Building on that and on our belief in our performance, we are looking ahead with confidence."</w:t>
      </w:r>
    </w:p>
    <w:p w:rsidR="00B9531F" w:rsidRPr="00F61187" w:rsidRDefault="00B9531F" w:rsidP="00B9531F">
      <w:pPr>
        <w:spacing w:line="300" w:lineRule="exact"/>
        <w:ind w:left="0" w:right="-62"/>
        <w:rPr>
          <w:rFonts w:cs="Lucida Sans Unicode"/>
          <w:sz w:val="20"/>
          <w:szCs w:val="20"/>
        </w:rPr>
      </w:pPr>
    </w:p>
    <w:p w:rsidR="00B9531F" w:rsidRPr="00F61187" w:rsidRDefault="00B9531F" w:rsidP="00B9531F">
      <w:pPr>
        <w:spacing w:line="300" w:lineRule="exact"/>
        <w:ind w:left="0" w:right="-62"/>
        <w:rPr>
          <w:rFonts w:cs="Lucida Sans Unicode"/>
          <w:sz w:val="20"/>
          <w:szCs w:val="20"/>
        </w:rPr>
      </w:pPr>
      <w:r>
        <w:rPr>
          <w:sz w:val="20"/>
        </w:rPr>
        <w:t xml:space="preserve">At Group level, both sales and adjusted EBITDA continued the strong performance seen in the first two quarters of the year. Global demand for Evonik's products was again good. However, volumes were slightly lower than in the third quarter of 2014 as a consequence of routine plant maintenance. There was a considerable increase in selling prices in the Nutrition &amp; Care segment, whereas prices in the Performance Materials segment declined, mainly because of the drop in the oil price. Overall, selling prices were higher than in the previous quarter. </w:t>
      </w:r>
    </w:p>
    <w:p w:rsidR="00B9531F" w:rsidRPr="00F61187" w:rsidRDefault="00B9531F" w:rsidP="00B9531F">
      <w:pPr>
        <w:spacing w:after="120" w:line="300" w:lineRule="exact"/>
        <w:ind w:left="0" w:right="-62"/>
        <w:rPr>
          <w:rFonts w:cs="Lucida Sans Unicode"/>
          <w:sz w:val="20"/>
          <w:szCs w:val="20"/>
        </w:rPr>
      </w:pPr>
    </w:p>
    <w:p w:rsidR="00B9531F" w:rsidRDefault="00B9531F" w:rsidP="00B9531F">
      <w:pPr>
        <w:spacing w:line="240" w:lineRule="auto"/>
        <w:ind w:left="0" w:right="0"/>
        <w:rPr>
          <w:rFonts w:cs="Lucida Sans Unicode"/>
          <w:b/>
          <w:sz w:val="20"/>
          <w:szCs w:val="20"/>
        </w:rPr>
      </w:pPr>
      <w:r>
        <w:br w:type="page"/>
      </w:r>
    </w:p>
    <w:p w:rsidR="00B9531F" w:rsidRPr="00F61187" w:rsidRDefault="00B9531F" w:rsidP="00B9531F">
      <w:pPr>
        <w:spacing w:after="120" w:line="300" w:lineRule="exact"/>
        <w:ind w:left="0" w:right="-62"/>
        <w:rPr>
          <w:rFonts w:cs="Lucida Sans Unicode"/>
          <w:b/>
          <w:sz w:val="20"/>
          <w:szCs w:val="20"/>
        </w:rPr>
      </w:pPr>
      <w:r>
        <w:rPr>
          <w:b/>
          <w:sz w:val="20"/>
        </w:rPr>
        <w:lastRenderedPageBreak/>
        <w:t>Key data for the Evonik Group Q3 and first nine months of 2015</w:t>
      </w:r>
    </w:p>
    <w:p w:rsidR="00B9531F" w:rsidRPr="00F61187" w:rsidRDefault="00B9531F" w:rsidP="00B9531F">
      <w:pPr>
        <w:spacing w:after="120" w:line="300" w:lineRule="exact"/>
        <w:ind w:left="0" w:right="-62"/>
        <w:rPr>
          <w:rFonts w:cs="Lucida Sans Unicode"/>
          <w:sz w:val="20"/>
          <w:szCs w:val="20"/>
        </w:rPr>
      </w:pPr>
      <w:r>
        <w:rPr>
          <w:sz w:val="20"/>
        </w:rPr>
        <w:t>Driven by higher prices and positive currency effects, sales increased by 4 percent to €3,365 million in the third quarter, and by 6 percent to €10,309 million in the first nine months, supported by higher volumes.</w:t>
      </w:r>
      <w:r>
        <w:rPr>
          <w:sz w:val="20"/>
        </w:rPr>
        <w:br/>
        <w:t xml:space="preserve">The Group's adjusted EBITDA climbed 31 percent to €653 million in the third quarter and therefore remained at the high level reported for the previous quarters. In the first nine months, adjusted EBITDA rose 37 percent to €1,964 million. This was attributable to the ongoing good volume trend, partly as a result of new capacities, and to higher selling prices. Further positive factors were slightly lower raw material costs and currency effects. The adjusted EBITDA margin of 19.4 percent in the third quarter stood out in the chemicals sector. Between January and September the adjusted EBITDA margin rose to 19.1 percent, up from 14.8 percent in the prior-year period. Adjusted net income increased 36 percent to €296 million in the third quarter and 56 percent to €923 million in the first nine months. The strong business performance so far this year has had a favorable impact on the cash flow from operating activities. </w:t>
      </w:r>
      <w:r>
        <w:rPr>
          <w:rFonts w:cs="Lucida Sans Unicode"/>
          <w:sz w:val="20"/>
          <w:szCs w:val="20"/>
        </w:rPr>
        <w:br/>
      </w:r>
      <w:r>
        <w:rPr>
          <w:sz w:val="20"/>
        </w:rPr>
        <w:t>At €1,329 million at the end of the first nine months it was already well above the cash flow of €1,066 million reported for 2014 as a whole.</w:t>
      </w:r>
    </w:p>
    <w:p w:rsidR="00B9531F" w:rsidRDefault="00B9531F" w:rsidP="00B9531F">
      <w:pPr>
        <w:spacing w:after="120" w:line="300" w:lineRule="exact"/>
        <w:ind w:left="0" w:right="-62"/>
        <w:rPr>
          <w:rFonts w:cs="Lucida Sans Unicode"/>
          <w:sz w:val="20"/>
          <w:szCs w:val="20"/>
        </w:rPr>
      </w:pPr>
      <w:bookmarkStart w:id="0" w:name="_GoBack"/>
      <w:bookmarkEnd w:id="0"/>
    </w:p>
    <w:p w:rsidR="00B9531F" w:rsidRPr="00F61187" w:rsidRDefault="00B9531F" w:rsidP="00B9531F">
      <w:pPr>
        <w:spacing w:after="120" w:line="300" w:lineRule="exact"/>
        <w:ind w:left="0" w:right="-62"/>
        <w:rPr>
          <w:rFonts w:cs="Lucida Sans Unicode"/>
          <w:b/>
          <w:sz w:val="20"/>
          <w:szCs w:val="20"/>
        </w:rPr>
      </w:pPr>
      <w:r>
        <w:rPr>
          <w:b/>
          <w:sz w:val="20"/>
        </w:rPr>
        <w:t>Outlook for the year confirmed</w:t>
      </w:r>
    </w:p>
    <w:p w:rsidR="00B9531F" w:rsidRPr="00F61187" w:rsidRDefault="00B9531F" w:rsidP="00B9531F">
      <w:pPr>
        <w:spacing w:after="120" w:line="300" w:lineRule="exact"/>
        <w:ind w:left="0" w:right="-62"/>
        <w:rPr>
          <w:rFonts w:cs="Lucida Sans Unicode"/>
          <w:sz w:val="20"/>
          <w:szCs w:val="20"/>
        </w:rPr>
      </w:pPr>
      <w:r>
        <w:rPr>
          <w:sz w:val="20"/>
        </w:rPr>
        <w:t xml:space="preserve">In view of the continued strong business performance, Evonik is confirming its expectations for the full year. Given the strong development of the operating business, in mid-year the company raised its guidance to sales of around €13.5 billion (2014: €12.9 billion) and adjusted EBITDA of around €2.4 billion (2014: €1.9 billion). </w:t>
      </w:r>
    </w:p>
    <w:p w:rsidR="00B9531F" w:rsidRDefault="00B9531F" w:rsidP="00B9531F">
      <w:pPr>
        <w:spacing w:after="120" w:line="300" w:lineRule="exact"/>
        <w:ind w:left="0" w:right="-62"/>
        <w:rPr>
          <w:rFonts w:cs="Lucida Sans Unicode"/>
          <w:sz w:val="20"/>
          <w:szCs w:val="20"/>
        </w:rPr>
      </w:pPr>
    </w:p>
    <w:p w:rsidR="00B9531F" w:rsidRPr="00F61187" w:rsidRDefault="00B9531F" w:rsidP="00B9531F">
      <w:pPr>
        <w:spacing w:after="120" w:line="300" w:lineRule="exact"/>
        <w:ind w:left="0" w:right="-62"/>
        <w:rPr>
          <w:rFonts w:cs="Lucida Sans Unicode"/>
          <w:b/>
          <w:sz w:val="20"/>
          <w:szCs w:val="20"/>
        </w:rPr>
      </w:pPr>
      <w:r>
        <w:rPr>
          <w:b/>
          <w:sz w:val="20"/>
        </w:rPr>
        <w:t>Segment performance</w:t>
      </w:r>
    </w:p>
    <w:p w:rsidR="00B9531F" w:rsidRPr="00F61187" w:rsidRDefault="00B9531F" w:rsidP="00B9531F">
      <w:pPr>
        <w:spacing w:after="120" w:line="300" w:lineRule="exact"/>
        <w:ind w:left="0" w:right="-62"/>
        <w:rPr>
          <w:rFonts w:cs="Lucida Sans Unicode"/>
          <w:sz w:val="20"/>
          <w:szCs w:val="20"/>
        </w:rPr>
      </w:pPr>
      <w:r>
        <w:rPr>
          <w:sz w:val="20"/>
        </w:rPr>
        <w:t>For the first time in 2015, all three chemical segments reported a year-over-year improvement in earnings in the third quarter.</w:t>
      </w:r>
    </w:p>
    <w:p w:rsidR="00B9531F" w:rsidRPr="00F61187" w:rsidRDefault="00B9531F" w:rsidP="00B9531F">
      <w:pPr>
        <w:spacing w:after="120" w:line="300" w:lineRule="exact"/>
        <w:ind w:left="0" w:right="-62"/>
        <w:rPr>
          <w:rFonts w:cs="Lucida Sans Unicode"/>
          <w:sz w:val="20"/>
          <w:szCs w:val="20"/>
        </w:rPr>
      </w:pPr>
      <w:r>
        <w:rPr>
          <w:sz w:val="20"/>
        </w:rPr>
        <w:t xml:space="preserve">In the </w:t>
      </w:r>
      <w:r>
        <w:rPr>
          <w:b/>
          <w:sz w:val="20"/>
        </w:rPr>
        <w:t xml:space="preserve">Nutrition &amp; Care </w:t>
      </w:r>
      <w:r>
        <w:rPr>
          <w:sz w:val="20"/>
        </w:rPr>
        <w:t>segment sales grew 22 percent to €1,240 million in the third quarter (Q3 2014: €1,016 million). While volumes rose slightly, the main drivers were far higher selling prices and positive currency effects. Thanks to higher prices and lower raw material costs, adjusted EBITDA increased 85 percent to €382 million. The adjusted EBITDA margin rose significantly from 20.3 percent in the prior-year period to 30.8 percent.</w:t>
      </w:r>
    </w:p>
    <w:p w:rsidR="00B9531F" w:rsidRPr="00F61187" w:rsidRDefault="00B9531F" w:rsidP="00B9531F">
      <w:pPr>
        <w:spacing w:after="120" w:line="300" w:lineRule="exact"/>
        <w:ind w:left="0" w:right="-62"/>
        <w:rPr>
          <w:rFonts w:cs="Lucida Sans Unicode"/>
          <w:sz w:val="20"/>
          <w:szCs w:val="20"/>
        </w:rPr>
      </w:pPr>
      <w:r>
        <w:rPr>
          <w:sz w:val="20"/>
        </w:rPr>
        <w:lastRenderedPageBreak/>
        <w:t xml:space="preserve">Sales in the </w:t>
      </w:r>
      <w:r>
        <w:rPr>
          <w:b/>
          <w:sz w:val="20"/>
        </w:rPr>
        <w:t>Resource Efficiency</w:t>
      </w:r>
      <w:r>
        <w:rPr>
          <w:sz w:val="20"/>
        </w:rPr>
        <w:t xml:space="preserve"> segment increased 2 percent to €1,044 million in the third quarter (Q3 2014: €1,027 million) as a result of slightly higher selling prices and positive currency effects. The slight reduction in volumes was attributable to routine maintenance work at some production plants. Adjusted EBITDA increased slightly to €216 million. The adjusted EBITDA margin was around the prior-year level at 20.7 percent.</w:t>
      </w:r>
    </w:p>
    <w:p w:rsidR="00B9531F" w:rsidRDefault="00B9531F" w:rsidP="00B9531F">
      <w:pPr>
        <w:spacing w:after="120" w:line="300" w:lineRule="exact"/>
        <w:ind w:left="0" w:right="-62"/>
        <w:rPr>
          <w:rFonts w:cs="Lucida Sans Unicode"/>
          <w:b/>
          <w:sz w:val="20"/>
          <w:szCs w:val="20"/>
        </w:rPr>
      </w:pPr>
      <w:r>
        <w:rPr>
          <w:sz w:val="20"/>
        </w:rPr>
        <w:t xml:space="preserve">In the </w:t>
      </w:r>
      <w:r>
        <w:rPr>
          <w:b/>
          <w:sz w:val="20"/>
        </w:rPr>
        <w:t xml:space="preserve">Performance Materials </w:t>
      </w:r>
      <w:r>
        <w:rPr>
          <w:sz w:val="20"/>
        </w:rPr>
        <w:t xml:space="preserve">segment sales declined 11 percent to €858 million in the third quarter (Q3 2014: €966 million). Alongside plant maintenance in the two most important businesses, this was because selling prices were impacted by the persistently low oil price. On the earnings side, however, this price effect was more than offset by a temporary margin advantage as a result of the reduction in the cost of oil-based feedstocks. Adjusted EBITDA therefore improved by 4 percent to €94 million (Q3 2014: €90 million).  The adjusted EBITDA margin was 11 percent, up from 9.3 percent in the third quarter of 2014. </w:t>
      </w:r>
    </w:p>
    <w:p w:rsidR="00B9531F" w:rsidRDefault="00B9531F" w:rsidP="00B9531F">
      <w:pPr>
        <w:spacing w:line="240" w:lineRule="auto"/>
        <w:ind w:left="0" w:right="0"/>
        <w:jc w:val="both"/>
        <w:rPr>
          <w:bCs/>
          <w:sz w:val="20"/>
          <w:szCs w:val="20"/>
        </w:rPr>
      </w:pPr>
      <w:r>
        <w:br w:type="page"/>
      </w:r>
    </w:p>
    <w:p w:rsidR="00B9531F" w:rsidRPr="00B2662A" w:rsidRDefault="00B9531F" w:rsidP="00B9531F">
      <w:pPr>
        <w:spacing w:line="300" w:lineRule="exact"/>
        <w:rPr>
          <w:bCs/>
          <w:sz w:val="20"/>
          <w:szCs w:val="20"/>
        </w:rPr>
      </w:pPr>
    </w:p>
    <w:p w:rsidR="00B9531F" w:rsidRDefault="00B9531F" w:rsidP="00B9531F">
      <w:pPr>
        <w:spacing w:line="300" w:lineRule="exact"/>
        <w:rPr>
          <w:rFonts w:cs="Lucida Sans Unicode"/>
          <w:b/>
          <w:sz w:val="20"/>
          <w:szCs w:val="20"/>
        </w:rPr>
      </w:pPr>
    </w:p>
    <w:p w:rsidR="00B9531F" w:rsidRDefault="00B9531F" w:rsidP="00B9531F">
      <w:pPr>
        <w:spacing w:after="120" w:line="300" w:lineRule="atLeast"/>
        <w:ind w:left="0"/>
        <w:rPr>
          <w:rFonts w:cs="Lucida Sans Unicode"/>
          <w:b/>
          <w:bCs/>
          <w:sz w:val="20"/>
          <w:szCs w:val="20"/>
        </w:rPr>
      </w:pPr>
      <w:r>
        <w:rPr>
          <w:b/>
          <w:sz w:val="20"/>
        </w:rPr>
        <w:t>Evonik Group: Excerpt from the income statement</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863"/>
        <w:gridCol w:w="862"/>
        <w:gridCol w:w="898"/>
        <w:gridCol w:w="863"/>
        <w:gridCol w:w="862"/>
        <w:gridCol w:w="898"/>
      </w:tblGrid>
      <w:tr w:rsidR="00B9531F" w:rsidTr="00B81FB5">
        <w:trPr>
          <w:trHeight w:val="510"/>
        </w:trPr>
        <w:tc>
          <w:tcPr>
            <w:tcW w:w="4678" w:type="dxa"/>
            <w:noWrap/>
            <w:vAlign w:val="center"/>
          </w:tcPr>
          <w:p w:rsidR="00B9531F" w:rsidRDefault="00B9531F" w:rsidP="00B81FB5">
            <w:pPr>
              <w:ind w:left="0"/>
              <w:rPr>
                <w:rFonts w:cs="Lucida Sans Unicode"/>
                <w:b/>
                <w:bCs/>
                <w:szCs w:val="20"/>
              </w:rPr>
            </w:pPr>
            <w:r>
              <w:rPr>
                <w:b/>
              </w:rPr>
              <w:t>(in € million)</w:t>
            </w:r>
          </w:p>
        </w:tc>
        <w:tc>
          <w:tcPr>
            <w:tcW w:w="863" w:type="dxa"/>
            <w:shd w:val="clear" w:color="auto" w:fill="CCCCCC"/>
            <w:vAlign w:val="center"/>
          </w:tcPr>
          <w:p w:rsidR="00B9531F" w:rsidRDefault="00B9531F" w:rsidP="00B81FB5">
            <w:pPr>
              <w:ind w:left="0"/>
              <w:jc w:val="center"/>
              <w:rPr>
                <w:rFonts w:cs="Lucida Sans Unicode"/>
                <w:b/>
                <w:bCs/>
                <w:szCs w:val="20"/>
              </w:rPr>
            </w:pPr>
            <w:r>
              <w:rPr>
                <w:b/>
              </w:rPr>
              <w:t>Q3 2015</w:t>
            </w:r>
          </w:p>
        </w:tc>
        <w:tc>
          <w:tcPr>
            <w:tcW w:w="862" w:type="dxa"/>
            <w:vAlign w:val="center"/>
          </w:tcPr>
          <w:p w:rsidR="00B9531F" w:rsidRDefault="00B9531F" w:rsidP="00B81FB5">
            <w:pPr>
              <w:ind w:left="0"/>
              <w:jc w:val="center"/>
              <w:rPr>
                <w:rFonts w:cs="Lucida Sans Unicode"/>
                <w:b/>
                <w:bCs/>
                <w:szCs w:val="20"/>
              </w:rPr>
            </w:pPr>
            <w:r>
              <w:rPr>
                <w:b/>
              </w:rPr>
              <w:t xml:space="preserve">Q3 </w:t>
            </w:r>
            <w:r>
              <w:rPr>
                <w:rFonts w:cs="Lucida Sans Unicode"/>
                <w:b/>
                <w:bCs/>
                <w:szCs w:val="20"/>
              </w:rPr>
              <w:br/>
            </w:r>
            <w:r>
              <w:rPr>
                <w:b/>
              </w:rPr>
              <w:t>2014</w:t>
            </w:r>
          </w:p>
        </w:tc>
        <w:tc>
          <w:tcPr>
            <w:tcW w:w="898" w:type="dxa"/>
            <w:vAlign w:val="center"/>
          </w:tcPr>
          <w:p w:rsidR="00B9531F" w:rsidRDefault="00B9531F" w:rsidP="00B81FB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63" w:type="dxa"/>
            <w:shd w:val="clear" w:color="auto" w:fill="CCCCCC"/>
            <w:vAlign w:val="center"/>
          </w:tcPr>
          <w:p w:rsidR="00B9531F" w:rsidRDefault="00B9531F" w:rsidP="00B81FB5">
            <w:pPr>
              <w:ind w:left="0"/>
              <w:jc w:val="center"/>
              <w:rPr>
                <w:rFonts w:cs="Lucida Sans Unicode"/>
                <w:b/>
                <w:bCs/>
                <w:szCs w:val="20"/>
              </w:rPr>
            </w:pPr>
            <w:r>
              <w:rPr>
                <w:b/>
              </w:rPr>
              <w:t xml:space="preserve">9M </w:t>
            </w:r>
          </w:p>
          <w:p w:rsidR="00B9531F" w:rsidRDefault="00B9531F" w:rsidP="00B81FB5">
            <w:pPr>
              <w:ind w:left="0"/>
              <w:jc w:val="center"/>
              <w:rPr>
                <w:rFonts w:cs="Lucida Sans Unicode"/>
                <w:b/>
                <w:bCs/>
                <w:szCs w:val="20"/>
              </w:rPr>
            </w:pPr>
            <w:r>
              <w:rPr>
                <w:b/>
              </w:rPr>
              <w:t>2015</w:t>
            </w:r>
          </w:p>
        </w:tc>
        <w:tc>
          <w:tcPr>
            <w:tcW w:w="862" w:type="dxa"/>
            <w:vAlign w:val="center"/>
          </w:tcPr>
          <w:p w:rsidR="00B9531F" w:rsidRDefault="00B9531F" w:rsidP="00B81FB5">
            <w:pPr>
              <w:ind w:left="0"/>
              <w:jc w:val="center"/>
              <w:rPr>
                <w:rFonts w:cs="Lucida Sans Unicode"/>
                <w:b/>
                <w:bCs/>
                <w:szCs w:val="20"/>
              </w:rPr>
            </w:pPr>
            <w:r>
              <w:rPr>
                <w:b/>
              </w:rPr>
              <w:t>9M</w:t>
            </w:r>
          </w:p>
          <w:p w:rsidR="00B9531F" w:rsidRDefault="00B9531F" w:rsidP="00B81FB5">
            <w:pPr>
              <w:ind w:left="0"/>
              <w:jc w:val="center"/>
              <w:rPr>
                <w:rFonts w:cs="Lucida Sans Unicode"/>
                <w:b/>
                <w:bCs/>
                <w:szCs w:val="20"/>
              </w:rPr>
            </w:pPr>
            <w:r>
              <w:rPr>
                <w:b/>
              </w:rPr>
              <w:t>2014</w:t>
            </w:r>
          </w:p>
        </w:tc>
        <w:tc>
          <w:tcPr>
            <w:tcW w:w="898" w:type="dxa"/>
            <w:vAlign w:val="center"/>
          </w:tcPr>
          <w:p w:rsidR="00B9531F" w:rsidRDefault="00B9531F" w:rsidP="00B81FB5">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Sales</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3,365</w:t>
            </w:r>
          </w:p>
        </w:tc>
        <w:tc>
          <w:tcPr>
            <w:tcW w:w="862" w:type="dxa"/>
            <w:noWrap/>
            <w:vAlign w:val="bottom"/>
          </w:tcPr>
          <w:p w:rsidR="00B9531F" w:rsidRDefault="00B9531F" w:rsidP="00B81FB5">
            <w:pPr>
              <w:ind w:left="0"/>
              <w:jc w:val="right"/>
              <w:rPr>
                <w:rFonts w:cs="Lucida Sans Unicode"/>
                <w:position w:val="0"/>
                <w:szCs w:val="20"/>
              </w:rPr>
            </w:pPr>
            <w:r>
              <w:t>3,243</w:t>
            </w:r>
          </w:p>
        </w:tc>
        <w:tc>
          <w:tcPr>
            <w:tcW w:w="898" w:type="dxa"/>
            <w:noWrap/>
            <w:vAlign w:val="bottom"/>
          </w:tcPr>
          <w:p w:rsidR="00B9531F" w:rsidRDefault="00B9531F" w:rsidP="00B81FB5">
            <w:pPr>
              <w:ind w:left="0"/>
              <w:jc w:val="right"/>
              <w:rPr>
                <w:rFonts w:cs="Lucida Sans Unicode"/>
                <w:position w:val="0"/>
                <w:szCs w:val="20"/>
              </w:rPr>
            </w:pPr>
            <w:r>
              <w:t>4</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10,309</w:t>
            </w:r>
          </w:p>
        </w:tc>
        <w:tc>
          <w:tcPr>
            <w:tcW w:w="862" w:type="dxa"/>
            <w:noWrap/>
            <w:vAlign w:val="bottom"/>
          </w:tcPr>
          <w:p w:rsidR="00B9531F" w:rsidRDefault="00B9531F" w:rsidP="00B81FB5">
            <w:pPr>
              <w:ind w:left="0"/>
              <w:jc w:val="right"/>
              <w:rPr>
                <w:rFonts w:cs="Lucida Sans Unicode"/>
                <w:position w:val="0"/>
                <w:szCs w:val="20"/>
              </w:rPr>
            </w:pPr>
            <w:r>
              <w:t>9,691</w:t>
            </w:r>
          </w:p>
        </w:tc>
        <w:tc>
          <w:tcPr>
            <w:tcW w:w="898" w:type="dxa"/>
            <w:noWrap/>
            <w:vAlign w:val="bottom"/>
          </w:tcPr>
          <w:p w:rsidR="00B9531F" w:rsidRDefault="00B9531F" w:rsidP="00B81FB5">
            <w:pPr>
              <w:ind w:left="0"/>
              <w:jc w:val="right"/>
              <w:rPr>
                <w:rFonts w:cs="Lucida Sans Unicode"/>
                <w:position w:val="0"/>
                <w:szCs w:val="20"/>
              </w:rPr>
            </w:pPr>
            <w:r>
              <w:t>6</w:t>
            </w: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Adjusted EBITDA</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653</w:t>
            </w:r>
          </w:p>
        </w:tc>
        <w:tc>
          <w:tcPr>
            <w:tcW w:w="862" w:type="dxa"/>
            <w:noWrap/>
            <w:vAlign w:val="bottom"/>
          </w:tcPr>
          <w:p w:rsidR="00B9531F" w:rsidRDefault="00B9531F" w:rsidP="00B81FB5">
            <w:pPr>
              <w:ind w:left="0"/>
              <w:jc w:val="right"/>
              <w:rPr>
                <w:rFonts w:cs="Lucida Sans Unicode"/>
                <w:position w:val="0"/>
                <w:szCs w:val="20"/>
              </w:rPr>
            </w:pPr>
            <w:r>
              <w:t>500</w:t>
            </w:r>
          </w:p>
        </w:tc>
        <w:tc>
          <w:tcPr>
            <w:tcW w:w="898" w:type="dxa"/>
            <w:noWrap/>
            <w:vAlign w:val="bottom"/>
          </w:tcPr>
          <w:p w:rsidR="00B9531F" w:rsidRDefault="00B9531F" w:rsidP="00B81FB5">
            <w:pPr>
              <w:ind w:left="0"/>
              <w:jc w:val="right"/>
              <w:rPr>
                <w:rFonts w:cs="Lucida Sans Unicode"/>
                <w:position w:val="0"/>
                <w:szCs w:val="20"/>
              </w:rPr>
            </w:pPr>
            <w:r>
              <w:t>31</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1,964</w:t>
            </w:r>
          </w:p>
        </w:tc>
        <w:tc>
          <w:tcPr>
            <w:tcW w:w="862" w:type="dxa"/>
            <w:noWrap/>
            <w:vAlign w:val="bottom"/>
          </w:tcPr>
          <w:p w:rsidR="00B9531F" w:rsidRDefault="00B9531F" w:rsidP="00B81FB5">
            <w:pPr>
              <w:ind w:left="0"/>
              <w:jc w:val="right"/>
              <w:rPr>
                <w:rFonts w:cs="Lucida Sans Unicode"/>
                <w:position w:val="0"/>
                <w:szCs w:val="20"/>
              </w:rPr>
            </w:pPr>
            <w:r>
              <w:t>1,436</w:t>
            </w:r>
          </w:p>
        </w:tc>
        <w:tc>
          <w:tcPr>
            <w:tcW w:w="898" w:type="dxa"/>
            <w:noWrap/>
            <w:vAlign w:val="bottom"/>
          </w:tcPr>
          <w:p w:rsidR="00B9531F" w:rsidRDefault="00B9531F" w:rsidP="00B81FB5">
            <w:pPr>
              <w:ind w:left="0"/>
              <w:jc w:val="right"/>
              <w:rPr>
                <w:rFonts w:cs="Lucida Sans Unicode"/>
                <w:position w:val="0"/>
                <w:szCs w:val="20"/>
              </w:rPr>
            </w:pPr>
            <w:r>
              <w:t>37</w:t>
            </w: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Adjusted EBIT</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473</w:t>
            </w:r>
          </w:p>
        </w:tc>
        <w:tc>
          <w:tcPr>
            <w:tcW w:w="862" w:type="dxa"/>
            <w:noWrap/>
            <w:vAlign w:val="bottom"/>
          </w:tcPr>
          <w:p w:rsidR="00B9531F" w:rsidRDefault="00B9531F" w:rsidP="00B81FB5">
            <w:pPr>
              <w:ind w:left="0"/>
              <w:jc w:val="right"/>
              <w:rPr>
                <w:rFonts w:cs="Lucida Sans Unicode"/>
                <w:position w:val="0"/>
                <w:szCs w:val="20"/>
              </w:rPr>
            </w:pPr>
            <w:r>
              <w:t>349</w:t>
            </w:r>
          </w:p>
        </w:tc>
        <w:tc>
          <w:tcPr>
            <w:tcW w:w="898" w:type="dxa"/>
            <w:noWrap/>
            <w:vAlign w:val="bottom"/>
          </w:tcPr>
          <w:p w:rsidR="00B9531F" w:rsidRDefault="00B9531F" w:rsidP="00B81FB5">
            <w:pPr>
              <w:ind w:left="0"/>
              <w:jc w:val="right"/>
              <w:rPr>
                <w:rFonts w:cs="Lucida Sans Unicode"/>
                <w:position w:val="0"/>
                <w:szCs w:val="20"/>
              </w:rPr>
            </w:pPr>
            <w:r>
              <w:t>36</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1,444</w:t>
            </w:r>
          </w:p>
        </w:tc>
        <w:tc>
          <w:tcPr>
            <w:tcW w:w="862" w:type="dxa"/>
            <w:noWrap/>
            <w:vAlign w:val="bottom"/>
          </w:tcPr>
          <w:p w:rsidR="00B9531F" w:rsidRDefault="00B9531F" w:rsidP="00B81FB5">
            <w:pPr>
              <w:ind w:left="0"/>
              <w:jc w:val="right"/>
              <w:rPr>
                <w:rFonts w:cs="Lucida Sans Unicode"/>
                <w:position w:val="0"/>
                <w:szCs w:val="20"/>
              </w:rPr>
            </w:pPr>
            <w:r>
              <w:t>988</w:t>
            </w:r>
          </w:p>
        </w:tc>
        <w:tc>
          <w:tcPr>
            <w:tcW w:w="898" w:type="dxa"/>
            <w:noWrap/>
            <w:vAlign w:val="bottom"/>
          </w:tcPr>
          <w:p w:rsidR="00B9531F" w:rsidRDefault="00B9531F" w:rsidP="00B81FB5">
            <w:pPr>
              <w:ind w:left="0"/>
              <w:jc w:val="right"/>
              <w:rPr>
                <w:rFonts w:cs="Lucida Sans Unicode"/>
                <w:position w:val="0"/>
                <w:szCs w:val="20"/>
              </w:rPr>
            </w:pPr>
            <w:r>
              <w:t>46</w:t>
            </w: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Adjustments</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-91</w:t>
            </w:r>
          </w:p>
        </w:tc>
        <w:tc>
          <w:tcPr>
            <w:tcW w:w="862" w:type="dxa"/>
            <w:noWrap/>
            <w:vAlign w:val="bottom"/>
          </w:tcPr>
          <w:p w:rsidR="00B9531F" w:rsidRDefault="00B9531F" w:rsidP="00B81FB5">
            <w:pPr>
              <w:ind w:left="0"/>
              <w:jc w:val="right"/>
              <w:rPr>
                <w:rFonts w:cs="Lucida Sans Unicode"/>
                <w:position w:val="0"/>
                <w:szCs w:val="20"/>
              </w:rPr>
            </w:pPr>
            <w:r>
              <w:t>-54</w:t>
            </w:r>
          </w:p>
        </w:tc>
        <w:tc>
          <w:tcPr>
            <w:tcW w:w="898" w:type="dxa"/>
            <w:noWrap/>
            <w:vAlign w:val="bottom"/>
          </w:tcPr>
          <w:p w:rsidR="00B9531F" w:rsidRDefault="00B9531F" w:rsidP="00B81FB5">
            <w:pPr>
              <w:ind w:left="0"/>
              <w:rPr>
                <w:rFonts w:cs="Lucida Sans Unicode"/>
                <w:position w:val="0"/>
                <w:szCs w:val="20"/>
              </w:rPr>
            </w:pPr>
          </w:p>
        </w:tc>
        <w:tc>
          <w:tcPr>
            <w:tcW w:w="863" w:type="dxa"/>
            <w:shd w:val="clear" w:color="auto" w:fill="CCCCCC"/>
            <w:noWrap/>
            <w:vAlign w:val="bottom"/>
          </w:tcPr>
          <w:p w:rsidR="00B9531F" w:rsidRDefault="00B9531F" w:rsidP="00B81FB5">
            <w:pPr>
              <w:ind w:left="0"/>
              <w:jc w:val="right"/>
              <w:rPr>
                <w:rFonts w:cs="Lucida Sans Unicode"/>
                <w:position w:val="0"/>
                <w:szCs w:val="20"/>
              </w:rPr>
            </w:pPr>
            <w:r>
              <w:t>-6</w:t>
            </w:r>
          </w:p>
        </w:tc>
        <w:tc>
          <w:tcPr>
            <w:tcW w:w="862" w:type="dxa"/>
            <w:noWrap/>
            <w:vAlign w:val="bottom"/>
          </w:tcPr>
          <w:p w:rsidR="00B9531F" w:rsidRDefault="00B9531F" w:rsidP="00B81FB5">
            <w:pPr>
              <w:ind w:left="0"/>
              <w:jc w:val="right"/>
              <w:rPr>
                <w:rFonts w:cs="Lucida Sans Unicode"/>
                <w:position w:val="0"/>
                <w:szCs w:val="20"/>
              </w:rPr>
            </w:pPr>
            <w:r>
              <w:t>-144</w:t>
            </w:r>
          </w:p>
        </w:tc>
        <w:tc>
          <w:tcPr>
            <w:tcW w:w="898" w:type="dxa"/>
            <w:noWrap/>
            <w:vAlign w:val="bottom"/>
          </w:tcPr>
          <w:p w:rsidR="00B9531F" w:rsidRDefault="00B9531F" w:rsidP="00B81FB5">
            <w:pPr>
              <w:ind w:left="0"/>
              <w:rPr>
                <w:rFonts w:cs="Lucida Sans Unicode"/>
                <w:position w:val="0"/>
                <w:szCs w:val="20"/>
              </w:rPr>
            </w:pP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Financial result</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-86</w:t>
            </w:r>
          </w:p>
        </w:tc>
        <w:tc>
          <w:tcPr>
            <w:tcW w:w="862" w:type="dxa"/>
            <w:noWrap/>
            <w:vAlign w:val="bottom"/>
          </w:tcPr>
          <w:p w:rsidR="00B9531F" w:rsidRDefault="00B9531F" w:rsidP="00B81FB5">
            <w:pPr>
              <w:ind w:left="0"/>
              <w:jc w:val="right"/>
              <w:rPr>
                <w:rFonts w:cs="Lucida Sans Unicode"/>
                <w:position w:val="0"/>
                <w:szCs w:val="20"/>
              </w:rPr>
            </w:pPr>
            <w:r>
              <w:t>-63</w:t>
            </w:r>
          </w:p>
        </w:tc>
        <w:tc>
          <w:tcPr>
            <w:tcW w:w="898" w:type="dxa"/>
            <w:noWrap/>
            <w:vAlign w:val="bottom"/>
          </w:tcPr>
          <w:p w:rsidR="00B9531F" w:rsidRDefault="00B9531F" w:rsidP="00B81FB5">
            <w:pPr>
              <w:ind w:left="0"/>
              <w:jc w:val="right"/>
              <w:rPr>
                <w:rFonts w:cs="Lucida Sans Unicode"/>
                <w:position w:val="0"/>
                <w:szCs w:val="20"/>
              </w:rPr>
            </w:pPr>
          </w:p>
        </w:tc>
        <w:tc>
          <w:tcPr>
            <w:tcW w:w="863" w:type="dxa"/>
            <w:shd w:val="clear" w:color="auto" w:fill="CCCCCC"/>
            <w:noWrap/>
            <w:vAlign w:val="bottom"/>
          </w:tcPr>
          <w:p w:rsidR="00B9531F" w:rsidRDefault="00B9531F" w:rsidP="00B81FB5">
            <w:pPr>
              <w:ind w:left="0"/>
              <w:jc w:val="right"/>
              <w:rPr>
                <w:rFonts w:cs="Lucida Sans Unicode"/>
                <w:position w:val="0"/>
                <w:szCs w:val="20"/>
              </w:rPr>
            </w:pPr>
            <w:r>
              <w:t>-200</w:t>
            </w:r>
          </w:p>
        </w:tc>
        <w:tc>
          <w:tcPr>
            <w:tcW w:w="862" w:type="dxa"/>
            <w:noWrap/>
            <w:vAlign w:val="bottom"/>
          </w:tcPr>
          <w:p w:rsidR="00B9531F" w:rsidRDefault="00B9531F" w:rsidP="00B81FB5">
            <w:pPr>
              <w:ind w:left="0"/>
              <w:jc w:val="right"/>
              <w:rPr>
                <w:rFonts w:cs="Lucida Sans Unicode"/>
                <w:position w:val="0"/>
                <w:szCs w:val="20"/>
              </w:rPr>
            </w:pPr>
            <w:r>
              <w:t>-211</w:t>
            </w:r>
          </w:p>
        </w:tc>
        <w:tc>
          <w:tcPr>
            <w:tcW w:w="898" w:type="dxa"/>
            <w:noWrap/>
            <w:vAlign w:val="bottom"/>
          </w:tcPr>
          <w:p w:rsidR="00B9531F" w:rsidRDefault="00B9531F" w:rsidP="00B81FB5">
            <w:pPr>
              <w:ind w:left="0"/>
              <w:rPr>
                <w:rFonts w:cs="Lucida Sans Unicode"/>
                <w:position w:val="0"/>
                <w:szCs w:val="20"/>
              </w:rPr>
            </w:pPr>
          </w:p>
        </w:tc>
      </w:tr>
      <w:tr w:rsidR="00B9531F" w:rsidTr="00B81FB5">
        <w:trPr>
          <w:trHeight w:val="300"/>
        </w:trPr>
        <w:tc>
          <w:tcPr>
            <w:tcW w:w="4678" w:type="dxa"/>
            <w:noWrap/>
            <w:vAlign w:val="bottom"/>
          </w:tcPr>
          <w:p w:rsidR="00B9531F" w:rsidRPr="00E83E1D" w:rsidRDefault="00B9531F" w:rsidP="00B81FB5">
            <w:pPr>
              <w:ind w:left="0"/>
              <w:rPr>
                <w:rFonts w:cs="Lucida Sans Unicode"/>
                <w:bCs/>
                <w:szCs w:val="20"/>
              </w:rPr>
            </w:pPr>
            <w:r>
              <w:t>Income before income taxes, continuing operations</w:t>
            </w:r>
          </w:p>
        </w:tc>
        <w:tc>
          <w:tcPr>
            <w:tcW w:w="863" w:type="dxa"/>
            <w:shd w:val="clear" w:color="auto" w:fill="CCCCCC"/>
            <w:noWrap/>
            <w:vAlign w:val="bottom"/>
          </w:tcPr>
          <w:p w:rsidR="00B9531F" w:rsidRPr="002B19DA" w:rsidRDefault="00B9531F" w:rsidP="00B81FB5">
            <w:pPr>
              <w:ind w:left="0"/>
              <w:jc w:val="right"/>
              <w:rPr>
                <w:rFonts w:cs="Lucida Sans Unicode"/>
                <w:bCs/>
                <w:position w:val="0"/>
                <w:szCs w:val="20"/>
              </w:rPr>
            </w:pPr>
            <w:r>
              <w:t>296</w:t>
            </w:r>
          </w:p>
        </w:tc>
        <w:tc>
          <w:tcPr>
            <w:tcW w:w="862" w:type="dxa"/>
            <w:noWrap/>
            <w:vAlign w:val="bottom"/>
          </w:tcPr>
          <w:p w:rsidR="00B9531F" w:rsidRPr="002B19DA" w:rsidRDefault="00B9531F" w:rsidP="00B81FB5">
            <w:pPr>
              <w:ind w:left="0"/>
              <w:jc w:val="right"/>
              <w:rPr>
                <w:rFonts w:cs="Lucida Sans Unicode"/>
                <w:bCs/>
                <w:position w:val="0"/>
                <w:szCs w:val="20"/>
              </w:rPr>
            </w:pPr>
            <w:r>
              <w:t>232</w:t>
            </w:r>
          </w:p>
        </w:tc>
        <w:tc>
          <w:tcPr>
            <w:tcW w:w="898" w:type="dxa"/>
            <w:noWrap/>
            <w:vAlign w:val="bottom"/>
          </w:tcPr>
          <w:p w:rsidR="00B9531F" w:rsidRPr="002B19DA" w:rsidRDefault="00B9531F" w:rsidP="00B81FB5">
            <w:pPr>
              <w:ind w:left="0"/>
              <w:jc w:val="right"/>
              <w:rPr>
                <w:rFonts w:cs="Lucida Sans Unicode"/>
                <w:bCs/>
                <w:position w:val="0"/>
                <w:szCs w:val="20"/>
              </w:rPr>
            </w:pPr>
            <w:r>
              <w:t>28</w:t>
            </w:r>
          </w:p>
        </w:tc>
        <w:tc>
          <w:tcPr>
            <w:tcW w:w="863" w:type="dxa"/>
            <w:shd w:val="clear" w:color="auto" w:fill="CCCCCC"/>
            <w:noWrap/>
            <w:vAlign w:val="bottom"/>
          </w:tcPr>
          <w:p w:rsidR="00B9531F" w:rsidRPr="002B19DA" w:rsidRDefault="00B9531F" w:rsidP="00B81FB5">
            <w:pPr>
              <w:ind w:left="0"/>
              <w:jc w:val="right"/>
              <w:rPr>
                <w:rFonts w:cs="Lucida Sans Unicode"/>
                <w:bCs/>
                <w:position w:val="0"/>
                <w:szCs w:val="20"/>
              </w:rPr>
            </w:pPr>
            <w:r>
              <w:t>1,238</w:t>
            </w:r>
          </w:p>
        </w:tc>
        <w:tc>
          <w:tcPr>
            <w:tcW w:w="862" w:type="dxa"/>
            <w:noWrap/>
            <w:vAlign w:val="bottom"/>
          </w:tcPr>
          <w:p w:rsidR="00B9531F" w:rsidRPr="002B19DA" w:rsidRDefault="00B9531F" w:rsidP="00B81FB5">
            <w:pPr>
              <w:ind w:left="0"/>
              <w:jc w:val="right"/>
              <w:rPr>
                <w:rFonts w:cs="Lucida Sans Unicode"/>
                <w:bCs/>
                <w:position w:val="0"/>
                <w:szCs w:val="20"/>
              </w:rPr>
            </w:pPr>
            <w:r>
              <w:t>633</w:t>
            </w:r>
          </w:p>
        </w:tc>
        <w:tc>
          <w:tcPr>
            <w:tcW w:w="898" w:type="dxa"/>
            <w:noWrap/>
            <w:vAlign w:val="bottom"/>
          </w:tcPr>
          <w:p w:rsidR="00B9531F" w:rsidRPr="002B19DA" w:rsidRDefault="00B9531F" w:rsidP="00B81FB5">
            <w:pPr>
              <w:ind w:left="0"/>
              <w:jc w:val="right"/>
              <w:rPr>
                <w:rFonts w:cs="Lucida Sans Unicode"/>
                <w:bCs/>
                <w:position w:val="0"/>
                <w:szCs w:val="20"/>
              </w:rPr>
            </w:pPr>
            <w:r>
              <w:t>96</w:t>
            </w:r>
          </w:p>
        </w:tc>
      </w:tr>
      <w:tr w:rsidR="00B9531F" w:rsidTr="00B81FB5">
        <w:trPr>
          <w:trHeight w:val="300"/>
        </w:trPr>
        <w:tc>
          <w:tcPr>
            <w:tcW w:w="4678" w:type="dxa"/>
            <w:noWrap/>
            <w:vAlign w:val="bottom"/>
          </w:tcPr>
          <w:p w:rsidR="00B9531F" w:rsidRPr="00E83E1D" w:rsidRDefault="00B9531F" w:rsidP="00B81FB5">
            <w:pPr>
              <w:ind w:left="0"/>
              <w:rPr>
                <w:rFonts w:cs="Lucida Sans Unicode"/>
                <w:position w:val="0"/>
                <w:szCs w:val="20"/>
              </w:rPr>
            </w:pPr>
            <w:r>
              <w:t>Income taxes</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-105</w:t>
            </w:r>
          </w:p>
        </w:tc>
        <w:tc>
          <w:tcPr>
            <w:tcW w:w="862" w:type="dxa"/>
            <w:noWrap/>
            <w:vAlign w:val="bottom"/>
          </w:tcPr>
          <w:p w:rsidR="00B9531F" w:rsidRDefault="00B9531F" w:rsidP="00B81FB5">
            <w:pPr>
              <w:ind w:left="0"/>
              <w:jc w:val="right"/>
              <w:rPr>
                <w:rFonts w:cs="Lucida Sans Unicode"/>
                <w:position w:val="0"/>
                <w:szCs w:val="20"/>
              </w:rPr>
            </w:pPr>
            <w:r>
              <w:t>-64</w:t>
            </w:r>
          </w:p>
        </w:tc>
        <w:tc>
          <w:tcPr>
            <w:tcW w:w="898" w:type="dxa"/>
            <w:noWrap/>
            <w:vAlign w:val="bottom"/>
          </w:tcPr>
          <w:p w:rsidR="00B9531F" w:rsidRDefault="00B9531F" w:rsidP="00B81FB5">
            <w:pPr>
              <w:ind w:left="0"/>
              <w:jc w:val="right"/>
              <w:rPr>
                <w:rFonts w:cs="Lucida Sans Unicode"/>
                <w:position w:val="0"/>
                <w:szCs w:val="20"/>
              </w:rPr>
            </w:pPr>
          </w:p>
        </w:tc>
        <w:tc>
          <w:tcPr>
            <w:tcW w:w="863" w:type="dxa"/>
            <w:shd w:val="clear" w:color="auto" w:fill="CCCCCC"/>
            <w:noWrap/>
            <w:vAlign w:val="bottom"/>
          </w:tcPr>
          <w:p w:rsidR="00B9531F" w:rsidRDefault="00B9531F" w:rsidP="00B81FB5">
            <w:pPr>
              <w:ind w:left="0"/>
              <w:jc w:val="right"/>
              <w:rPr>
                <w:rFonts w:cs="Lucida Sans Unicode"/>
                <w:position w:val="0"/>
                <w:szCs w:val="20"/>
              </w:rPr>
            </w:pPr>
            <w:r>
              <w:t>-354</w:t>
            </w:r>
          </w:p>
        </w:tc>
        <w:tc>
          <w:tcPr>
            <w:tcW w:w="862" w:type="dxa"/>
            <w:noWrap/>
            <w:vAlign w:val="bottom"/>
          </w:tcPr>
          <w:p w:rsidR="00B9531F" w:rsidRDefault="00B9531F" w:rsidP="00B81FB5">
            <w:pPr>
              <w:ind w:left="0"/>
              <w:jc w:val="right"/>
              <w:rPr>
                <w:rFonts w:cs="Lucida Sans Unicode"/>
                <w:position w:val="0"/>
                <w:szCs w:val="20"/>
              </w:rPr>
            </w:pPr>
            <w:r>
              <w:t>-196</w:t>
            </w:r>
          </w:p>
        </w:tc>
        <w:tc>
          <w:tcPr>
            <w:tcW w:w="898" w:type="dxa"/>
            <w:noWrap/>
            <w:vAlign w:val="bottom"/>
          </w:tcPr>
          <w:p w:rsidR="00B9531F" w:rsidRDefault="00B9531F" w:rsidP="00B81FB5">
            <w:pPr>
              <w:ind w:left="0"/>
              <w:jc w:val="right"/>
              <w:rPr>
                <w:rFonts w:cs="Lucida Sans Unicode"/>
                <w:position w:val="0"/>
                <w:szCs w:val="20"/>
              </w:rPr>
            </w:pPr>
          </w:p>
        </w:tc>
      </w:tr>
      <w:tr w:rsidR="00B9531F" w:rsidTr="00B81FB5">
        <w:trPr>
          <w:trHeight w:val="300"/>
        </w:trPr>
        <w:tc>
          <w:tcPr>
            <w:tcW w:w="4678" w:type="dxa"/>
            <w:noWrap/>
            <w:vAlign w:val="bottom"/>
          </w:tcPr>
          <w:p w:rsidR="00B9531F" w:rsidRPr="00E83E1D" w:rsidRDefault="00B9531F" w:rsidP="00B81FB5">
            <w:pPr>
              <w:ind w:left="0"/>
              <w:rPr>
                <w:rFonts w:cs="Lucida Sans Unicode"/>
                <w:bCs/>
                <w:szCs w:val="20"/>
              </w:rPr>
            </w:pPr>
            <w:r>
              <w:t>Income after taxes, continuing operations</w:t>
            </w:r>
          </w:p>
        </w:tc>
        <w:tc>
          <w:tcPr>
            <w:tcW w:w="863" w:type="dxa"/>
            <w:shd w:val="clear" w:color="auto" w:fill="CCCCCC"/>
            <w:noWrap/>
            <w:vAlign w:val="bottom"/>
          </w:tcPr>
          <w:p w:rsidR="00B9531F" w:rsidRPr="002B19DA" w:rsidRDefault="00B9531F" w:rsidP="00B81FB5">
            <w:pPr>
              <w:ind w:left="0"/>
              <w:jc w:val="right"/>
              <w:rPr>
                <w:rFonts w:cs="Lucida Sans Unicode"/>
                <w:bCs/>
                <w:position w:val="0"/>
                <w:szCs w:val="20"/>
              </w:rPr>
            </w:pPr>
            <w:r>
              <w:t>191</w:t>
            </w:r>
          </w:p>
        </w:tc>
        <w:tc>
          <w:tcPr>
            <w:tcW w:w="862" w:type="dxa"/>
            <w:noWrap/>
            <w:vAlign w:val="bottom"/>
          </w:tcPr>
          <w:p w:rsidR="00B9531F" w:rsidRPr="002B19DA" w:rsidRDefault="00B9531F" w:rsidP="00B81FB5">
            <w:pPr>
              <w:ind w:left="0"/>
              <w:jc w:val="right"/>
              <w:rPr>
                <w:rFonts w:cs="Lucida Sans Unicode"/>
                <w:bCs/>
                <w:position w:val="0"/>
                <w:szCs w:val="20"/>
              </w:rPr>
            </w:pPr>
            <w:r>
              <w:t>168</w:t>
            </w:r>
          </w:p>
        </w:tc>
        <w:tc>
          <w:tcPr>
            <w:tcW w:w="898" w:type="dxa"/>
            <w:noWrap/>
            <w:vAlign w:val="bottom"/>
          </w:tcPr>
          <w:p w:rsidR="00B9531F" w:rsidRPr="002B19DA" w:rsidRDefault="00B9531F" w:rsidP="00B81FB5">
            <w:pPr>
              <w:ind w:left="0"/>
              <w:jc w:val="right"/>
              <w:rPr>
                <w:rFonts w:cs="Lucida Sans Unicode"/>
                <w:bCs/>
                <w:position w:val="0"/>
                <w:szCs w:val="20"/>
              </w:rPr>
            </w:pPr>
            <w:r>
              <w:t>14</w:t>
            </w:r>
          </w:p>
        </w:tc>
        <w:tc>
          <w:tcPr>
            <w:tcW w:w="863" w:type="dxa"/>
            <w:shd w:val="clear" w:color="auto" w:fill="CCCCCC"/>
            <w:noWrap/>
            <w:vAlign w:val="bottom"/>
          </w:tcPr>
          <w:p w:rsidR="00B9531F" w:rsidRPr="002B19DA" w:rsidRDefault="00B9531F" w:rsidP="00B81FB5">
            <w:pPr>
              <w:ind w:left="0"/>
              <w:jc w:val="right"/>
              <w:rPr>
                <w:rFonts w:cs="Lucida Sans Unicode"/>
                <w:bCs/>
                <w:position w:val="0"/>
                <w:szCs w:val="20"/>
              </w:rPr>
            </w:pPr>
            <w:r>
              <w:t>884</w:t>
            </w:r>
          </w:p>
        </w:tc>
        <w:tc>
          <w:tcPr>
            <w:tcW w:w="862" w:type="dxa"/>
            <w:noWrap/>
            <w:vAlign w:val="bottom"/>
          </w:tcPr>
          <w:p w:rsidR="00B9531F" w:rsidRPr="002B19DA" w:rsidRDefault="00B9531F" w:rsidP="00B81FB5">
            <w:pPr>
              <w:ind w:left="0"/>
              <w:jc w:val="right"/>
              <w:rPr>
                <w:rFonts w:cs="Lucida Sans Unicode"/>
                <w:bCs/>
                <w:position w:val="0"/>
                <w:szCs w:val="20"/>
              </w:rPr>
            </w:pPr>
            <w:r>
              <w:t>437</w:t>
            </w:r>
          </w:p>
        </w:tc>
        <w:tc>
          <w:tcPr>
            <w:tcW w:w="898" w:type="dxa"/>
            <w:noWrap/>
            <w:vAlign w:val="bottom"/>
          </w:tcPr>
          <w:p w:rsidR="00B9531F" w:rsidRPr="002B19DA" w:rsidRDefault="00B9531F" w:rsidP="00B81FB5">
            <w:pPr>
              <w:ind w:left="0"/>
              <w:jc w:val="right"/>
              <w:rPr>
                <w:rFonts w:cs="Lucida Sans Unicode"/>
                <w:bCs/>
                <w:position w:val="0"/>
                <w:szCs w:val="20"/>
              </w:rPr>
            </w:pPr>
            <w:r>
              <w:t>102</w:t>
            </w:r>
          </w:p>
        </w:tc>
      </w:tr>
      <w:tr w:rsidR="00B9531F" w:rsidTr="00B81FB5">
        <w:trPr>
          <w:trHeight w:val="300"/>
        </w:trPr>
        <w:tc>
          <w:tcPr>
            <w:tcW w:w="4678" w:type="dxa"/>
            <w:noWrap/>
            <w:vAlign w:val="bottom"/>
          </w:tcPr>
          <w:p w:rsidR="00B9531F" w:rsidRDefault="00B9531F" w:rsidP="00B81FB5">
            <w:pPr>
              <w:ind w:left="0"/>
              <w:rPr>
                <w:rFonts w:cs="Lucida Sans Unicode"/>
                <w:position w:val="0"/>
                <w:szCs w:val="20"/>
              </w:rPr>
            </w:pPr>
            <w:r>
              <w:t>Income after taxes, discontinued operations</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w:t>
            </w:r>
          </w:p>
        </w:tc>
        <w:tc>
          <w:tcPr>
            <w:tcW w:w="862" w:type="dxa"/>
            <w:noWrap/>
            <w:vAlign w:val="bottom"/>
          </w:tcPr>
          <w:p w:rsidR="00B9531F" w:rsidRDefault="00B9531F" w:rsidP="00B81FB5">
            <w:pPr>
              <w:ind w:left="0"/>
              <w:jc w:val="right"/>
              <w:rPr>
                <w:rFonts w:cs="Lucida Sans Unicode"/>
                <w:position w:val="0"/>
                <w:szCs w:val="20"/>
              </w:rPr>
            </w:pPr>
            <w:r>
              <w:t>-54</w:t>
            </w:r>
          </w:p>
        </w:tc>
        <w:tc>
          <w:tcPr>
            <w:tcW w:w="898" w:type="dxa"/>
            <w:noWrap/>
            <w:vAlign w:val="bottom"/>
          </w:tcPr>
          <w:p w:rsidR="00B9531F" w:rsidRDefault="00B9531F" w:rsidP="00B81FB5">
            <w:pPr>
              <w:ind w:left="0"/>
              <w:rPr>
                <w:rFonts w:cs="Lucida Sans Unicode"/>
                <w:position w:val="0"/>
                <w:szCs w:val="20"/>
              </w:rPr>
            </w:pPr>
          </w:p>
        </w:tc>
        <w:tc>
          <w:tcPr>
            <w:tcW w:w="863" w:type="dxa"/>
            <w:shd w:val="clear" w:color="auto" w:fill="CCCCCC"/>
            <w:noWrap/>
            <w:vAlign w:val="bottom"/>
          </w:tcPr>
          <w:p w:rsidR="00B9531F" w:rsidRDefault="00B9531F" w:rsidP="00B81FB5">
            <w:pPr>
              <w:ind w:left="0"/>
              <w:jc w:val="right"/>
              <w:rPr>
                <w:rFonts w:cs="Lucida Sans Unicode"/>
                <w:position w:val="0"/>
                <w:szCs w:val="20"/>
              </w:rPr>
            </w:pPr>
            <w:r>
              <w:t>-15</w:t>
            </w:r>
          </w:p>
        </w:tc>
        <w:tc>
          <w:tcPr>
            <w:tcW w:w="862" w:type="dxa"/>
            <w:noWrap/>
            <w:vAlign w:val="bottom"/>
          </w:tcPr>
          <w:p w:rsidR="00B9531F" w:rsidRDefault="00B9531F" w:rsidP="00B81FB5">
            <w:pPr>
              <w:ind w:left="0"/>
              <w:jc w:val="right"/>
              <w:rPr>
                <w:rFonts w:cs="Lucida Sans Unicode"/>
                <w:position w:val="0"/>
                <w:szCs w:val="20"/>
              </w:rPr>
            </w:pPr>
            <w:r>
              <w:t>-11</w:t>
            </w:r>
          </w:p>
        </w:tc>
        <w:tc>
          <w:tcPr>
            <w:tcW w:w="898" w:type="dxa"/>
            <w:noWrap/>
            <w:vAlign w:val="bottom"/>
          </w:tcPr>
          <w:p w:rsidR="00B9531F" w:rsidRDefault="00B9531F" w:rsidP="00B81FB5">
            <w:pPr>
              <w:ind w:left="0"/>
              <w:rPr>
                <w:rFonts w:cs="Lucida Sans Unicode"/>
                <w:position w:val="0"/>
                <w:szCs w:val="20"/>
              </w:rPr>
            </w:pPr>
          </w:p>
        </w:tc>
      </w:tr>
      <w:tr w:rsidR="00B9531F" w:rsidTr="00B81FB5">
        <w:trPr>
          <w:trHeight w:val="300"/>
        </w:trPr>
        <w:tc>
          <w:tcPr>
            <w:tcW w:w="4678" w:type="dxa"/>
            <w:noWrap/>
            <w:vAlign w:val="bottom"/>
          </w:tcPr>
          <w:p w:rsidR="00B9531F" w:rsidRPr="00E83E1D" w:rsidRDefault="00B9531F" w:rsidP="00B81FB5">
            <w:pPr>
              <w:ind w:left="0"/>
              <w:rPr>
                <w:rFonts w:cs="Lucida Sans Unicode"/>
                <w:bCs/>
                <w:szCs w:val="20"/>
              </w:rPr>
            </w:pPr>
            <w:r>
              <w:t>Income after taxes</w:t>
            </w:r>
          </w:p>
        </w:tc>
        <w:tc>
          <w:tcPr>
            <w:tcW w:w="863" w:type="dxa"/>
            <w:shd w:val="clear" w:color="auto" w:fill="CCCCCC"/>
            <w:noWrap/>
            <w:vAlign w:val="bottom"/>
          </w:tcPr>
          <w:p w:rsidR="00B9531F" w:rsidRPr="002B19DA" w:rsidRDefault="00B9531F" w:rsidP="00B81FB5">
            <w:pPr>
              <w:ind w:left="0"/>
              <w:jc w:val="right"/>
              <w:rPr>
                <w:rFonts w:cs="Lucida Sans Unicode"/>
                <w:bCs/>
                <w:position w:val="0"/>
                <w:szCs w:val="20"/>
              </w:rPr>
            </w:pPr>
            <w:r>
              <w:t>191</w:t>
            </w:r>
          </w:p>
        </w:tc>
        <w:tc>
          <w:tcPr>
            <w:tcW w:w="862" w:type="dxa"/>
            <w:noWrap/>
            <w:vAlign w:val="bottom"/>
          </w:tcPr>
          <w:p w:rsidR="00B9531F" w:rsidRPr="002B19DA" w:rsidRDefault="00B9531F" w:rsidP="00B81FB5">
            <w:pPr>
              <w:ind w:left="0"/>
              <w:jc w:val="right"/>
              <w:rPr>
                <w:rFonts w:cs="Lucida Sans Unicode"/>
                <w:bCs/>
                <w:position w:val="0"/>
                <w:szCs w:val="20"/>
              </w:rPr>
            </w:pPr>
            <w:r>
              <w:t>114</w:t>
            </w:r>
          </w:p>
        </w:tc>
        <w:tc>
          <w:tcPr>
            <w:tcW w:w="898" w:type="dxa"/>
            <w:noWrap/>
            <w:vAlign w:val="bottom"/>
          </w:tcPr>
          <w:p w:rsidR="00B9531F" w:rsidRPr="002B19DA" w:rsidRDefault="00B9531F" w:rsidP="00B81FB5">
            <w:pPr>
              <w:ind w:left="0"/>
              <w:jc w:val="right"/>
              <w:rPr>
                <w:rFonts w:cs="Lucida Sans Unicode"/>
                <w:bCs/>
                <w:position w:val="0"/>
                <w:szCs w:val="20"/>
              </w:rPr>
            </w:pPr>
            <w:r>
              <w:t>68</w:t>
            </w:r>
          </w:p>
        </w:tc>
        <w:tc>
          <w:tcPr>
            <w:tcW w:w="863" w:type="dxa"/>
            <w:shd w:val="clear" w:color="auto" w:fill="CCCCCC"/>
            <w:noWrap/>
            <w:vAlign w:val="bottom"/>
          </w:tcPr>
          <w:p w:rsidR="00B9531F" w:rsidRPr="002B19DA" w:rsidRDefault="00B9531F" w:rsidP="00B81FB5">
            <w:pPr>
              <w:ind w:left="0"/>
              <w:jc w:val="right"/>
              <w:rPr>
                <w:rFonts w:cs="Lucida Sans Unicode"/>
                <w:position w:val="0"/>
                <w:szCs w:val="20"/>
              </w:rPr>
            </w:pPr>
            <w:r>
              <w:t>869</w:t>
            </w:r>
          </w:p>
        </w:tc>
        <w:tc>
          <w:tcPr>
            <w:tcW w:w="862" w:type="dxa"/>
            <w:noWrap/>
            <w:vAlign w:val="bottom"/>
          </w:tcPr>
          <w:p w:rsidR="00B9531F" w:rsidRPr="002B19DA" w:rsidRDefault="00B9531F" w:rsidP="00B81FB5">
            <w:pPr>
              <w:ind w:left="0"/>
              <w:jc w:val="right"/>
              <w:rPr>
                <w:rFonts w:cs="Lucida Sans Unicode"/>
                <w:position w:val="0"/>
                <w:szCs w:val="20"/>
              </w:rPr>
            </w:pPr>
            <w:r>
              <w:t>426</w:t>
            </w:r>
          </w:p>
        </w:tc>
        <w:tc>
          <w:tcPr>
            <w:tcW w:w="898" w:type="dxa"/>
            <w:noWrap/>
            <w:vAlign w:val="bottom"/>
          </w:tcPr>
          <w:p w:rsidR="00B9531F" w:rsidRPr="002B19DA" w:rsidRDefault="00B9531F" w:rsidP="00B81FB5">
            <w:pPr>
              <w:ind w:left="0"/>
              <w:jc w:val="right"/>
              <w:rPr>
                <w:rFonts w:cs="Lucida Sans Unicode"/>
                <w:position w:val="0"/>
                <w:szCs w:val="20"/>
              </w:rPr>
            </w:pPr>
            <w:r>
              <w:t>104</w:t>
            </w:r>
          </w:p>
        </w:tc>
      </w:tr>
      <w:tr w:rsidR="00B9531F" w:rsidTr="00B81FB5">
        <w:trPr>
          <w:trHeight w:val="255"/>
        </w:trPr>
        <w:tc>
          <w:tcPr>
            <w:tcW w:w="4678" w:type="dxa"/>
            <w:noWrap/>
            <w:vAlign w:val="bottom"/>
          </w:tcPr>
          <w:p w:rsidR="00B9531F" w:rsidRDefault="00B9531F" w:rsidP="00B81FB5">
            <w:pPr>
              <w:ind w:left="0"/>
              <w:rPr>
                <w:rFonts w:cs="Lucida Sans Unicode"/>
                <w:position w:val="0"/>
                <w:szCs w:val="20"/>
              </w:rPr>
            </w:pPr>
            <w:r>
              <w:t>thereof attributable to non-controlling interests</w:t>
            </w:r>
          </w:p>
        </w:tc>
        <w:tc>
          <w:tcPr>
            <w:tcW w:w="863" w:type="dxa"/>
            <w:shd w:val="clear" w:color="auto" w:fill="CCCCCC"/>
            <w:noWrap/>
            <w:vAlign w:val="bottom"/>
          </w:tcPr>
          <w:p w:rsidR="00B9531F" w:rsidRDefault="00B9531F" w:rsidP="00B81FB5">
            <w:pPr>
              <w:ind w:left="0"/>
              <w:jc w:val="right"/>
              <w:rPr>
                <w:rFonts w:cs="Lucida Sans Unicode"/>
                <w:position w:val="0"/>
                <w:szCs w:val="20"/>
              </w:rPr>
            </w:pPr>
            <w:r>
              <w:t>3</w:t>
            </w:r>
          </w:p>
        </w:tc>
        <w:tc>
          <w:tcPr>
            <w:tcW w:w="862" w:type="dxa"/>
            <w:noWrap/>
            <w:vAlign w:val="bottom"/>
          </w:tcPr>
          <w:p w:rsidR="00B9531F" w:rsidRDefault="00B9531F" w:rsidP="00B81FB5">
            <w:pPr>
              <w:ind w:left="0"/>
              <w:jc w:val="right"/>
              <w:rPr>
                <w:rFonts w:cs="Lucida Sans Unicode"/>
                <w:position w:val="0"/>
                <w:szCs w:val="20"/>
              </w:rPr>
            </w:pPr>
            <w:r>
              <w:t>3</w:t>
            </w:r>
          </w:p>
        </w:tc>
        <w:tc>
          <w:tcPr>
            <w:tcW w:w="898" w:type="dxa"/>
            <w:noWrap/>
            <w:vAlign w:val="bottom"/>
          </w:tcPr>
          <w:p w:rsidR="00B9531F" w:rsidRDefault="00B9531F" w:rsidP="00B81FB5">
            <w:pPr>
              <w:ind w:left="0"/>
              <w:rPr>
                <w:rFonts w:cs="Lucida Sans Unicode"/>
                <w:position w:val="0"/>
                <w:szCs w:val="20"/>
              </w:rPr>
            </w:pPr>
          </w:p>
        </w:tc>
        <w:tc>
          <w:tcPr>
            <w:tcW w:w="863" w:type="dxa"/>
            <w:shd w:val="clear" w:color="auto" w:fill="CCCCCC"/>
            <w:noWrap/>
            <w:vAlign w:val="bottom"/>
          </w:tcPr>
          <w:p w:rsidR="00B9531F" w:rsidRDefault="00B9531F" w:rsidP="00B81FB5">
            <w:pPr>
              <w:ind w:left="0"/>
              <w:jc w:val="right"/>
              <w:rPr>
                <w:rFonts w:cs="Lucida Sans Unicode"/>
                <w:bCs/>
                <w:position w:val="0"/>
                <w:szCs w:val="20"/>
              </w:rPr>
            </w:pPr>
            <w:r>
              <w:t>7</w:t>
            </w:r>
          </w:p>
        </w:tc>
        <w:tc>
          <w:tcPr>
            <w:tcW w:w="862" w:type="dxa"/>
            <w:noWrap/>
            <w:vAlign w:val="bottom"/>
          </w:tcPr>
          <w:p w:rsidR="00B9531F" w:rsidRDefault="00B9531F" w:rsidP="00B81FB5">
            <w:pPr>
              <w:ind w:left="0"/>
              <w:jc w:val="right"/>
              <w:rPr>
                <w:rFonts w:cs="Lucida Sans Unicode"/>
                <w:bCs/>
                <w:position w:val="0"/>
                <w:szCs w:val="20"/>
              </w:rPr>
            </w:pPr>
            <w:r>
              <w:t>10</w:t>
            </w:r>
          </w:p>
        </w:tc>
        <w:tc>
          <w:tcPr>
            <w:tcW w:w="898" w:type="dxa"/>
            <w:noWrap/>
            <w:vAlign w:val="bottom"/>
          </w:tcPr>
          <w:p w:rsidR="00B9531F" w:rsidRDefault="00B9531F" w:rsidP="00B81FB5">
            <w:pPr>
              <w:ind w:left="0"/>
              <w:jc w:val="right"/>
              <w:rPr>
                <w:rFonts w:cs="Lucida Sans Unicode"/>
                <w:b/>
                <w:bCs/>
                <w:position w:val="0"/>
                <w:szCs w:val="20"/>
              </w:rPr>
            </w:pPr>
          </w:p>
        </w:tc>
      </w:tr>
      <w:tr w:rsidR="00B9531F" w:rsidRPr="00DA2E4E" w:rsidTr="00B81FB5">
        <w:trPr>
          <w:trHeight w:val="255"/>
        </w:trPr>
        <w:tc>
          <w:tcPr>
            <w:tcW w:w="4678" w:type="dxa"/>
            <w:noWrap/>
            <w:vAlign w:val="bottom"/>
          </w:tcPr>
          <w:p w:rsidR="00B9531F" w:rsidRPr="00DA2E4E" w:rsidRDefault="00B9531F" w:rsidP="00B81FB5">
            <w:pPr>
              <w:ind w:left="0"/>
              <w:rPr>
                <w:rFonts w:cs="Lucida Sans Unicode"/>
                <w:b/>
                <w:position w:val="0"/>
                <w:szCs w:val="20"/>
              </w:rPr>
            </w:pPr>
            <w:r>
              <w:rPr>
                <w:b/>
                <w:position w:val="0"/>
              </w:rPr>
              <w:t>Net income</w:t>
            </w:r>
          </w:p>
        </w:tc>
        <w:tc>
          <w:tcPr>
            <w:tcW w:w="863" w:type="dxa"/>
            <w:shd w:val="clear" w:color="auto" w:fill="CCCCCC"/>
            <w:noWrap/>
            <w:vAlign w:val="bottom"/>
          </w:tcPr>
          <w:p w:rsidR="00B9531F" w:rsidRPr="00F73E17" w:rsidRDefault="00B9531F" w:rsidP="00B81FB5">
            <w:pPr>
              <w:ind w:left="0"/>
              <w:jc w:val="right"/>
              <w:rPr>
                <w:rFonts w:cs="Lucida Sans Unicode"/>
                <w:bCs/>
                <w:position w:val="0"/>
                <w:szCs w:val="20"/>
              </w:rPr>
            </w:pPr>
            <w:r>
              <w:t>188</w:t>
            </w:r>
          </w:p>
        </w:tc>
        <w:tc>
          <w:tcPr>
            <w:tcW w:w="862" w:type="dxa"/>
            <w:noWrap/>
            <w:vAlign w:val="bottom"/>
          </w:tcPr>
          <w:p w:rsidR="00B9531F" w:rsidRPr="00F73E17" w:rsidRDefault="00B9531F" w:rsidP="00B81FB5">
            <w:pPr>
              <w:ind w:left="0"/>
              <w:jc w:val="right"/>
              <w:rPr>
                <w:rFonts w:cs="Lucida Sans Unicode"/>
                <w:bCs/>
                <w:position w:val="0"/>
                <w:szCs w:val="20"/>
              </w:rPr>
            </w:pPr>
            <w:r>
              <w:t>111</w:t>
            </w:r>
          </w:p>
        </w:tc>
        <w:tc>
          <w:tcPr>
            <w:tcW w:w="898" w:type="dxa"/>
            <w:noWrap/>
            <w:vAlign w:val="bottom"/>
          </w:tcPr>
          <w:p w:rsidR="00B9531F" w:rsidRPr="00F73E17" w:rsidRDefault="00B9531F" w:rsidP="00B81FB5">
            <w:pPr>
              <w:ind w:left="0"/>
              <w:jc w:val="right"/>
              <w:rPr>
                <w:rFonts w:cs="Lucida Sans Unicode"/>
                <w:bCs/>
                <w:position w:val="0"/>
                <w:szCs w:val="20"/>
              </w:rPr>
            </w:pPr>
            <w:r>
              <w:t>69</w:t>
            </w:r>
          </w:p>
        </w:tc>
        <w:tc>
          <w:tcPr>
            <w:tcW w:w="863" w:type="dxa"/>
            <w:shd w:val="clear" w:color="auto" w:fill="CCCCCC"/>
            <w:noWrap/>
            <w:vAlign w:val="bottom"/>
          </w:tcPr>
          <w:p w:rsidR="00B9531F" w:rsidRPr="00F73E17" w:rsidRDefault="00B9531F" w:rsidP="00B81FB5">
            <w:pPr>
              <w:ind w:left="0"/>
              <w:jc w:val="right"/>
              <w:rPr>
                <w:rFonts w:cs="Lucida Sans Unicode"/>
                <w:bCs/>
                <w:position w:val="0"/>
                <w:szCs w:val="20"/>
              </w:rPr>
            </w:pPr>
            <w:r>
              <w:t>862</w:t>
            </w:r>
          </w:p>
        </w:tc>
        <w:tc>
          <w:tcPr>
            <w:tcW w:w="862" w:type="dxa"/>
            <w:noWrap/>
            <w:vAlign w:val="bottom"/>
          </w:tcPr>
          <w:p w:rsidR="00B9531F" w:rsidRPr="00F73E17" w:rsidRDefault="00B9531F" w:rsidP="00B81FB5">
            <w:pPr>
              <w:ind w:left="0"/>
              <w:jc w:val="right"/>
              <w:rPr>
                <w:rFonts w:cs="Lucida Sans Unicode"/>
                <w:bCs/>
                <w:position w:val="0"/>
                <w:szCs w:val="20"/>
              </w:rPr>
            </w:pPr>
            <w:r>
              <w:t>416</w:t>
            </w:r>
          </w:p>
        </w:tc>
        <w:tc>
          <w:tcPr>
            <w:tcW w:w="898" w:type="dxa"/>
            <w:noWrap/>
            <w:vAlign w:val="bottom"/>
          </w:tcPr>
          <w:p w:rsidR="00B9531F" w:rsidRPr="00F73E17" w:rsidRDefault="00B9531F" w:rsidP="00B81FB5">
            <w:pPr>
              <w:ind w:left="0"/>
              <w:jc w:val="right"/>
              <w:rPr>
                <w:rFonts w:cs="Lucida Sans Unicode"/>
                <w:bCs/>
                <w:position w:val="0"/>
                <w:szCs w:val="20"/>
              </w:rPr>
            </w:pPr>
            <w:r>
              <w:t>107</w:t>
            </w:r>
          </w:p>
        </w:tc>
      </w:tr>
      <w:tr w:rsidR="00B9531F" w:rsidRPr="00DA2E4E" w:rsidTr="00B81FB5">
        <w:trPr>
          <w:trHeight w:val="255"/>
        </w:trPr>
        <w:tc>
          <w:tcPr>
            <w:tcW w:w="4678" w:type="dxa"/>
            <w:noWrap/>
            <w:vAlign w:val="bottom"/>
          </w:tcPr>
          <w:p w:rsidR="00B9531F" w:rsidRPr="00DA2E4E" w:rsidRDefault="00B9531F" w:rsidP="00B81FB5">
            <w:pPr>
              <w:ind w:left="0"/>
              <w:rPr>
                <w:rFonts w:cs="Lucida Sans Unicode"/>
                <w:b/>
                <w:position w:val="0"/>
                <w:szCs w:val="20"/>
              </w:rPr>
            </w:pPr>
            <w:r>
              <w:rPr>
                <w:b/>
                <w:position w:val="0"/>
              </w:rPr>
              <w:t>Adjusted net income</w:t>
            </w:r>
          </w:p>
        </w:tc>
        <w:tc>
          <w:tcPr>
            <w:tcW w:w="863" w:type="dxa"/>
            <w:shd w:val="clear" w:color="auto" w:fill="CCCCCC"/>
            <w:noWrap/>
            <w:vAlign w:val="bottom"/>
          </w:tcPr>
          <w:p w:rsidR="00B9531F" w:rsidRPr="00DA2E4E" w:rsidRDefault="00B9531F" w:rsidP="00B81FB5">
            <w:pPr>
              <w:ind w:left="0"/>
              <w:jc w:val="right"/>
              <w:rPr>
                <w:rFonts w:cs="Lucida Sans Unicode"/>
                <w:b/>
                <w:bCs/>
                <w:position w:val="0"/>
                <w:szCs w:val="20"/>
              </w:rPr>
            </w:pPr>
            <w:r>
              <w:rPr>
                <w:b/>
                <w:position w:val="0"/>
              </w:rPr>
              <w:t>296</w:t>
            </w:r>
          </w:p>
        </w:tc>
        <w:tc>
          <w:tcPr>
            <w:tcW w:w="862" w:type="dxa"/>
            <w:noWrap/>
            <w:vAlign w:val="bottom"/>
          </w:tcPr>
          <w:p w:rsidR="00B9531F" w:rsidRPr="00DA2E4E" w:rsidRDefault="00B9531F" w:rsidP="00B81FB5">
            <w:pPr>
              <w:ind w:left="0"/>
              <w:jc w:val="right"/>
              <w:rPr>
                <w:rFonts w:cs="Lucida Sans Unicode"/>
                <w:b/>
                <w:bCs/>
                <w:position w:val="0"/>
                <w:szCs w:val="20"/>
              </w:rPr>
            </w:pPr>
            <w:r>
              <w:rPr>
                <w:b/>
                <w:position w:val="0"/>
              </w:rPr>
              <w:t>217</w:t>
            </w:r>
          </w:p>
        </w:tc>
        <w:tc>
          <w:tcPr>
            <w:tcW w:w="898" w:type="dxa"/>
            <w:noWrap/>
            <w:vAlign w:val="bottom"/>
          </w:tcPr>
          <w:p w:rsidR="00B9531F" w:rsidRPr="00DA2E4E" w:rsidRDefault="00B9531F" w:rsidP="00B81FB5">
            <w:pPr>
              <w:ind w:left="0"/>
              <w:jc w:val="right"/>
              <w:rPr>
                <w:rFonts w:cs="Lucida Sans Unicode"/>
                <w:b/>
                <w:bCs/>
                <w:position w:val="0"/>
                <w:szCs w:val="20"/>
              </w:rPr>
            </w:pPr>
            <w:r>
              <w:rPr>
                <w:b/>
                <w:position w:val="0"/>
              </w:rPr>
              <w:t>36</w:t>
            </w:r>
          </w:p>
        </w:tc>
        <w:tc>
          <w:tcPr>
            <w:tcW w:w="863" w:type="dxa"/>
            <w:shd w:val="clear" w:color="auto" w:fill="CCCCCC"/>
            <w:noWrap/>
            <w:vAlign w:val="bottom"/>
          </w:tcPr>
          <w:p w:rsidR="00B9531F" w:rsidRPr="00DA2E4E" w:rsidRDefault="00B9531F" w:rsidP="00B81FB5">
            <w:pPr>
              <w:ind w:left="0"/>
              <w:jc w:val="right"/>
              <w:rPr>
                <w:rFonts w:cs="Lucida Sans Unicode"/>
                <w:b/>
                <w:bCs/>
                <w:position w:val="0"/>
                <w:szCs w:val="20"/>
              </w:rPr>
            </w:pPr>
            <w:r>
              <w:rPr>
                <w:b/>
                <w:position w:val="0"/>
              </w:rPr>
              <w:t>923</w:t>
            </w:r>
          </w:p>
        </w:tc>
        <w:tc>
          <w:tcPr>
            <w:tcW w:w="862" w:type="dxa"/>
            <w:noWrap/>
            <w:vAlign w:val="bottom"/>
          </w:tcPr>
          <w:p w:rsidR="00B9531F" w:rsidRPr="00DA2E4E" w:rsidRDefault="00B9531F" w:rsidP="00B81FB5">
            <w:pPr>
              <w:ind w:left="0"/>
              <w:jc w:val="right"/>
              <w:rPr>
                <w:rFonts w:cs="Lucida Sans Unicode"/>
                <w:b/>
                <w:bCs/>
                <w:position w:val="0"/>
                <w:szCs w:val="20"/>
              </w:rPr>
            </w:pPr>
            <w:r>
              <w:rPr>
                <w:b/>
                <w:position w:val="0"/>
              </w:rPr>
              <w:t>593</w:t>
            </w:r>
          </w:p>
        </w:tc>
        <w:tc>
          <w:tcPr>
            <w:tcW w:w="898" w:type="dxa"/>
            <w:noWrap/>
            <w:vAlign w:val="bottom"/>
          </w:tcPr>
          <w:p w:rsidR="00B9531F" w:rsidRPr="00DA2E4E" w:rsidRDefault="00B9531F" w:rsidP="00B81FB5">
            <w:pPr>
              <w:ind w:left="0"/>
              <w:jc w:val="right"/>
              <w:rPr>
                <w:rFonts w:cs="Lucida Sans Unicode"/>
                <w:b/>
                <w:bCs/>
                <w:position w:val="0"/>
                <w:szCs w:val="20"/>
              </w:rPr>
            </w:pPr>
            <w:r>
              <w:rPr>
                <w:b/>
                <w:position w:val="0"/>
              </w:rPr>
              <w:t>56</w:t>
            </w:r>
          </w:p>
        </w:tc>
      </w:tr>
    </w:tbl>
    <w:p w:rsidR="00B9531F" w:rsidRPr="009511D1" w:rsidRDefault="00B9531F" w:rsidP="00B9531F">
      <w:pPr>
        <w:spacing w:line="240" w:lineRule="auto"/>
        <w:ind w:left="0" w:right="0"/>
        <w:rPr>
          <w:bCs/>
          <w:sz w:val="16"/>
          <w:szCs w:val="16"/>
        </w:rPr>
      </w:pPr>
      <w:r>
        <w:rPr>
          <w:sz w:val="16"/>
        </w:rPr>
        <w:t>Prior-year figures restated</w:t>
      </w:r>
    </w:p>
    <w:p w:rsidR="00B9531F" w:rsidRDefault="00B9531F" w:rsidP="00B9531F">
      <w:pPr>
        <w:spacing w:line="300" w:lineRule="exact"/>
        <w:ind w:left="0"/>
        <w:outlineLvl w:val="0"/>
        <w:rPr>
          <w:rFonts w:cs="Lucida Sans Unicode"/>
          <w:b/>
          <w:bCs/>
          <w:sz w:val="20"/>
          <w:szCs w:val="20"/>
        </w:rPr>
      </w:pPr>
    </w:p>
    <w:p w:rsidR="00B9531F" w:rsidRDefault="00B9531F" w:rsidP="00B9531F">
      <w:pPr>
        <w:spacing w:after="120" w:line="300" w:lineRule="atLeast"/>
        <w:ind w:left="0"/>
        <w:rPr>
          <w:rFonts w:cs="Lucida Sans Unicode"/>
          <w:b/>
          <w:bCs/>
          <w:sz w:val="20"/>
          <w:szCs w:val="20"/>
        </w:rPr>
      </w:pPr>
      <w:r>
        <w:rPr>
          <w:b/>
          <w:sz w:val="20"/>
        </w:rPr>
        <w:t>Segment performance</w:t>
      </w:r>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B9531F" w:rsidTr="00B81FB5">
        <w:trPr>
          <w:trHeight w:val="271"/>
        </w:trPr>
        <w:tc>
          <w:tcPr>
            <w:tcW w:w="3193" w:type="dxa"/>
            <w:tcBorders>
              <w:top w:val="single" w:sz="4" w:space="0" w:color="auto"/>
              <w:left w:val="single" w:sz="4" w:space="0" w:color="auto"/>
              <w:bottom w:val="nil"/>
              <w:right w:val="single" w:sz="4" w:space="0" w:color="auto"/>
            </w:tcBorders>
            <w:noWrap/>
            <w:vAlign w:val="center"/>
          </w:tcPr>
          <w:p w:rsidR="00B9531F" w:rsidRDefault="00B9531F" w:rsidP="00B81FB5">
            <w:pPr>
              <w:ind w:left="0"/>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000000"/>
            </w:tcBorders>
            <w:noWrap/>
            <w:vAlign w:val="bottom"/>
          </w:tcPr>
          <w:p w:rsidR="00B9531F" w:rsidRDefault="00B9531F" w:rsidP="00B81FB5">
            <w:pPr>
              <w:ind w:left="0"/>
              <w:jc w:val="center"/>
              <w:rPr>
                <w:rFonts w:cs="Lucida Sans Unicode"/>
                <w:b/>
                <w:bCs/>
                <w:szCs w:val="20"/>
              </w:rPr>
            </w:pPr>
            <w:r>
              <w:rPr>
                <w:b/>
              </w:rPr>
              <w:t xml:space="preserve">Sales Q3 </w:t>
            </w:r>
          </w:p>
        </w:tc>
        <w:tc>
          <w:tcPr>
            <w:tcW w:w="3316" w:type="dxa"/>
            <w:gridSpan w:val="4"/>
            <w:tcBorders>
              <w:top w:val="single" w:sz="4" w:space="0" w:color="auto"/>
              <w:left w:val="nil"/>
              <w:bottom w:val="single" w:sz="4" w:space="0" w:color="auto"/>
              <w:right w:val="single" w:sz="4" w:space="0" w:color="auto"/>
            </w:tcBorders>
            <w:noWrap/>
            <w:vAlign w:val="bottom"/>
          </w:tcPr>
          <w:p w:rsidR="00B9531F" w:rsidRDefault="00B9531F" w:rsidP="00B81FB5">
            <w:pPr>
              <w:ind w:left="0"/>
              <w:jc w:val="center"/>
              <w:rPr>
                <w:rFonts w:cs="Lucida Sans Unicode"/>
                <w:b/>
                <w:bCs/>
                <w:szCs w:val="20"/>
              </w:rPr>
            </w:pPr>
            <w:r>
              <w:rPr>
                <w:b/>
              </w:rPr>
              <w:t>Adjusted EBITDA Q3</w:t>
            </w:r>
          </w:p>
        </w:tc>
      </w:tr>
      <w:tr w:rsidR="00B9531F" w:rsidTr="00B81FB5">
        <w:trPr>
          <w:trHeight w:val="255"/>
        </w:trPr>
        <w:tc>
          <w:tcPr>
            <w:tcW w:w="3193" w:type="dxa"/>
            <w:tcBorders>
              <w:top w:val="nil"/>
              <w:left w:val="single" w:sz="4" w:space="0" w:color="auto"/>
              <w:bottom w:val="nil"/>
              <w:right w:val="single" w:sz="4" w:space="0" w:color="auto"/>
            </w:tcBorders>
            <w:noWrap/>
            <w:vAlign w:val="center"/>
          </w:tcPr>
          <w:p w:rsidR="00B9531F" w:rsidRDefault="00B9531F" w:rsidP="00B81FB5">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B9531F" w:rsidRDefault="00B9531F" w:rsidP="00B81FB5">
            <w:pPr>
              <w:ind w:left="0"/>
              <w:jc w:val="center"/>
              <w:rPr>
                <w:rFonts w:cs="Lucida Sans Unicode"/>
                <w:b/>
                <w:bCs/>
                <w:szCs w:val="20"/>
              </w:rPr>
            </w:pPr>
            <w:r>
              <w:rPr>
                <w:b/>
              </w:rPr>
              <w:t>2015</w:t>
            </w:r>
          </w:p>
        </w:tc>
        <w:tc>
          <w:tcPr>
            <w:tcW w:w="1125"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szCs w:val="20"/>
              </w:rPr>
            </w:pPr>
            <w:r>
              <w:rPr>
                <w:b/>
              </w:rPr>
              <w:t>2014</w:t>
            </w:r>
          </w:p>
        </w:tc>
        <w:tc>
          <w:tcPr>
            <w:tcW w:w="1125"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B9531F" w:rsidRDefault="00B9531F" w:rsidP="00B81FB5">
            <w:pPr>
              <w:ind w:left="0"/>
              <w:jc w:val="center"/>
              <w:rPr>
                <w:rFonts w:cs="Lucida Sans Unicode"/>
                <w:b/>
                <w:bCs/>
                <w:szCs w:val="20"/>
              </w:rPr>
            </w:pPr>
            <w:r>
              <w:rPr>
                <w:b/>
              </w:rPr>
              <w:t>2015</w:t>
            </w:r>
          </w:p>
        </w:tc>
        <w:tc>
          <w:tcPr>
            <w:tcW w:w="1125" w:type="dxa"/>
            <w:gridSpan w:val="2"/>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szCs w:val="20"/>
              </w:rPr>
            </w:pPr>
            <w:r>
              <w:rPr>
                <w:b/>
              </w:rPr>
              <w:t>2014</w:t>
            </w:r>
          </w:p>
        </w:tc>
        <w:tc>
          <w:tcPr>
            <w:tcW w:w="1077"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szCs w:val="20"/>
              </w:rPr>
            </w:pPr>
            <w:r>
              <w:rPr>
                <w:b/>
              </w:rPr>
              <w:t>Change</w:t>
            </w:r>
          </w:p>
        </w:tc>
      </w:tr>
      <w:tr w:rsidR="00B9531F" w:rsidTr="00B81FB5">
        <w:trPr>
          <w:trHeight w:val="255"/>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B9531F" w:rsidRDefault="00B9531F" w:rsidP="00B81FB5">
            <w:pPr>
              <w:ind w:left="0"/>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szCs w:val="20"/>
              </w:rPr>
            </w:pPr>
            <w:r>
              <w:rPr>
                <w:b/>
              </w:rPr>
              <w:t>€ million</w:t>
            </w:r>
          </w:p>
        </w:tc>
        <w:tc>
          <w:tcPr>
            <w:tcW w:w="1125"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B9531F" w:rsidRDefault="00B9531F" w:rsidP="00B81FB5">
            <w:pPr>
              <w:ind w:left="0"/>
              <w:jc w:val="center"/>
              <w:rPr>
                <w:rFonts w:cs="Lucida Sans Unicode"/>
                <w:b/>
                <w:bCs/>
                <w:szCs w:val="20"/>
              </w:rPr>
            </w:pPr>
            <w:r>
              <w:rPr>
                <w:b/>
              </w:rPr>
              <w:t>€ million</w:t>
            </w:r>
          </w:p>
        </w:tc>
        <w:tc>
          <w:tcPr>
            <w:tcW w:w="1125" w:type="dxa"/>
            <w:gridSpan w:val="2"/>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szCs w:val="20"/>
              </w:rPr>
            </w:pPr>
            <w:r>
              <w:rPr>
                <w:b/>
              </w:rPr>
              <w:t>€ million</w:t>
            </w:r>
          </w:p>
        </w:tc>
        <w:tc>
          <w:tcPr>
            <w:tcW w:w="1077"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szCs w:val="20"/>
              </w:rPr>
            </w:pPr>
            <w:r>
              <w:rPr>
                <w:b/>
              </w:rPr>
              <w:t>in %</w:t>
            </w:r>
          </w:p>
        </w:tc>
      </w:tr>
      <w:tr w:rsidR="00B9531F" w:rsidTr="00B81FB5">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1,240</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1,016</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22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382</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206</w:t>
            </w:r>
          </w:p>
        </w:tc>
        <w:tc>
          <w:tcPr>
            <w:tcW w:w="1077"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85</w:t>
            </w:r>
          </w:p>
        </w:tc>
      </w:tr>
      <w:tr w:rsidR="00B9531F" w:rsidTr="00B81FB5">
        <w:trPr>
          <w:trHeight w:val="300"/>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1,044</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1,027</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216</w:t>
            </w:r>
          </w:p>
        </w:tc>
        <w:tc>
          <w:tcPr>
            <w:tcW w:w="1125" w:type="dxa"/>
            <w:gridSpan w:val="2"/>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214</w:t>
            </w:r>
          </w:p>
        </w:tc>
        <w:tc>
          <w:tcPr>
            <w:tcW w:w="1077"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1</w:t>
            </w:r>
          </w:p>
        </w:tc>
      </w:tr>
      <w:tr w:rsidR="00B9531F" w:rsidTr="00B81FB5">
        <w:trPr>
          <w:trHeight w:val="300"/>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858</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966</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-11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94</w:t>
            </w:r>
          </w:p>
        </w:tc>
        <w:tc>
          <w:tcPr>
            <w:tcW w:w="1125" w:type="dxa"/>
            <w:gridSpan w:val="2"/>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90</w:t>
            </w:r>
          </w:p>
        </w:tc>
        <w:tc>
          <w:tcPr>
            <w:tcW w:w="1077"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4</w:t>
            </w:r>
          </w:p>
        </w:tc>
      </w:tr>
      <w:tr w:rsidR="00B9531F" w:rsidTr="00B81FB5">
        <w:trPr>
          <w:trHeight w:val="300"/>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207</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217</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46</w:t>
            </w:r>
          </w:p>
        </w:tc>
        <w:tc>
          <w:tcPr>
            <w:tcW w:w="1125" w:type="dxa"/>
            <w:gridSpan w:val="2"/>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47</w:t>
            </w:r>
          </w:p>
        </w:tc>
        <w:tc>
          <w:tcPr>
            <w:tcW w:w="1077"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-2</w:t>
            </w:r>
          </w:p>
        </w:tc>
      </w:tr>
      <w:tr w:rsidR="00B9531F" w:rsidTr="00B81FB5">
        <w:trPr>
          <w:trHeight w:val="300"/>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Pr="00A03972" w:rsidRDefault="00B9531F" w:rsidP="00B81FB5">
            <w:pPr>
              <w:ind w:left="0"/>
              <w:jc w:val="right"/>
              <w:rPr>
                <w:rFonts w:cs="Lucida Sans Unicode"/>
                <w:position w:val="0"/>
                <w:szCs w:val="20"/>
              </w:rPr>
            </w:pPr>
            <w:r>
              <w:t>16</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17</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-85</w:t>
            </w:r>
          </w:p>
        </w:tc>
        <w:tc>
          <w:tcPr>
            <w:tcW w:w="1125" w:type="dxa"/>
            <w:gridSpan w:val="2"/>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-57</w:t>
            </w:r>
          </w:p>
        </w:tc>
        <w:tc>
          <w:tcPr>
            <w:tcW w:w="1077"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p>
        </w:tc>
      </w:tr>
      <w:tr w:rsidR="00B9531F" w:rsidRPr="00DA2E4E" w:rsidTr="00B81FB5">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Pr="00DA2E4E" w:rsidRDefault="00B9531F" w:rsidP="00B81FB5">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Pr="00AB1DB9" w:rsidRDefault="00B9531F" w:rsidP="00B81FB5">
            <w:pPr>
              <w:ind w:left="0"/>
              <w:jc w:val="right"/>
              <w:rPr>
                <w:rFonts w:cs="Lucida Sans Unicode"/>
                <w:bCs/>
                <w:position w:val="0"/>
                <w:szCs w:val="20"/>
              </w:rPr>
            </w:pPr>
            <w:r>
              <w:t>3,365</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Pr="00AB1DB9" w:rsidRDefault="00B9531F" w:rsidP="00B81FB5">
            <w:pPr>
              <w:ind w:left="0"/>
              <w:jc w:val="right"/>
              <w:rPr>
                <w:rFonts w:cs="Lucida Sans Unicode"/>
                <w:bCs/>
                <w:position w:val="0"/>
                <w:szCs w:val="20"/>
              </w:rPr>
            </w:pPr>
            <w:r>
              <w:t>3,243</w:t>
            </w:r>
          </w:p>
        </w:tc>
        <w:tc>
          <w:tcPr>
            <w:tcW w:w="1125" w:type="dxa"/>
            <w:tcBorders>
              <w:top w:val="single" w:sz="4" w:space="0" w:color="auto"/>
              <w:left w:val="single" w:sz="4" w:space="0" w:color="auto"/>
              <w:bottom w:val="single" w:sz="4" w:space="0" w:color="auto"/>
              <w:right w:val="single" w:sz="4" w:space="0" w:color="auto"/>
            </w:tcBorders>
            <w:noWrap/>
            <w:vAlign w:val="bottom"/>
          </w:tcPr>
          <w:p w:rsidR="00B9531F" w:rsidRPr="00AB1DB9" w:rsidRDefault="00B9531F" w:rsidP="00B81FB5">
            <w:pPr>
              <w:ind w:left="0"/>
              <w:jc w:val="right"/>
              <w:rPr>
                <w:rFonts w:cs="Lucida Sans Unicode"/>
                <w:bCs/>
                <w:position w:val="0"/>
                <w:szCs w:val="20"/>
              </w:rPr>
            </w:pPr>
            <w:r>
              <w:t>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Pr="00AB1DB9" w:rsidRDefault="00B9531F" w:rsidP="00B81FB5">
            <w:pPr>
              <w:ind w:left="0"/>
              <w:jc w:val="right"/>
              <w:rPr>
                <w:rFonts w:cs="Lucida Sans Unicode"/>
                <w:bCs/>
                <w:position w:val="0"/>
                <w:szCs w:val="20"/>
              </w:rPr>
            </w:pPr>
            <w:r>
              <w:t>653</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B9531F" w:rsidRPr="00AB1DB9" w:rsidRDefault="00B9531F" w:rsidP="00B81FB5">
            <w:pPr>
              <w:ind w:left="0"/>
              <w:jc w:val="right"/>
              <w:rPr>
                <w:rFonts w:cs="Lucida Sans Unicode"/>
                <w:bCs/>
                <w:position w:val="0"/>
                <w:szCs w:val="20"/>
              </w:rPr>
            </w:pPr>
            <w:r>
              <w:t>500</w:t>
            </w:r>
          </w:p>
        </w:tc>
        <w:tc>
          <w:tcPr>
            <w:tcW w:w="1077" w:type="dxa"/>
            <w:tcBorders>
              <w:top w:val="single" w:sz="4" w:space="0" w:color="auto"/>
              <w:left w:val="single" w:sz="4" w:space="0" w:color="auto"/>
              <w:bottom w:val="single" w:sz="4" w:space="0" w:color="auto"/>
              <w:right w:val="single" w:sz="4" w:space="0" w:color="auto"/>
            </w:tcBorders>
            <w:noWrap/>
            <w:vAlign w:val="bottom"/>
          </w:tcPr>
          <w:p w:rsidR="00B9531F" w:rsidRPr="00AB1DB9" w:rsidRDefault="00B9531F" w:rsidP="00B81FB5">
            <w:pPr>
              <w:ind w:left="0"/>
              <w:jc w:val="right"/>
              <w:rPr>
                <w:rFonts w:cs="Lucida Sans Unicode"/>
                <w:bCs/>
                <w:position w:val="0"/>
                <w:szCs w:val="20"/>
              </w:rPr>
            </w:pPr>
            <w:r>
              <w:t>31</w:t>
            </w:r>
          </w:p>
        </w:tc>
      </w:tr>
      <w:tr w:rsidR="00B9531F" w:rsidTr="00B81FB5">
        <w:trPr>
          <w:trHeight w:val="255"/>
        </w:trPr>
        <w:tc>
          <w:tcPr>
            <w:tcW w:w="3193" w:type="dxa"/>
            <w:tcBorders>
              <w:top w:val="single" w:sz="4" w:space="0" w:color="auto"/>
              <w:left w:val="single" w:sz="4" w:space="0" w:color="auto"/>
              <w:bottom w:val="nil"/>
              <w:right w:val="single" w:sz="4" w:space="0" w:color="auto"/>
            </w:tcBorders>
            <w:noWrap/>
            <w:vAlign w:val="center"/>
          </w:tcPr>
          <w:p w:rsidR="00B9531F" w:rsidRDefault="00B9531F" w:rsidP="00B81FB5">
            <w:pPr>
              <w:ind w:left="0"/>
              <w:jc w:val="right"/>
              <w:rPr>
                <w:rFonts w:cs="Lucida Sans Unicode"/>
                <w:b/>
                <w:bCs/>
                <w:position w:val="0"/>
                <w:szCs w:val="20"/>
              </w:rPr>
            </w:pPr>
            <w:r>
              <w:rPr>
                <w:b/>
                <w:position w:val="0"/>
              </w:rPr>
              <w:t> </w:t>
            </w:r>
          </w:p>
        </w:tc>
        <w:tc>
          <w:tcPr>
            <w:tcW w:w="3375" w:type="dxa"/>
            <w:gridSpan w:val="3"/>
            <w:tcBorders>
              <w:top w:val="single" w:sz="4" w:space="0" w:color="auto"/>
              <w:left w:val="nil"/>
              <w:bottom w:val="single" w:sz="4" w:space="0" w:color="auto"/>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Sales 9M</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 xml:space="preserve">Adjusted EBITDA 9M </w:t>
            </w:r>
          </w:p>
        </w:tc>
      </w:tr>
      <w:tr w:rsidR="00B9531F" w:rsidTr="00B81FB5">
        <w:trPr>
          <w:trHeight w:val="255"/>
        </w:trPr>
        <w:tc>
          <w:tcPr>
            <w:tcW w:w="3193" w:type="dxa"/>
            <w:tcBorders>
              <w:top w:val="nil"/>
              <w:left w:val="single" w:sz="4" w:space="0" w:color="auto"/>
              <w:bottom w:val="nil"/>
              <w:right w:val="single" w:sz="4" w:space="0" w:color="auto"/>
            </w:tcBorders>
            <w:noWrap/>
            <w:vAlign w:val="center"/>
          </w:tcPr>
          <w:p w:rsidR="00B9531F" w:rsidRDefault="00B9531F" w:rsidP="00B81FB5">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B9531F" w:rsidRDefault="00B9531F" w:rsidP="00B81FB5">
            <w:pPr>
              <w:ind w:left="0"/>
              <w:jc w:val="center"/>
              <w:rPr>
                <w:rFonts w:cs="Lucida Sans Unicode"/>
                <w:b/>
                <w:bCs/>
                <w:position w:val="0"/>
                <w:szCs w:val="20"/>
              </w:rPr>
            </w:pPr>
            <w:r>
              <w:rPr>
                <w:b/>
                <w:position w:val="0"/>
              </w:rPr>
              <w:t>2015</w:t>
            </w:r>
          </w:p>
        </w:tc>
        <w:tc>
          <w:tcPr>
            <w:tcW w:w="1125"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2014</w:t>
            </w:r>
          </w:p>
        </w:tc>
        <w:tc>
          <w:tcPr>
            <w:tcW w:w="1125"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Change</w:t>
            </w:r>
          </w:p>
        </w:tc>
        <w:tc>
          <w:tcPr>
            <w:tcW w:w="1114" w:type="dxa"/>
            <w:tcBorders>
              <w:top w:val="single" w:sz="4" w:space="0" w:color="auto"/>
              <w:left w:val="nil"/>
              <w:right w:val="single" w:sz="4" w:space="0" w:color="auto"/>
            </w:tcBorders>
            <w:shd w:val="clear" w:color="auto" w:fill="CCCCCC"/>
            <w:noWrap/>
            <w:vAlign w:val="bottom"/>
          </w:tcPr>
          <w:p w:rsidR="00B9531F" w:rsidRDefault="00B9531F" w:rsidP="00B81FB5">
            <w:pPr>
              <w:ind w:left="0"/>
              <w:jc w:val="center"/>
              <w:rPr>
                <w:rFonts w:cs="Lucida Sans Unicode"/>
                <w:b/>
                <w:bCs/>
                <w:position w:val="0"/>
                <w:szCs w:val="20"/>
              </w:rPr>
            </w:pPr>
            <w:r>
              <w:rPr>
                <w:b/>
                <w:position w:val="0"/>
              </w:rPr>
              <w:t xml:space="preserve"> 2015</w:t>
            </w:r>
          </w:p>
        </w:tc>
        <w:tc>
          <w:tcPr>
            <w:tcW w:w="1080" w:type="dxa"/>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 xml:space="preserve"> 2014</w:t>
            </w:r>
          </w:p>
        </w:tc>
        <w:tc>
          <w:tcPr>
            <w:tcW w:w="1122" w:type="dxa"/>
            <w:gridSpan w:val="2"/>
            <w:tcBorders>
              <w:top w:val="single" w:sz="4" w:space="0" w:color="auto"/>
              <w:left w:val="single" w:sz="4" w:space="0" w:color="auto"/>
              <w:bottom w:val="nil"/>
              <w:right w:val="single" w:sz="4" w:space="0" w:color="auto"/>
            </w:tcBorders>
            <w:noWrap/>
            <w:vAlign w:val="bottom"/>
          </w:tcPr>
          <w:p w:rsidR="00B9531F" w:rsidRDefault="00B9531F" w:rsidP="00B81FB5">
            <w:pPr>
              <w:ind w:left="0"/>
              <w:jc w:val="center"/>
              <w:rPr>
                <w:rFonts w:cs="Lucida Sans Unicode"/>
                <w:b/>
                <w:bCs/>
                <w:position w:val="0"/>
                <w:szCs w:val="20"/>
              </w:rPr>
            </w:pPr>
            <w:r>
              <w:rPr>
                <w:b/>
                <w:position w:val="0"/>
              </w:rPr>
              <w:t>Change</w:t>
            </w:r>
          </w:p>
        </w:tc>
      </w:tr>
      <w:tr w:rsidR="00B9531F" w:rsidTr="00B81FB5">
        <w:trPr>
          <w:trHeight w:val="255"/>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b/>
                <w:bCs/>
                <w:position w:val="0"/>
                <w:szCs w:val="20"/>
              </w:rPr>
            </w:pPr>
            <w:r>
              <w:rPr>
                <w:b/>
                <w:position w:val="0"/>
              </w:rPr>
              <w:t> </w:t>
            </w:r>
          </w:p>
        </w:tc>
        <w:tc>
          <w:tcPr>
            <w:tcW w:w="1125" w:type="dxa"/>
            <w:tcBorders>
              <w:left w:val="nil"/>
              <w:bottom w:val="single" w:sz="4" w:space="0" w:color="auto"/>
              <w:right w:val="single" w:sz="4" w:space="0" w:color="auto"/>
            </w:tcBorders>
            <w:shd w:val="clear" w:color="auto" w:fill="CCCCCC"/>
            <w:vAlign w:val="center"/>
          </w:tcPr>
          <w:p w:rsidR="00B9531F" w:rsidRDefault="00B9531F" w:rsidP="00B81FB5">
            <w:pPr>
              <w:ind w:left="0"/>
              <w:jc w:val="center"/>
              <w:rPr>
                <w:rFonts w:cs="Lucida Sans Unicode"/>
                <w:b/>
                <w:bCs/>
                <w:position w:val="0"/>
                <w:szCs w:val="20"/>
              </w:rPr>
            </w:pPr>
            <w:r>
              <w:rPr>
                <w:b/>
                <w:position w:val="0"/>
              </w:rPr>
              <w:t>€ million</w:t>
            </w:r>
          </w:p>
        </w:tc>
        <w:tc>
          <w:tcPr>
            <w:tcW w:w="1125"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position w:val="0"/>
                <w:szCs w:val="20"/>
              </w:rPr>
            </w:pPr>
            <w:r>
              <w:rPr>
                <w:b/>
                <w:position w:val="0"/>
              </w:rPr>
              <w:t>€ million</w:t>
            </w:r>
          </w:p>
        </w:tc>
        <w:tc>
          <w:tcPr>
            <w:tcW w:w="1125"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position w:val="0"/>
                <w:szCs w:val="20"/>
              </w:rPr>
            </w:pPr>
            <w:r>
              <w:rPr>
                <w:b/>
                <w:position w:val="0"/>
              </w:rPr>
              <w:t>in %</w:t>
            </w:r>
          </w:p>
        </w:tc>
        <w:tc>
          <w:tcPr>
            <w:tcW w:w="1114" w:type="dxa"/>
            <w:tcBorders>
              <w:left w:val="nil"/>
              <w:bottom w:val="single" w:sz="4" w:space="0" w:color="auto"/>
              <w:right w:val="single" w:sz="4" w:space="0" w:color="auto"/>
            </w:tcBorders>
            <w:shd w:val="clear" w:color="auto" w:fill="CCCCCC"/>
            <w:vAlign w:val="center"/>
          </w:tcPr>
          <w:p w:rsidR="00B9531F" w:rsidRDefault="00B9531F" w:rsidP="00B81FB5">
            <w:pPr>
              <w:ind w:left="0"/>
              <w:jc w:val="center"/>
              <w:rPr>
                <w:rFonts w:cs="Lucida Sans Unicode"/>
                <w:b/>
                <w:bCs/>
                <w:position w:val="0"/>
                <w:szCs w:val="20"/>
              </w:rPr>
            </w:pPr>
            <w:r>
              <w:rPr>
                <w:b/>
                <w:position w:val="0"/>
              </w:rPr>
              <w:t>€ million</w:t>
            </w:r>
          </w:p>
        </w:tc>
        <w:tc>
          <w:tcPr>
            <w:tcW w:w="1080" w:type="dxa"/>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position w:val="0"/>
                <w:szCs w:val="20"/>
              </w:rPr>
            </w:pPr>
            <w:r>
              <w:rPr>
                <w:b/>
                <w:position w:val="0"/>
              </w:rPr>
              <w:t>€ million</w:t>
            </w:r>
          </w:p>
        </w:tc>
        <w:tc>
          <w:tcPr>
            <w:tcW w:w="1122" w:type="dxa"/>
            <w:gridSpan w:val="2"/>
            <w:tcBorders>
              <w:top w:val="nil"/>
              <w:left w:val="single" w:sz="4" w:space="0" w:color="auto"/>
              <w:bottom w:val="single" w:sz="4" w:space="0" w:color="auto"/>
              <w:right w:val="single" w:sz="4" w:space="0" w:color="auto"/>
            </w:tcBorders>
            <w:vAlign w:val="center"/>
          </w:tcPr>
          <w:p w:rsidR="00B9531F" w:rsidRDefault="00B9531F" w:rsidP="00B81FB5">
            <w:pPr>
              <w:ind w:left="0"/>
              <w:jc w:val="center"/>
              <w:rPr>
                <w:rFonts w:cs="Lucida Sans Unicode"/>
                <w:b/>
                <w:bCs/>
                <w:position w:val="0"/>
                <w:szCs w:val="20"/>
              </w:rPr>
            </w:pPr>
            <w:r>
              <w:rPr>
                <w:b/>
                <w:position w:val="0"/>
              </w:rPr>
              <w:t>in %</w:t>
            </w:r>
          </w:p>
        </w:tc>
      </w:tr>
      <w:tr w:rsidR="00B9531F" w:rsidTr="00B81FB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3,716</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2,961</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25</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1,116</w:t>
            </w:r>
          </w:p>
        </w:tc>
        <w:tc>
          <w:tcPr>
            <w:tcW w:w="1080"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578</w:t>
            </w:r>
          </w:p>
        </w:tc>
        <w:tc>
          <w:tcPr>
            <w:tcW w:w="1122" w:type="dxa"/>
            <w:gridSpan w:val="2"/>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93</w:t>
            </w:r>
          </w:p>
        </w:tc>
      </w:tr>
      <w:tr w:rsidR="00B9531F" w:rsidTr="00B81FB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3,278</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3,069</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714</w:t>
            </w:r>
          </w:p>
        </w:tc>
        <w:tc>
          <w:tcPr>
            <w:tcW w:w="1080"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661</w:t>
            </w:r>
          </w:p>
        </w:tc>
        <w:tc>
          <w:tcPr>
            <w:tcW w:w="1122" w:type="dxa"/>
            <w:gridSpan w:val="2"/>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8</w:t>
            </w:r>
          </w:p>
        </w:tc>
      </w:tr>
      <w:tr w:rsidR="00B9531F" w:rsidTr="00B81FB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2,646</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2,944</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-10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247</w:t>
            </w:r>
          </w:p>
        </w:tc>
        <w:tc>
          <w:tcPr>
            <w:tcW w:w="1080" w:type="dxa"/>
            <w:tcBorders>
              <w:top w:val="single" w:sz="4" w:space="0" w:color="auto"/>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253</w:t>
            </w:r>
          </w:p>
        </w:tc>
        <w:tc>
          <w:tcPr>
            <w:tcW w:w="1122" w:type="dxa"/>
            <w:gridSpan w:val="2"/>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-2</w:t>
            </w:r>
          </w:p>
        </w:tc>
      </w:tr>
      <w:tr w:rsidR="00B9531F" w:rsidTr="00B81FB5">
        <w:trPr>
          <w:trHeight w:val="255"/>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626</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671</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123</w:t>
            </w:r>
          </w:p>
        </w:tc>
        <w:tc>
          <w:tcPr>
            <w:tcW w:w="1080"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135</w:t>
            </w:r>
          </w:p>
        </w:tc>
        <w:tc>
          <w:tcPr>
            <w:tcW w:w="1122" w:type="dxa"/>
            <w:gridSpan w:val="2"/>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r>
              <w:t>-9</w:t>
            </w:r>
          </w:p>
        </w:tc>
      </w:tr>
      <w:tr w:rsidR="00B9531F" w:rsidTr="00B81FB5">
        <w:trPr>
          <w:trHeight w:val="255"/>
        </w:trPr>
        <w:tc>
          <w:tcPr>
            <w:tcW w:w="3193" w:type="dxa"/>
            <w:tcBorders>
              <w:top w:val="nil"/>
              <w:left w:val="single" w:sz="4" w:space="0" w:color="auto"/>
              <w:bottom w:val="single" w:sz="4" w:space="0" w:color="auto"/>
              <w:right w:val="single" w:sz="4" w:space="0" w:color="auto"/>
            </w:tcBorders>
            <w:noWrap/>
            <w:vAlign w:val="center"/>
          </w:tcPr>
          <w:p w:rsidR="00B9531F" w:rsidRDefault="00B9531F" w:rsidP="00B81FB5">
            <w:pPr>
              <w:ind w:left="0"/>
              <w:rPr>
                <w:rFonts w:cs="Lucida Sans Unicode"/>
                <w:position w:val="0"/>
                <w:szCs w:val="20"/>
              </w:rPr>
            </w:pPr>
            <w:r>
              <w:t>Other operations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43</w:t>
            </w:r>
          </w:p>
        </w:tc>
        <w:tc>
          <w:tcPr>
            <w:tcW w:w="1125"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46</w:t>
            </w:r>
          </w:p>
        </w:tc>
        <w:tc>
          <w:tcPr>
            <w:tcW w:w="1125" w:type="dxa"/>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Default="00B9531F" w:rsidP="00B81FB5">
            <w:pPr>
              <w:ind w:left="0"/>
              <w:jc w:val="right"/>
              <w:rPr>
                <w:rFonts w:cs="Lucida Sans Unicode"/>
                <w:position w:val="0"/>
                <w:szCs w:val="20"/>
              </w:rPr>
            </w:pPr>
            <w:r>
              <w:t>-236</w:t>
            </w:r>
          </w:p>
        </w:tc>
        <w:tc>
          <w:tcPr>
            <w:tcW w:w="1080" w:type="dxa"/>
            <w:tcBorders>
              <w:top w:val="nil"/>
              <w:left w:val="single" w:sz="4" w:space="0" w:color="auto"/>
              <w:bottom w:val="single" w:sz="4" w:space="0" w:color="auto"/>
              <w:right w:val="single" w:sz="4" w:space="0" w:color="auto"/>
            </w:tcBorders>
            <w:noWrap/>
            <w:vAlign w:val="center"/>
          </w:tcPr>
          <w:p w:rsidR="00B9531F" w:rsidRDefault="00B9531F" w:rsidP="00B81FB5">
            <w:pPr>
              <w:ind w:left="0"/>
              <w:jc w:val="right"/>
              <w:rPr>
                <w:rFonts w:cs="Lucida Sans Unicode"/>
                <w:position w:val="0"/>
                <w:szCs w:val="20"/>
              </w:rPr>
            </w:pPr>
            <w:r>
              <w:t>-191</w:t>
            </w:r>
          </w:p>
        </w:tc>
        <w:tc>
          <w:tcPr>
            <w:tcW w:w="1122" w:type="dxa"/>
            <w:gridSpan w:val="2"/>
            <w:tcBorders>
              <w:top w:val="nil"/>
              <w:left w:val="single" w:sz="4" w:space="0" w:color="auto"/>
              <w:bottom w:val="single" w:sz="4" w:space="0" w:color="auto"/>
              <w:right w:val="single" w:sz="4" w:space="0" w:color="auto"/>
            </w:tcBorders>
            <w:noWrap/>
            <w:vAlign w:val="bottom"/>
          </w:tcPr>
          <w:p w:rsidR="00B9531F" w:rsidRDefault="00B9531F" w:rsidP="00B81FB5">
            <w:pPr>
              <w:ind w:left="0"/>
              <w:jc w:val="right"/>
              <w:rPr>
                <w:rFonts w:cs="Lucida Sans Unicode"/>
                <w:position w:val="0"/>
                <w:szCs w:val="20"/>
              </w:rPr>
            </w:pPr>
          </w:p>
        </w:tc>
      </w:tr>
      <w:tr w:rsidR="00B9531F" w:rsidRPr="00DA2E4E" w:rsidTr="00B81FB5">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B9531F" w:rsidRPr="00DA2E4E" w:rsidRDefault="00B9531F" w:rsidP="00B81FB5">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B9531F" w:rsidRPr="00AB1DB9" w:rsidRDefault="00B9531F" w:rsidP="00B81FB5">
            <w:pPr>
              <w:ind w:left="0"/>
              <w:jc w:val="right"/>
              <w:rPr>
                <w:rFonts w:cs="Lucida Sans Unicode"/>
                <w:bCs/>
                <w:position w:val="0"/>
                <w:szCs w:val="20"/>
              </w:rPr>
            </w:pPr>
            <w:r>
              <w:t>10,309</w:t>
            </w:r>
          </w:p>
        </w:tc>
        <w:tc>
          <w:tcPr>
            <w:tcW w:w="1125" w:type="dxa"/>
            <w:tcBorders>
              <w:top w:val="single" w:sz="4" w:space="0" w:color="auto"/>
              <w:left w:val="single" w:sz="4" w:space="0" w:color="auto"/>
              <w:bottom w:val="single" w:sz="4" w:space="0" w:color="auto"/>
              <w:right w:val="single" w:sz="4" w:space="0" w:color="auto"/>
            </w:tcBorders>
            <w:noWrap/>
            <w:vAlign w:val="center"/>
          </w:tcPr>
          <w:p w:rsidR="00B9531F" w:rsidRPr="00AB1DB9" w:rsidRDefault="00B9531F" w:rsidP="00B81FB5">
            <w:pPr>
              <w:ind w:left="0"/>
              <w:jc w:val="right"/>
              <w:rPr>
                <w:rFonts w:cs="Lucida Sans Unicode"/>
                <w:bCs/>
                <w:position w:val="0"/>
                <w:szCs w:val="20"/>
              </w:rPr>
            </w:pPr>
            <w:r>
              <w:t>9,691</w:t>
            </w:r>
          </w:p>
        </w:tc>
        <w:tc>
          <w:tcPr>
            <w:tcW w:w="1125" w:type="dxa"/>
            <w:tcBorders>
              <w:top w:val="single" w:sz="4" w:space="0" w:color="auto"/>
              <w:left w:val="single" w:sz="4" w:space="0" w:color="auto"/>
              <w:bottom w:val="single" w:sz="4" w:space="0" w:color="auto"/>
              <w:right w:val="single" w:sz="4" w:space="0" w:color="auto"/>
            </w:tcBorders>
            <w:noWrap/>
            <w:vAlign w:val="bottom"/>
          </w:tcPr>
          <w:p w:rsidR="00B9531F" w:rsidRPr="00AB1DB9" w:rsidRDefault="00B9531F" w:rsidP="00B81FB5">
            <w:pPr>
              <w:ind w:left="0"/>
              <w:jc w:val="right"/>
              <w:rPr>
                <w:rFonts w:cs="Lucida Sans Unicode"/>
                <w:bCs/>
                <w:position w:val="0"/>
                <w:szCs w:val="20"/>
              </w:rPr>
            </w:pPr>
            <w: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B9531F" w:rsidRPr="00AB1DB9" w:rsidRDefault="00B9531F" w:rsidP="00B81FB5">
            <w:pPr>
              <w:ind w:left="0"/>
              <w:jc w:val="right"/>
              <w:rPr>
                <w:rFonts w:cs="Lucida Sans Unicode"/>
                <w:bCs/>
                <w:position w:val="0"/>
                <w:szCs w:val="20"/>
              </w:rPr>
            </w:pPr>
            <w:r>
              <w:t>1,964</w:t>
            </w:r>
          </w:p>
        </w:tc>
        <w:tc>
          <w:tcPr>
            <w:tcW w:w="1080" w:type="dxa"/>
            <w:tcBorders>
              <w:top w:val="single" w:sz="4" w:space="0" w:color="auto"/>
              <w:left w:val="single" w:sz="4" w:space="0" w:color="auto"/>
              <w:bottom w:val="single" w:sz="4" w:space="0" w:color="auto"/>
              <w:right w:val="single" w:sz="4" w:space="0" w:color="auto"/>
            </w:tcBorders>
            <w:noWrap/>
            <w:vAlign w:val="center"/>
          </w:tcPr>
          <w:p w:rsidR="00B9531F" w:rsidRPr="00AB1DB9" w:rsidRDefault="00B9531F" w:rsidP="00B81FB5">
            <w:pPr>
              <w:ind w:left="0"/>
              <w:jc w:val="right"/>
              <w:rPr>
                <w:rFonts w:cs="Lucida Sans Unicode"/>
                <w:bCs/>
                <w:position w:val="0"/>
                <w:szCs w:val="20"/>
              </w:rPr>
            </w:pPr>
            <w:r>
              <w:t>1,436</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B9531F" w:rsidRPr="00AB1DB9" w:rsidRDefault="00B9531F" w:rsidP="00B81FB5">
            <w:pPr>
              <w:ind w:left="0"/>
              <w:jc w:val="right"/>
              <w:rPr>
                <w:rFonts w:cs="Lucida Sans Unicode"/>
                <w:bCs/>
                <w:position w:val="0"/>
                <w:szCs w:val="20"/>
              </w:rPr>
            </w:pPr>
            <w:r>
              <w:t>37</w:t>
            </w:r>
          </w:p>
        </w:tc>
      </w:tr>
    </w:tbl>
    <w:p w:rsidR="00B9531F" w:rsidRPr="00A03972" w:rsidRDefault="00B9531F" w:rsidP="00B9531F">
      <w:pPr>
        <w:spacing w:line="240" w:lineRule="auto"/>
        <w:ind w:left="0" w:right="0"/>
        <w:rPr>
          <w:bCs/>
          <w:sz w:val="16"/>
          <w:szCs w:val="16"/>
        </w:rPr>
      </w:pPr>
      <w:r>
        <w:rPr>
          <w:sz w:val="16"/>
        </w:rPr>
        <w:t>Prior-year figures restated</w:t>
      </w:r>
    </w:p>
    <w:p w:rsidR="00B9531F" w:rsidRPr="00A03972" w:rsidRDefault="00B9531F" w:rsidP="00B9531F">
      <w:pPr>
        <w:spacing w:line="240" w:lineRule="auto"/>
        <w:ind w:left="0" w:right="0"/>
        <w:rPr>
          <w:bCs/>
          <w:sz w:val="16"/>
          <w:szCs w:val="16"/>
        </w:rPr>
      </w:pPr>
    </w:p>
    <w:p w:rsidR="00B9531F" w:rsidRDefault="00B9531F" w:rsidP="00B9531F">
      <w:pPr>
        <w:spacing w:after="120"/>
        <w:rPr>
          <w:b/>
          <w:bCs/>
        </w:rPr>
      </w:pPr>
    </w:p>
    <w:p w:rsidR="00B9531F" w:rsidRPr="009511D1" w:rsidRDefault="00B9531F" w:rsidP="00B9531F">
      <w:pPr>
        <w:spacing w:after="120" w:line="300" w:lineRule="atLeast"/>
        <w:ind w:left="0"/>
        <w:rPr>
          <w:rFonts w:cs="Lucida Sans Unicode"/>
          <w:b/>
          <w:bCs/>
          <w:sz w:val="20"/>
          <w:szCs w:val="20"/>
        </w:rPr>
      </w:pPr>
      <w:r>
        <w:rPr>
          <w:b/>
          <w:sz w:val="20"/>
        </w:rPr>
        <w:lastRenderedPageBreak/>
        <w:t>Employees by segment</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B9531F" w:rsidRPr="00BE5DBC" w:rsidTr="00B81FB5">
        <w:tc>
          <w:tcPr>
            <w:tcW w:w="4122" w:type="dxa"/>
          </w:tcPr>
          <w:p w:rsidR="00B9531F" w:rsidRPr="00B13E9A" w:rsidRDefault="00B9531F" w:rsidP="00B81FB5">
            <w:pPr>
              <w:ind w:left="0"/>
              <w:rPr>
                <w:bCs/>
              </w:rPr>
            </w:pPr>
          </w:p>
        </w:tc>
        <w:tc>
          <w:tcPr>
            <w:tcW w:w="2172" w:type="dxa"/>
          </w:tcPr>
          <w:p w:rsidR="00B9531F" w:rsidRPr="00BE5DBC" w:rsidRDefault="00B9531F" w:rsidP="00B81FB5">
            <w:pPr>
              <w:ind w:left="0"/>
              <w:jc w:val="center"/>
              <w:rPr>
                <w:b/>
                <w:bCs/>
              </w:rPr>
            </w:pPr>
            <w:r>
              <w:rPr>
                <w:b/>
              </w:rPr>
              <w:t>Sept. 30, 2015</w:t>
            </w:r>
          </w:p>
        </w:tc>
        <w:tc>
          <w:tcPr>
            <w:tcW w:w="2173" w:type="dxa"/>
          </w:tcPr>
          <w:p w:rsidR="00B9531F" w:rsidRPr="00BE5DBC" w:rsidRDefault="00B9531F" w:rsidP="00B81FB5">
            <w:pPr>
              <w:ind w:left="0"/>
              <w:jc w:val="center"/>
              <w:rPr>
                <w:b/>
                <w:bCs/>
              </w:rPr>
            </w:pPr>
            <w:r>
              <w:rPr>
                <w:b/>
              </w:rPr>
              <w:t>Dec. 31, 2014</w:t>
            </w:r>
          </w:p>
        </w:tc>
      </w:tr>
      <w:tr w:rsidR="00B9531F" w:rsidRPr="00A14C8B" w:rsidTr="00B81FB5">
        <w:tc>
          <w:tcPr>
            <w:tcW w:w="4122" w:type="dxa"/>
          </w:tcPr>
          <w:p w:rsidR="00B9531F" w:rsidRPr="00B13E9A" w:rsidRDefault="00B9531F" w:rsidP="00B81FB5">
            <w:pPr>
              <w:ind w:left="0"/>
              <w:rPr>
                <w:bCs/>
              </w:rPr>
            </w:pPr>
            <w:r>
              <w:t>Nutrition &amp; Care</w:t>
            </w:r>
          </w:p>
        </w:tc>
        <w:tc>
          <w:tcPr>
            <w:tcW w:w="2172" w:type="dxa"/>
          </w:tcPr>
          <w:p w:rsidR="00B9531F" w:rsidRPr="00A14C8B" w:rsidRDefault="00B9531F" w:rsidP="00B81FB5">
            <w:pPr>
              <w:ind w:left="0"/>
              <w:jc w:val="right"/>
              <w:rPr>
                <w:bCs/>
              </w:rPr>
            </w:pPr>
            <w:r>
              <w:t>7,062</w:t>
            </w:r>
          </w:p>
        </w:tc>
        <w:tc>
          <w:tcPr>
            <w:tcW w:w="2173" w:type="dxa"/>
          </w:tcPr>
          <w:p w:rsidR="00B9531F" w:rsidRPr="00A14C8B" w:rsidRDefault="00B9531F" w:rsidP="00B81FB5">
            <w:pPr>
              <w:ind w:left="0"/>
              <w:jc w:val="right"/>
              <w:rPr>
                <w:bCs/>
              </w:rPr>
            </w:pPr>
            <w:r>
              <w:t>6,943</w:t>
            </w:r>
          </w:p>
        </w:tc>
      </w:tr>
      <w:tr w:rsidR="00B9531F" w:rsidRPr="00A14C8B" w:rsidTr="00B81FB5">
        <w:tc>
          <w:tcPr>
            <w:tcW w:w="4122" w:type="dxa"/>
          </w:tcPr>
          <w:p w:rsidR="00B9531F" w:rsidRPr="00A14C8B" w:rsidRDefault="00B9531F" w:rsidP="00B81FB5">
            <w:pPr>
              <w:ind w:left="0"/>
              <w:rPr>
                <w:bCs/>
              </w:rPr>
            </w:pPr>
            <w:r>
              <w:t>Resource Efficiency</w:t>
            </w:r>
          </w:p>
        </w:tc>
        <w:tc>
          <w:tcPr>
            <w:tcW w:w="2172" w:type="dxa"/>
          </w:tcPr>
          <w:p w:rsidR="00B9531F" w:rsidRPr="00A14C8B" w:rsidRDefault="00B9531F" w:rsidP="00B81FB5">
            <w:pPr>
              <w:ind w:left="0"/>
              <w:jc w:val="right"/>
              <w:rPr>
                <w:bCs/>
              </w:rPr>
            </w:pPr>
            <w:r>
              <w:t>8,549</w:t>
            </w:r>
          </w:p>
        </w:tc>
        <w:tc>
          <w:tcPr>
            <w:tcW w:w="2173" w:type="dxa"/>
          </w:tcPr>
          <w:p w:rsidR="00B9531F" w:rsidRPr="00A14C8B" w:rsidRDefault="00B9531F" w:rsidP="00B81FB5">
            <w:pPr>
              <w:ind w:left="0"/>
              <w:jc w:val="right"/>
              <w:rPr>
                <w:bCs/>
              </w:rPr>
            </w:pPr>
            <w:r>
              <w:t>7,835</w:t>
            </w:r>
          </w:p>
        </w:tc>
      </w:tr>
      <w:tr w:rsidR="00B9531F" w:rsidRPr="00A14C8B" w:rsidTr="00B81FB5">
        <w:tc>
          <w:tcPr>
            <w:tcW w:w="4122" w:type="dxa"/>
          </w:tcPr>
          <w:p w:rsidR="00B9531F" w:rsidRPr="00A14C8B" w:rsidRDefault="00B9531F" w:rsidP="00B81FB5">
            <w:pPr>
              <w:ind w:left="0"/>
              <w:rPr>
                <w:bCs/>
              </w:rPr>
            </w:pPr>
            <w:r>
              <w:t>Performance Materials</w:t>
            </w:r>
          </w:p>
        </w:tc>
        <w:tc>
          <w:tcPr>
            <w:tcW w:w="2172" w:type="dxa"/>
          </w:tcPr>
          <w:p w:rsidR="00B9531F" w:rsidRPr="00A14C8B" w:rsidRDefault="00B9531F" w:rsidP="00B81FB5">
            <w:pPr>
              <w:ind w:left="0"/>
              <w:jc w:val="right"/>
              <w:rPr>
                <w:bCs/>
              </w:rPr>
            </w:pPr>
            <w:r>
              <w:t>4,387</w:t>
            </w:r>
          </w:p>
        </w:tc>
        <w:tc>
          <w:tcPr>
            <w:tcW w:w="2173" w:type="dxa"/>
          </w:tcPr>
          <w:p w:rsidR="00B9531F" w:rsidRPr="00A14C8B" w:rsidRDefault="00B9531F" w:rsidP="00B81FB5">
            <w:pPr>
              <w:ind w:left="0"/>
              <w:jc w:val="right"/>
              <w:rPr>
                <w:bCs/>
              </w:rPr>
            </w:pPr>
            <w:r>
              <w:t>4,353</w:t>
            </w:r>
          </w:p>
        </w:tc>
      </w:tr>
      <w:tr w:rsidR="00B9531F" w:rsidRPr="00A14C8B" w:rsidTr="00B81FB5">
        <w:tc>
          <w:tcPr>
            <w:tcW w:w="4122" w:type="dxa"/>
          </w:tcPr>
          <w:p w:rsidR="00B9531F" w:rsidRPr="00A14C8B" w:rsidRDefault="00B9531F" w:rsidP="00B81FB5">
            <w:pPr>
              <w:ind w:left="0"/>
              <w:rPr>
                <w:bCs/>
              </w:rPr>
            </w:pPr>
            <w:r>
              <w:t>Services</w:t>
            </w:r>
          </w:p>
        </w:tc>
        <w:tc>
          <w:tcPr>
            <w:tcW w:w="2172" w:type="dxa"/>
          </w:tcPr>
          <w:p w:rsidR="00B9531F" w:rsidRPr="00A14C8B" w:rsidRDefault="00B9531F" w:rsidP="00B81FB5">
            <w:pPr>
              <w:ind w:left="0"/>
              <w:jc w:val="right"/>
              <w:rPr>
                <w:bCs/>
              </w:rPr>
            </w:pPr>
            <w:r>
              <w:t>12,747</w:t>
            </w:r>
          </w:p>
        </w:tc>
        <w:tc>
          <w:tcPr>
            <w:tcW w:w="2173" w:type="dxa"/>
          </w:tcPr>
          <w:p w:rsidR="00B9531F" w:rsidRPr="00A14C8B" w:rsidRDefault="00B9531F" w:rsidP="00B81FB5">
            <w:pPr>
              <w:ind w:left="0"/>
              <w:jc w:val="right"/>
              <w:rPr>
                <w:bCs/>
              </w:rPr>
            </w:pPr>
            <w:r>
              <w:t>13,173</w:t>
            </w:r>
          </w:p>
        </w:tc>
      </w:tr>
      <w:tr w:rsidR="00B9531F" w:rsidRPr="00B13E9A" w:rsidTr="00B81FB5">
        <w:tc>
          <w:tcPr>
            <w:tcW w:w="4122" w:type="dxa"/>
          </w:tcPr>
          <w:p w:rsidR="00B9531F" w:rsidRPr="00A14C8B" w:rsidRDefault="00B9531F" w:rsidP="00B81FB5">
            <w:pPr>
              <w:ind w:left="0"/>
              <w:rPr>
                <w:bCs/>
              </w:rPr>
            </w:pPr>
            <w:r>
              <w:t xml:space="preserve">Other operations </w:t>
            </w:r>
          </w:p>
        </w:tc>
        <w:tc>
          <w:tcPr>
            <w:tcW w:w="2172" w:type="dxa"/>
          </w:tcPr>
          <w:p w:rsidR="00B9531F" w:rsidRPr="00A14C8B" w:rsidRDefault="00B9531F" w:rsidP="00B81FB5">
            <w:pPr>
              <w:ind w:left="0"/>
              <w:jc w:val="right"/>
              <w:rPr>
                <w:bCs/>
              </w:rPr>
            </w:pPr>
            <w:r>
              <w:t>905</w:t>
            </w:r>
          </w:p>
        </w:tc>
        <w:tc>
          <w:tcPr>
            <w:tcW w:w="2173" w:type="dxa"/>
          </w:tcPr>
          <w:p w:rsidR="00B9531F" w:rsidRPr="00B13E9A" w:rsidRDefault="00B9531F" w:rsidP="00B81FB5">
            <w:pPr>
              <w:ind w:left="0"/>
              <w:jc w:val="right"/>
              <w:rPr>
                <w:bCs/>
              </w:rPr>
            </w:pPr>
            <w:r>
              <w:t>937</w:t>
            </w:r>
          </w:p>
        </w:tc>
      </w:tr>
      <w:tr w:rsidR="00B9531F" w:rsidRPr="00B13E9A" w:rsidTr="00B81FB5">
        <w:tc>
          <w:tcPr>
            <w:tcW w:w="4122" w:type="dxa"/>
          </w:tcPr>
          <w:p w:rsidR="00B9531F" w:rsidRPr="001E6A70" w:rsidRDefault="00B9531F" w:rsidP="00B81FB5">
            <w:pPr>
              <w:ind w:left="0"/>
              <w:rPr>
                <w:b/>
                <w:bCs/>
              </w:rPr>
            </w:pPr>
            <w:r>
              <w:rPr>
                <w:b/>
              </w:rPr>
              <w:t>Continuing operations</w:t>
            </w:r>
          </w:p>
        </w:tc>
        <w:tc>
          <w:tcPr>
            <w:tcW w:w="2172" w:type="dxa"/>
          </w:tcPr>
          <w:p w:rsidR="00B9531F" w:rsidRPr="001E6A70" w:rsidRDefault="00B9531F" w:rsidP="00B81FB5">
            <w:pPr>
              <w:ind w:left="0"/>
              <w:jc w:val="right"/>
              <w:rPr>
                <w:b/>
                <w:bCs/>
              </w:rPr>
            </w:pPr>
            <w:r>
              <w:rPr>
                <w:b/>
              </w:rPr>
              <w:t>33,650</w:t>
            </w:r>
          </w:p>
        </w:tc>
        <w:tc>
          <w:tcPr>
            <w:tcW w:w="2173" w:type="dxa"/>
          </w:tcPr>
          <w:p w:rsidR="00B9531F" w:rsidRPr="001E6A70" w:rsidRDefault="00B9531F" w:rsidP="00B81FB5">
            <w:pPr>
              <w:ind w:left="0"/>
              <w:jc w:val="right"/>
              <w:rPr>
                <w:b/>
                <w:bCs/>
              </w:rPr>
            </w:pPr>
            <w:r>
              <w:rPr>
                <w:b/>
              </w:rPr>
              <w:t>33,241</w:t>
            </w:r>
          </w:p>
        </w:tc>
      </w:tr>
      <w:tr w:rsidR="00B9531F" w:rsidRPr="00B13E9A" w:rsidTr="00B81FB5">
        <w:tc>
          <w:tcPr>
            <w:tcW w:w="4122" w:type="dxa"/>
          </w:tcPr>
          <w:p w:rsidR="00B9531F" w:rsidRPr="00B13E9A" w:rsidRDefault="00B9531F" w:rsidP="00B81FB5">
            <w:pPr>
              <w:ind w:left="0"/>
              <w:rPr>
                <w:bCs/>
              </w:rPr>
            </w:pPr>
            <w:r>
              <w:t xml:space="preserve">Discontinued operations </w:t>
            </w:r>
          </w:p>
        </w:tc>
        <w:tc>
          <w:tcPr>
            <w:tcW w:w="2172" w:type="dxa"/>
          </w:tcPr>
          <w:p w:rsidR="00B9531F" w:rsidRPr="00B13E9A" w:rsidRDefault="00B9531F" w:rsidP="00B81FB5">
            <w:pPr>
              <w:ind w:left="0"/>
              <w:jc w:val="right"/>
              <w:rPr>
                <w:bCs/>
              </w:rPr>
            </w:pPr>
            <w:r>
              <w:t>-</w:t>
            </w:r>
          </w:p>
        </w:tc>
        <w:tc>
          <w:tcPr>
            <w:tcW w:w="2173" w:type="dxa"/>
          </w:tcPr>
          <w:p w:rsidR="00B9531F" w:rsidRPr="00B13E9A" w:rsidRDefault="00B9531F" w:rsidP="00B81FB5">
            <w:pPr>
              <w:ind w:left="0"/>
              <w:jc w:val="right"/>
              <w:rPr>
                <w:bCs/>
              </w:rPr>
            </w:pPr>
            <w:r>
              <w:t>171</w:t>
            </w:r>
          </w:p>
        </w:tc>
      </w:tr>
      <w:tr w:rsidR="00B9531F" w:rsidRPr="00BE5DBC" w:rsidTr="00B81FB5">
        <w:tc>
          <w:tcPr>
            <w:tcW w:w="4122" w:type="dxa"/>
          </w:tcPr>
          <w:p w:rsidR="00B9531F" w:rsidRPr="00BE5DBC" w:rsidRDefault="00B9531F" w:rsidP="00B81FB5">
            <w:pPr>
              <w:ind w:left="0"/>
              <w:rPr>
                <w:b/>
                <w:bCs/>
              </w:rPr>
            </w:pPr>
            <w:r>
              <w:rPr>
                <w:b/>
              </w:rPr>
              <w:t>Group</w:t>
            </w:r>
          </w:p>
        </w:tc>
        <w:tc>
          <w:tcPr>
            <w:tcW w:w="2172" w:type="dxa"/>
          </w:tcPr>
          <w:p w:rsidR="00B9531F" w:rsidRPr="00BE5DBC" w:rsidRDefault="00B9531F" w:rsidP="00B81FB5">
            <w:pPr>
              <w:ind w:left="0"/>
              <w:jc w:val="right"/>
              <w:rPr>
                <w:b/>
                <w:bCs/>
              </w:rPr>
            </w:pPr>
            <w:r>
              <w:rPr>
                <w:b/>
              </w:rPr>
              <w:t>33,650</w:t>
            </w:r>
          </w:p>
        </w:tc>
        <w:tc>
          <w:tcPr>
            <w:tcW w:w="2173" w:type="dxa"/>
          </w:tcPr>
          <w:p w:rsidR="00B9531F" w:rsidRPr="00BE5DBC" w:rsidRDefault="00B9531F" w:rsidP="00B81FB5">
            <w:pPr>
              <w:ind w:left="0"/>
              <w:jc w:val="right"/>
              <w:rPr>
                <w:b/>
                <w:bCs/>
              </w:rPr>
            </w:pPr>
            <w:r>
              <w:rPr>
                <w:b/>
              </w:rPr>
              <w:t>33,412</w:t>
            </w:r>
          </w:p>
        </w:tc>
      </w:tr>
    </w:tbl>
    <w:p w:rsidR="00B9531F" w:rsidRPr="00B13E9A" w:rsidRDefault="00B9531F" w:rsidP="00B9531F">
      <w:pPr>
        <w:ind w:left="0"/>
        <w:rPr>
          <w:bCs/>
        </w:rPr>
      </w:pPr>
    </w:p>
    <w:p w:rsidR="00B9531F" w:rsidRDefault="00B9531F" w:rsidP="00B9531F">
      <w:pPr>
        <w:spacing w:line="240" w:lineRule="auto"/>
        <w:ind w:left="0" w:right="0"/>
        <w:rPr>
          <w:b/>
          <w:bCs/>
          <w:sz w:val="22"/>
          <w:szCs w:val="22"/>
        </w:rPr>
      </w:pPr>
    </w:p>
    <w:p w:rsidR="00B9531F" w:rsidRDefault="00B9531F" w:rsidP="00B9531F">
      <w:pPr>
        <w:spacing w:line="300" w:lineRule="exact"/>
        <w:ind w:left="0"/>
        <w:rPr>
          <w:sz w:val="22"/>
          <w:szCs w:val="22"/>
        </w:rPr>
      </w:pPr>
    </w:p>
    <w:p w:rsidR="005C74D1" w:rsidRDefault="00B9531F" w:rsidP="005C74D1">
      <w:pPr>
        <w:spacing w:line="240" w:lineRule="auto"/>
        <w:ind w:left="0" w:right="0"/>
        <w:rPr>
          <w:b/>
          <w:bCs/>
          <w:sz w:val="22"/>
          <w:szCs w:val="22"/>
        </w:rPr>
      </w:pPr>
      <w:r>
        <w:rPr>
          <w:rFonts w:cs="Lucida Sans Unicode"/>
          <w:b/>
          <w:bCs/>
          <w:szCs w:val="18"/>
        </w:rPr>
        <w:br/>
      </w:r>
    </w:p>
    <w:p w:rsidR="00B001D3" w:rsidRDefault="00B001D3" w:rsidP="00E85E5C">
      <w:pPr>
        <w:ind w:left="0"/>
        <w:outlineLvl w:val="0"/>
        <w:rPr>
          <w:rFonts w:cs="Lucida Sans Unicode"/>
          <w:b/>
          <w:bCs/>
          <w:color w:val="000000"/>
          <w:szCs w:val="18"/>
          <w:lang w:val="en-US"/>
        </w:rPr>
      </w:pPr>
    </w:p>
    <w:p w:rsidR="00B001D3" w:rsidRDefault="00B001D3" w:rsidP="00E85E5C">
      <w:pPr>
        <w:ind w:left="0"/>
        <w:outlineLvl w:val="0"/>
        <w:rPr>
          <w:rFonts w:cs="Lucida Sans Unicode"/>
          <w:b/>
          <w:bCs/>
          <w:color w:val="000000"/>
          <w:szCs w:val="18"/>
          <w:lang w:val="en-US"/>
        </w:rPr>
      </w:pPr>
    </w:p>
    <w:p w:rsidR="00B001D3" w:rsidRDefault="00B001D3" w:rsidP="00E85E5C">
      <w:pPr>
        <w:ind w:left="0"/>
        <w:outlineLvl w:val="0"/>
        <w:rPr>
          <w:rFonts w:cs="Lucida Sans Unicode"/>
          <w:b/>
          <w:bCs/>
          <w:color w:val="000000"/>
          <w:szCs w:val="18"/>
          <w:lang w:val="en-US"/>
        </w:rPr>
      </w:pPr>
    </w:p>
    <w:p w:rsidR="00E85E5C" w:rsidRDefault="00E85E5C" w:rsidP="00E85E5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E85E5C" w:rsidRDefault="00E85E5C" w:rsidP="00E85E5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E85E5C" w:rsidRDefault="00E85E5C" w:rsidP="00E85E5C">
      <w:pPr>
        <w:autoSpaceDE w:val="0"/>
        <w:autoSpaceDN w:val="0"/>
        <w:adjustRightInd w:val="0"/>
        <w:spacing w:line="220" w:lineRule="exact"/>
        <w:ind w:left="0"/>
        <w:rPr>
          <w:rFonts w:cs="Lucida Sans Unicode"/>
          <w:szCs w:val="18"/>
          <w:lang w:val="en-US"/>
        </w:rPr>
      </w:pPr>
    </w:p>
    <w:p w:rsidR="00E85E5C" w:rsidRPr="00BB06C8" w:rsidRDefault="00E85E5C" w:rsidP="00E85E5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CB" w:rsidRDefault="00462FCB">
      <w:r>
        <w:separator/>
      </w:r>
    </w:p>
    <w:p w:rsidR="00462FCB" w:rsidRDefault="00462FCB"/>
  </w:endnote>
  <w:endnote w:type="continuationSeparator" w:id="0">
    <w:p w:rsidR="00462FCB" w:rsidRDefault="00462FCB">
      <w:r>
        <w:continuationSeparator/>
      </w:r>
    </w:p>
    <w:p w:rsidR="00462FCB" w:rsidRDefault="0046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531F">
      <w:rPr>
        <w:rStyle w:val="Seitenzahl"/>
        <w:noProof/>
      </w:rPr>
      <w:t>5</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531F">
      <w:rPr>
        <w:rStyle w:val="Seitenzahl"/>
        <w:noProof/>
      </w:rPr>
      <w:t>5</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531F">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531F">
      <w:rPr>
        <w:rStyle w:val="Seitenzahl"/>
        <w:noProof/>
      </w:rPr>
      <w:t>5</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CB" w:rsidRDefault="00462FCB">
      <w:r>
        <w:separator/>
      </w:r>
    </w:p>
    <w:p w:rsidR="00462FCB" w:rsidRDefault="00462FCB"/>
  </w:footnote>
  <w:footnote w:type="continuationSeparator" w:id="0">
    <w:p w:rsidR="00462FCB" w:rsidRDefault="00462FCB">
      <w:r>
        <w:continuationSeparator/>
      </w:r>
    </w:p>
    <w:p w:rsidR="00462FCB" w:rsidRDefault="00462F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15" name="Grafik 15"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C33EF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CB" w:rsidRDefault="00462FCB">
    <w:pPr>
      <w:pStyle w:val="Kopfzeile"/>
      <w:ind w:left="0"/>
    </w:pPr>
  </w:p>
  <w:p w:rsidR="00462FCB" w:rsidRDefault="00462FCB">
    <w:pPr>
      <w:pStyle w:val="Kopfzeile"/>
      <w:ind w:left="0"/>
    </w:pPr>
  </w:p>
  <w:p w:rsidR="00462FCB" w:rsidRDefault="00462FCB">
    <w:pPr>
      <w:pStyle w:val="Kopfzeile"/>
      <w:ind w:left="0"/>
    </w:pPr>
  </w:p>
  <w:p w:rsidR="00462FCB" w:rsidRDefault="00462FCB">
    <w:pPr>
      <w:pStyle w:val="Kopfzeile"/>
      <w:ind w:left="0"/>
    </w:pPr>
  </w:p>
  <w:p w:rsidR="00462FCB" w:rsidRDefault="00462FCB">
    <w:pPr>
      <w:pStyle w:val="Kopfzeile"/>
      <w:ind w:left="0"/>
    </w:pPr>
  </w:p>
  <w:p w:rsidR="00462FCB" w:rsidRDefault="00462FCB" w:rsidP="005C74D1">
    <w:pPr>
      <w:pStyle w:val="Kopfzeile"/>
      <w:ind w:left="0"/>
      <w:jc w:val="both"/>
    </w:pPr>
  </w:p>
  <w:p w:rsidR="00462FCB" w:rsidRDefault="00462FCB">
    <w:pPr>
      <w:pStyle w:val="Kopfzeile"/>
      <w:ind w:left="0"/>
    </w:pPr>
  </w:p>
  <w:p w:rsidR="00CC5D98" w:rsidRPr="00462FCB" w:rsidRDefault="00794AB9">
    <w:pPr>
      <w:pStyle w:val="Kopfzeile"/>
      <w:ind w:left="0"/>
      <w:rPr>
        <w:b/>
        <w:u w:val="single"/>
        <w:lang w:val="en-US"/>
      </w:rPr>
    </w:pPr>
    <w:r w:rsidRPr="00462FCB">
      <w:rPr>
        <w:b/>
        <w:noProof/>
        <w:u w:val="single"/>
      </w:rPr>
      <w:drawing>
        <wp:anchor distT="0" distB="0" distL="114300" distR="114300" simplePos="0" relativeHeight="251660288" behindDoc="1" locked="0" layoutInCell="1" allowOverlap="1" wp14:anchorId="566C5EA0" wp14:editId="1676F552">
          <wp:simplePos x="0" y="0"/>
          <wp:positionH relativeFrom="page">
            <wp:posOffset>868045</wp:posOffset>
          </wp:positionH>
          <wp:positionV relativeFrom="page">
            <wp:posOffset>612140</wp:posOffset>
          </wp:positionV>
          <wp:extent cx="982980" cy="133350"/>
          <wp:effectExtent l="0" t="0" r="7620" b="0"/>
          <wp:wrapNone/>
          <wp:docPr id="16" name="Grafik 16"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462FCB">
      <w:rPr>
        <w:b/>
        <w:noProof/>
        <w:u w:val="single"/>
      </w:rPr>
      <mc:AlternateContent>
        <mc:Choice Requires="wpg">
          <w:drawing>
            <wp:anchor distT="0" distB="0" distL="114300" distR="114300" simplePos="0" relativeHeight="251656192" behindDoc="1" locked="0" layoutInCell="1" allowOverlap="1" wp14:anchorId="6CAE126B" wp14:editId="6D05859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5C850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r w:rsidR="00462FCB" w:rsidRPr="00462FCB">
      <w:rPr>
        <w:b/>
        <w:u w:val="single"/>
        <w:lang w:val="en-US"/>
      </w:rPr>
      <w:t>Embargoed until 7.a.m. on November 4,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CB"/>
    <w:rsid w:val="001834A4"/>
    <w:rsid w:val="003C3375"/>
    <w:rsid w:val="00401F7D"/>
    <w:rsid w:val="00424338"/>
    <w:rsid w:val="0045329B"/>
    <w:rsid w:val="00462FCB"/>
    <w:rsid w:val="005C74D1"/>
    <w:rsid w:val="00794AB9"/>
    <w:rsid w:val="008174AA"/>
    <w:rsid w:val="00927B1A"/>
    <w:rsid w:val="009D29AB"/>
    <w:rsid w:val="00A27B94"/>
    <w:rsid w:val="00A616F3"/>
    <w:rsid w:val="00A654E9"/>
    <w:rsid w:val="00B001D3"/>
    <w:rsid w:val="00B14022"/>
    <w:rsid w:val="00B73C83"/>
    <w:rsid w:val="00B9531F"/>
    <w:rsid w:val="00BC1278"/>
    <w:rsid w:val="00BE7BEC"/>
    <w:rsid w:val="00C11B54"/>
    <w:rsid w:val="00CC5D98"/>
    <w:rsid w:val="00E12886"/>
    <w:rsid w:val="00E3471C"/>
    <w:rsid w:val="00E85E5C"/>
    <w:rsid w:val="00F31F7C"/>
    <w:rsid w:val="00F439D4"/>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B792F9D-4EBB-4161-9F88-966ECFE0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engl.</Template>
  <TotalTime>0</TotalTime>
  <Pages>5</Pages>
  <Words>1389</Words>
  <Characters>7417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2012-12-18T13:57:00Z</cp:lastPrinted>
  <dcterms:created xsi:type="dcterms:W3CDTF">2015-11-03T08:46:00Z</dcterms:created>
  <dcterms:modified xsi:type="dcterms:W3CDTF">2015-11-03T12:05:00Z</dcterms:modified>
</cp:coreProperties>
</file>