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DD4A19">
            <w:pPr>
              <w:pStyle w:val="E-Datum"/>
              <w:framePr w:wrap="auto" w:vAnchor="margin" w:hAnchor="text" w:xAlign="left" w:yAlign="inline"/>
              <w:suppressOverlap w:val="0"/>
            </w:pPr>
            <w:r>
              <w:t>May 4</w:t>
            </w:r>
            <w:r w:rsidR="00552E51">
              <w:t>, 201</w:t>
            </w:r>
            <w:r>
              <w:t>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72D58" w:rsidTr="00B14022">
        <w:trPr>
          <w:trHeight w:hRule="exact" w:val="1222"/>
        </w:trPr>
        <w:tc>
          <w:tcPr>
            <w:tcW w:w="2271" w:type="dxa"/>
            <w:shd w:val="clear" w:color="auto" w:fill="auto"/>
          </w:tcPr>
          <w:p w:rsidR="004C02A0" w:rsidRPr="003C3375" w:rsidRDefault="004C02A0" w:rsidP="004C02A0">
            <w:pPr>
              <w:pStyle w:val="M7"/>
              <w:framePr w:wrap="auto" w:vAnchor="margin" w:hAnchor="text" w:xAlign="left" w:yAlign="inline"/>
              <w:suppressOverlap w:val="0"/>
              <w:rPr>
                <w:lang w:val="en-US"/>
              </w:rPr>
            </w:pPr>
            <w:r>
              <w:rPr>
                <w:lang w:val="en-US"/>
              </w:rPr>
              <w:t>Alexandra Boy</w:t>
            </w:r>
          </w:p>
          <w:p w:rsidR="004C02A0" w:rsidRPr="00E12886" w:rsidRDefault="004C02A0" w:rsidP="004C02A0">
            <w:pPr>
              <w:pStyle w:val="M8"/>
              <w:framePr w:wrap="auto" w:vAnchor="margin" w:hAnchor="text" w:xAlign="left" w:yAlign="inline"/>
              <w:suppressOverlap w:val="0"/>
              <w:rPr>
                <w:lang w:val="en-US"/>
              </w:rPr>
            </w:pPr>
            <w:r>
              <w:rPr>
                <w:lang w:val="en-US"/>
              </w:rPr>
              <w:t>External Communications</w:t>
            </w:r>
            <w:r w:rsidRPr="00E12886">
              <w:rPr>
                <w:lang w:val="en-US"/>
              </w:rPr>
              <w:t xml:space="preserve"> </w:t>
            </w:r>
          </w:p>
          <w:p w:rsidR="004C02A0" w:rsidRPr="00BC3F95" w:rsidRDefault="004C02A0" w:rsidP="004C02A0">
            <w:pPr>
              <w:pStyle w:val="M9"/>
              <w:framePr w:wrap="auto" w:vAnchor="margin" w:hAnchor="text" w:xAlign="left" w:yAlign="inline"/>
              <w:suppressOverlap w:val="0"/>
              <w:rPr>
                <w:lang w:val="en-US"/>
              </w:rPr>
            </w:pPr>
            <w:r w:rsidRPr="00BC3F95">
              <w:rPr>
                <w:lang w:val="en-US"/>
              </w:rPr>
              <w:t>Phone +49</w:t>
            </w:r>
            <w:r w:rsidRPr="00BC3F95">
              <w:rPr>
                <w:lang w:val="en-US"/>
              </w:rPr>
              <w:tab/>
              <w:t>201 177-3167</w:t>
            </w:r>
          </w:p>
          <w:p w:rsidR="004C02A0" w:rsidRDefault="004C02A0" w:rsidP="004C02A0">
            <w:pPr>
              <w:pStyle w:val="M10"/>
              <w:framePr w:wrap="auto" w:vAnchor="margin" w:hAnchor="text" w:xAlign="left" w:yAlign="inline"/>
              <w:suppressOverlap w:val="0"/>
            </w:pPr>
            <w:r>
              <w:t>alexandra.boy@evonik.com</w:t>
            </w:r>
          </w:p>
          <w:p w:rsidR="00CC5D98" w:rsidRDefault="00B14022" w:rsidP="00B81424">
            <w:pPr>
              <w:pStyle w:val="M10"/>
              <w:framePr w:wrap="auto" w:vAnchor="margin" w:hAnchor="text" w:xAlign="left" w:yAlign="inline"/>
              <w:suppressOverlap w:val="0"/>
            </w:pPr>
            <w:bookmarkStart w:id="0" w:name="_GoBack"/>
            <w:bookmarkEnd w:id="0"/>
            <w:r>
              <w:rPr>
                <w:lang w:val="sv-SE"/>
              </w:rPr>
              <w:t xml:space="preserve"> </w:t>
            </w:r>
          </w:p>
        </w:tc>
      </w:tr>
      <w:tr w:rsidR="00CC5D98" w:rsidRPr="004C02A0" w:rsidTr="00B14022">
        <w:trPr>
          <w:trHeight w:val="2609"/>
        </w:trPr>
        <w:tc>
          <w:tcPr>
            <w:tcW w:w="2271" w:type="dxa"/>
            <w:shd w:val="clear" w:color="auto" w:fill="auto"/>
          </w:tcPr>
          <w:p w:rsidR="00CC5D98" w:rsidRPr="00BC3F95" w:rsidRDefault="00B14022">
            <w:pPr>
              <w:pStyle w:val="M12"/>
              <w:framePr w:wrap="auto" w:vAnchor="margin" w:hAnchor="text" w:xAlign="left" w:yAlign="inline"/>
              <w:suppressOverlap w:val="0"/>
              <w:rPr>
                <w:lang w:val="en-US"/>
              </w:rPr>
            </w:pPr>
            <w:r w:rsidRPr="00BC3F95">
              <w:rPr>
                <w:lang w:val="en-US"/>
              </w:rPr>
              <w:br/>
            </w:r>
          </w:p>
        </w:tc>
      </w:tr>
      <w:tr w:rsidR="00CC5D98" w:rsidRPr="003C3375" w:rsidTr="00B14022">
        <w:trPr>
          <w:trHeight w:hRule="exact" w:val="7880"/>
        </w:trPr>
        <w:tc>
          <w:tcPr>
            <w:tcW w:w="2271" w:type="dxa"/>
            <w:shd w:val="clear" w:color="auto" w:fill="auto"/>
            <w:vAlign w:val="bottom"/>
          </w:tcPr>
          <w:p w:rsidR="00CC5D98" w:rsidRPr="00BC3F95" w:rsidRDefault="00CC5D98">
            <w:pPr>
              <w:pStyle w:val="Marginalie"/>
              <w:framePr w:w="0" w:hSpace="0" w:wrap="auto" w:vAnchor="margin" w:hAnchor="text" w:xAlign="left" w:yAlign="inline"/>
              <w:rPr>
                <w:b/>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F005B">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F005B">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BC3F95">
              <w:rPr>
                <w:lang w:val="en-US"/>
              </w:rPr>
              <w:instrText xml:space="preserve"> FORMTEXT </w:instrText>
            </w:r>
            <w:r>
              <w:fldChar w:fldCharType="separate"/>
            </w:r>
            <w:r w:rsidR="00CF005B" w:rsidRPr="004C02A0">
              <w:rPr>
                <w:noProof/>
                <w:lang w:val="en-US"/>
              </w:rPr>
              <w:t>45128 Essen</w:t>
            </w:r>
            <w:r>
              <w:fldChar w:fldCharType="end"/>
            </w:r>
            <w:r w:rsidR="003C3375" w:rsidRPr="00BC3F95">
              <w:rPr>
                <w:lang w:val="en-US"/>
              </w:rPr>
              <w:br/>
              <w:t>Ger</w:t>
            </w:r>
            <w:r w:rsidR="003C3375" w:rsidRPr="00F31F7C">
              <w:rPr>
                <w:lang w:val="en-US"/>
              </w:rPr>
              <w:t>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CF005B" w:rsidRPr="004C02A0">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CF005B" w:rsidRPr="004C02A0">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F005B">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CF005B">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CF005B">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DD4A19">
            <w:pPr>
              <w:pStyle w:val="V9"/>
              <w:framePr w:wrap="auto" w:vAnchor="margin" w:hAnchor="text" w:xAlign="left" w:yAlign="inline"/>
              <w:suppressOverlap w:val="0"/>
              <w:rPr>
                <w:lang w:val="en-US"/>
              </w:rPr>
            </w:pPr>
            <w:r w:rsidRPr="0053205C">
              <w:rPr>
                <w:lang w:val="en-US"/>
              </w:rPr>
              <w:br/>
            </w:r>
            <w:r w:rsidR="003C3375">
              <w:fldChar w:fldCharType="begin">
                <w:ffData>
                  <w:name w:val=""/>
                  <w:enabled/>
                  <w:calcOnExit w:val="0"/>
                  <w:textInput>
                    <w:default w:val="Executive Board"/>
                  </w:textInput>
                </w:ffData>
              </w:fldChar>
            </w:r>
            <w:r w:rsidR="003C3375" w:rsidRPr="00F31F7C">
              <w:rPr>
                <w:lang w:val="en-US"/>
              </w:rPr>
              <w:instrText xml:space="preserve"> FORMTEXT </w:instrText>
            </w:r>
            <w:r w:rsidR="003C3375">
              <w:fldChar w:fldCharType="separate"/>
            </w:r>
            <w:r w:rsidR="00CF005B" w:rsidRPr="004C02A0">
              <w:rPr>
                <w:noProof/>
                <w:lang w:val="en-US"/>
              </w:rPr>
              <w:t>Executive Board</w:t>
            </w:r>
            <w:r w:rsidR="003C3375">
              <w:fldChar w:fldCharType="end"/>
            </w:r>
          </w:p>
          <w:p w:rsidR="00CC5D98" w:rsidRPr="00DD4A19"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DD4A19">
              <w:instrText xml:space="preserve"> FORMTEXT </w:instrText>
            </w:r>
            <w:r>
              <w:fldChar w:fldCharType="separate"/>
            </w:r>
            <w:r w:rsidR="00CF005B">
              <w:rPr>
                <w:noProof/>
              </w:rPr>
              <w:t>Dr. Klaus Engel</w:t>
            </w:r>
            <w:r>
              <w:fldChar w:fldCharType="end"/>
            </w:r>
            <w:r w:rsidRPr="00DD4A19">
              <w:t xml:space="preserve">, </w:t>
            </w:r>
            <w:r w:rsidR="003C3375" w:rsidRPr="00DD4A19">
              <w:t>Chairman</w:t>
            </w:r>
          </w:p>
          <w:p w:rsidR="006C1A93" w:rsidRPr="0053205C" w:rsidRDefault="00DD4A19">
            <w:pPr>
              <w:pStyle w:val="V10"/>
              <w:framePr w:wrap="auto" w:vAnchor="margin" w:hAnchor="text" w:xAlign="left" w:yAlign="inline"/>
              <w:suppressOverlap w:val="0"/>
            </w:pPr>
            <w:r w:rsidRPr="0053205C">
              <w:t>Dr. Ralph Sven Kaufmann</w:t>
            </w:r>
            <w:r w:rsidRPr="0053205C">
              <w:br/>
            </w:r>
            <w:r w:rsidR="006C1A93" w:rsidRPr="0053205C">
              <w:t>Christian Kullmann</w:t>
            </w:r>
          </w:p>
          <w:p w:rsidR="00CC5D98" w:rsidRPr="00DD4A19" w:rsidRDefault="00B14022" w:rsidP="00554BE4">
            <w:pPr>
              <w:pStyle w:val="V11"/>
              <w:framePr w:wrap="auto" w:vAnchor="margin" w:hAnchor="text" w:xAlign="left" w:yAlign="inline"/>
              <w:suppressOverlap w:val="0"/>
              <w:rPr>
                <w:lang w:val="en-US"/>
              </w:rPr>
            </w:pPr>
            <w:r w:rsidRPr="00DD4A19">
              <w:rPr>
                <w:lang w:val="en-US"/>
              </w:rPr>
              <w:t>Thomas Wessel</w:t>
            </w:r>
            <w:r w:rsidR="00554BE4" w:rsidRPr="00DD4A19">
              <w:rPr>
                <w:lang w:val="en-US"/>
              </w:rPr>
              <w:br/>
              <w:t>Ute Wolf</w:t>
            </w:r>
            <w:r w:rsidR="00554BE4" w:rsidRPr="00DD4A19">
              <w:rPr>
                <w:lang w:val="en-US"/>
              </w:rPr>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552E51" w:rsidRPr="00552E51" w:rsidRDefault="00552E51" w:rsidP="00272D58">
      <w:pPr>
        <w:rPr>
          <w:u w:val="single"/>
          <w:lang w:val="en-US"/>
        </w:rPr>
      </w:pPr>
      <w:r w:rsidRPr="00552E51">
        <w:rPr>
          <w:u w:val="single"/>
          <w:lang w:val="en-US"/>
        </w:rPr>
        <w:t>Key Financial Data:</w:t>
      </w:r>
    </w:p>
    <w:p w:rsidR="00552E51" w:rsidRPr="00552E51" w:rsidRDefault="006C1A93" w:rsidP="00272D58">
      <w:pPr>
        <w:rPr>
          <w:u w:val="single"/>
          <w:lang w:val="en-US"/>
        </w:rPr>
      </w:pPr>
      <w:r>
        <w:rPr>
          <w:u w:val="single"/>
          <w:lang w:val="en-US"/>
        </w:rPr>
        <w:t>January 1 to March 31, 201</w:t>
      </w:r>
      <w:r w:rsidR="00DD4A19">
        <w:rPr>
          <w:u w:val="single"/>
          <w:lang w:val="en-US"/>
        </w:rPr>
        <w:t>6 / Q1 2016</w:t>
      </w:r>
    </w:p>
    <w:p w:rsidR="00552E51" w:rsidRPr="00552E51" w:rsidRDefault="00552E51" w:rsidP="00552E51">
      <w:pPr>
        <w:spacing w:line="300" w:lineRule="exact"/>
        <w:rPr>
          <w:u w:val="single"/>
          <w:lang w:val="en-US"/>
        </w:rPr>
      </w:pPr>
    </w:p>
    <w:p w:rsidR="003B2F9B" w:rsidRPr="00272D58" w:rsidRDefault="003B2F9B" w:rsidP="00272D58">
      <w:pPr>
        <w:spacing w:line="300" w:lineRule="exact"/>
        <w:rPr>
          <w:b/>
          <w:bCs/>
          <w:sz w:val="22"/>
          <w:szCs w:val="22"/>
          <w:lang w:val="en-US"/>
        </w:rPr>
      </w:pPr>
      <w:r w:rsidRPr="00272D58">
        <w:rPr>
          <w:b/>
          <w:bCs/>
          <w:sz w:val="22"/>
          <w:szCs w:val="22"/>
          <w:lang w:val="en-US"/>
        </w:rPr>
        <w:t>A solid first quarter—Outlook for 2016 confirmed</w:t>
      </w:r>
    </w:p>
    <w:p w:rsidR="003B2F9B" w:rsidRPr="00087AFA" w:rsidRDefault="003B2F9B" w:rsidP="003B2F9B">
      <w:pPr>
        <w:rPr>
          <w:b/>
          <w:bCs/>
          <w:sz w:val="22"/>
          <w:szCs w:val="22"/>
          <w:lang w:val="en-US"/>
        </w:rPr>
      </w:pPr>
    </w:p>
    <w:p w:rsidR="003B2F9B" w:rsidRPr="00087AFA" w:rsidRDefault="003B2F9B" w:rsidP="003B2F9B">
      <w:pPr>
        <w:rPr>
          <w:b/>
          <w:lang w:val="en-US"/>
        </w:rPr>
      </w:pPr>
    </w:p>
    <w:p w:rsidR="003B2F9B" w:rsidRPr="00087AFA" w:rsidRDefault="003B2F9B" w:rsidP="00272D58">
      <w:pPr>
        <w:numPr>
          <w:ilvl w:val="0"/>
          <w:numId w:val="14"/>
        </w:numPr>
        <w:tabs>
          <w:tab w:val="num" w:pos="426"/>
        </w:tabs>
        <w:spacing w:line="300" w:lineRule="exact"/>
        <w:ind w:left="85" w:firstLine="0"/>
        <w:rPr>
          <w:rFonts w:cs="Lucida Sans Unicode"/>
          <w:b/>
          <w:bCs/>
          <w:sz w:val="20"/>
          <w:szCs w:val="20"/>
          <w:lang w:val="en-US"/>
        </w:rPr>
      </w:pPr>
      <w:r w:rsidRPr="00087AFA">
        <w:rPr>
          <w:b/>
          <w:sz w:val="20"/>
          <w:lang w:val="en-US"/>
        </w:rPr>
        <w:t>Adjusted net income €254 million</w:t>
      </w:r>
    </w:p>
    <w:p w:rsidR="003B2F9B" w:rsidRPr="00087AFA" w:rsidRDefault="003B2F9B" w:rsidP="00272D58">
      <w:pPr>
        <w:numPr>
          <w:ilvl w:val="0"/>
          <w:numId w:val="14"/>
        </w:numPr>
        <w:tabs>
          <w:tab w:val="num" w:pos="426"/>
        </w:tabs>
        <w:spacing w:line="300" w:lineRule="exact"/>
        <w:ind w:left="85" w:firstLine="0"/>
        <w:rPr>
          <w:rFonts w:cs="Lucida Sans Unicode"/>
          <w:b/>
          <w:bCs/>
          <w:sz w:val="20"/>
          <w:szCs w:val="20"/>
          <w:lang w:val="en-US"/>
        </w:rPr>
      </w:pPr>
      <w:r w:rsidRPr="00087AFA">
        <w:rPr>
          <w:b/>
          <w:sz w:val="20"/>
          <w:lang w:val="en-US"/>
        </w:rPr>
        <w:t>Adjusted EBITDA €565 million</w:t>
      </w:r>
    </w:p>
    <w:p w:rsidR="003B2F9B" w:rsidRPr="00087AFA" w:rsidRDefault="003B2F9B" w:rsidP="00272D58">
      <w:pPr>
        <w:numPr>
          <w:ilvl w:val="0"/>
          <w:numId w:val="14"/>
        </w:numPr>
        <w:tabs>
          <w:tab w:val="num" w:pos="426"/>
        </w:tabs>
        <w:spacing w:line="300" w:lineRule="exact"/>
        <w:ind w:left="85" w:firstLine="0"/>
        <w:rPr>
          <w:rFonts w:cs="Lucida Sans Unicode"/>
          <w:b/>
          <w:bCs/>
          <w:sz w:val="20"/>
          <w:szCs w:val="20"/>
          <w:lang w:val="en-US"/>
        </w:rPr>
      </w:pPr>
      <w:r w:rsidRPr="00087AFA">
        <w:rPr>
          <w:b/>
          <w:sz w:val="20"/>
          <w:lang w:val="en-US"/>
        </w:rPr>
        <w:t>Adjusted EBITDA margin at a very good level of 18.2 percent</w:t>
      </w:r>
    </w:p>
    <w:p w:rsidR="003B2F9B" w:rsidRPr="00087AFA" w:rsidRDefault="003B2F9B" w:rsidP="00272D58">
      <w:pPr>
        <w:numPr>
          <w:ilvl w:val="0"/>
          <w:numId w:val="14"/>
        </w:numPr>
        <w:tabs>
          <w:tab w:val="num" w:pos="426"/>
        </w:tabs>
        <w:spacing w:line="300" w:lineRule="exact"/>
        <w:ind w:left="85" w:firstLine="0"/>
        <w:rPr>
          <w:rFonts w:cs="Lucida Sans Unicode"/>
          <w:b/>
          <w:bCs/>
          <w:sz w:val="20"/>
          <w:szCs w:val="20"/>
          <w:lang w:val="en-US"/>
        </w:rPr>
      </w:pPr>
      <w:r w:rsidRPr="00087AFA">
        <w:rPr>
          <w:b/>
          <w:sz w:val="20"/>
          <w:lang w:val="en-US"/>
        </w:rPr>
        <w:t xml:space="preserve">Sales €3.1 billion </w:t>
      </w:r>
    </w:p>
    <w:p w:rsidR="003B2F9B" w:rsidRPr="00087AFA" w:rsidRDefault="003B2F9B" w:rsidP="003B2F9B">
      <w:pPr>
        <w:spacing w:line="300" w:lineRule="exact"/>
        <w:rPr>
          <w:rFonts w:cs="Lucida Sans Unicode"/>
          <w:b/>
          <w:bCs/>
          <w:sz w:val="20"/>
          <w:szCs w:val="20"/>
          <w:lang w:val="en-US"/>
        </w:rPr>
      </w:pPr>
    </w:p>
    <w:p w:rsidR="002A4B81" w:rsidRPr="002A4B81" w:rsidRDefault="002A4B81" w:rsidP="002A4B81">
      <w:pPr>
        <w:spacing w:line="300" w:lineRule="exact"/>
        <w:ind w:left="0"/>
        <w:rPr>
          <w:rFonts w:cs="Lucida Sans Unicode"/>
          <w:b/>
          <w:bCs/>
          <w:position w:val="0"/>
          <w:sz w:val="20"/>
          <w:szCs w:val="20"/>
          <w:lang w:val="en-US"/>
        </w:rPr>
      </w:pPr>
    </w:p>
    <w:p w:rsidR="002A4B81" w:rsidRPr="002A4B81" w:rsidRDefault="002A4B81" w:rsidP="002A4B81">
      <w:pPr>
        <w:spacing w:line="300" w:lineRule="exact"/>
        <w:ind w:left="0"/>
        <w:rPr>
          <w:rFonts w:cs="Lucida Sans Unicode"/>
          <w:b/>
          <w:bCs/>
          <w:position w:val="0"/>
          <w:sz w:val="20"/>
          <w:szCs w:val="20"/>
          <w:lang w:val="en-US"/>
        </w:rPr>
      </w:pPr>
    </w:p>
    <w:p w:rsidR="003B2F9B" w:rsidRPr="00087AFA" w:rsidRDefault="003B2F9B" w:rsidP="003B2F9B">
      <w:pPr>
        <w:spacing w:line="300" w:lineRule="atLeast"/>
        <w:rPr>
          <w:sz w:val="20"/>
          <w:szCs w:val="20"/>
          <w:lang w:val="en-US"/>
        </w:rPr>
      </w:pPr>
      <w:r w:rsidRPr="00087AFA">
        <w:rPr>
          <w:b/>
          <w:sz w:val="20"/>
          <w:lang w:val="en-US"/>
        </w:rPr>
        <w:t>Essen</w:t>
      </w:r>
      <w:r w:rsidRPr="00087AFA">
        <w:rPr>
          <w:sz w:val="20"/>
          <w:lang w:val="en-US"/>
        </w:rPr>
        <w:t>. Evonik did well in the first quarter in challenging business conditions. “Following an exceptionally strong performance in 2015, our earnings are now back in line with the good level of the preceding years. Our business is still doing well and our products are in demand in the market,” said Klaus Engel, Chairman of the Executive Board of Evonik Industries.</w:t>
      </w:r>
    </w:p>
    <w:p w:rsidR="003B2F9B" w:rsidRPr="00087AFA" w:rsidRDefault="003B2F9B" w:rsidP="003B2F9B">
      <w:pPr>
        <w:spacing w:line="300" w:lineRule="atLeast"/>
        <w:rPr>
          <w:sz w:val="20"/>
          <w:szCs w:val="20"/>
          <w:lang w:val="en-US"/>
        </w:rPr>
      </w:pPr>
      <w:r w:rsidRPr="00087AFA">
        <w:rPr>
          <w:sz w:val="20"/>
          <w:lang w:val="en-US"/>
        </w:rPr>
        <w:t xml:space="preserve"> </w:t>
      </w:r>
    </w:p>
    <w:p w:rsidR="003B2F9B" w:rsidRPr="00087AFA" w:rsidRDefault="003B2F9B" w:rsidP="003B2F9B">
      <w:pPr>
        <w:spacing w:line="300" w:lineRule="atLeast"/>
        <w:rPr>
          <w:sz w:val="20"/>
          <w:szCs w:val="20"/>
          <w:lang w:val="en-US"/>
        </w:rPr>
      </w:pPr>
      <w:r w:rsidRPr="00087AFA">
        <w:rPr>
          <w:sz w:val="20"/>
          <w:lang w:val="en-US"/>
        </w:rPr>
        <w:t>The Resource Efficiency segment posted a pleasing development: While sales were steady it was able to raise earnings. In the Nutrition &amp; Care segment, lower volumes and declining world market prices resulted in a drop in both sales and earnings. Lower selling prices, mainly as a result of a reduction in raw material costs, also held back the development of the Performance Materials segment.</w:t>
      </w:r>
    </w:p>
    <w:p w:rsidR="003B2F9B" w:rsidRPr="00087AFA" w:rsidRDefault="003B2F9B" w:rsidP="003B2F9B">
      <w:pPr>
        <w:spacing w:line="300" w:lineRule="atLeast"/>
        <w:rPr>
          <w:sz w:val="20"/>
          <w:szCs w:val="20"/>
          <w:lang w:val="en-US"/>
        </w:rPr>
      </w:pPr>
      <w:r w:rsidRPr="00087AFA">
        <w:rPr>
          <w:sz w:val="20"/>
          <w:lang w:val="en-US"/>
        </w:rPr>
        <w:t>Overall, the Evonik Group’s</w:t>
      </w:r>
      <w:r w:rsidRPr="00087AFA">
        <w:rPr>
          <w:lang w:val="en-US"/>
        </w:rPr>
        <w:t xml:space="preserve"> </w:t>
      </w:r>
      <w:r w:rsidRPr="00087AFA">
        <w:rPr>
          <w:b/>
          <w:sz w:val="20"/>
          <w:lang w:val="en-US"/>
        </w:rPr>
        <w:t>sales</w:t>
      </w:r>
      <w:r w:rsidRPr="00087AFA">
        <w:rPr>
          <w:lang w:val="en-US"/>
        </w:rPr>
        <w:t xml:space="preserve"> </w:t>
      </w:r>
      <w:r w:rsidRPr="00087AFA">
        <w:rPr>
          <w:sz w:val="20"/>
          <w:lang w:val="en-US"/>
        </w:rPr>
        <w:t>contracted by 9 percent to €3,106 million (Q1 2015: €3,425 million</w:t>
      </w:r>
      <w:r>
        <w:rPr>
          <w:sz w:val="20"/>
          <w:lang w:val="en-US"/>
        </w:rPr>
        <w:t>)</w:t>
      </w:r>
      <w:r w:rsidRPr="00087AFA">
        <w:rPr>
          <w:sz w:val="20"/>
          <w:lang w:val="en-US"/>
        </w:rPr>
        <w:t>. While demand for Evonik products was stable overall, selling prices declined by 7 percentage points.</w:t>
      </w:r>
    </w:p>
    <w:p w:rsidR="003B2F9B" w:rsidRPr="00087AFA" w:rsidRDefault="003B2F9B" w:rsidP="003B2F9B">
      <w:pPr>
        <w:spacing w:line="300" w:lineRule="atLeast"/>
        <w:rPr>
          <w:sz w:val="20"/>
          <w:szCs w:val="20"/>
          <w:lang w:val="en-US"/>
        </w:rPr>
      </w:pPr>
    </w:p>
    <w:p w:rsidR="003B2F9B" w:rsidRPr="00087AFA" w:rsidRDefault="003B2F9B" w:rsidP="003B2F9B">
      <w:pPr>
        <w:spacing w:line="300" w:lineRule="atLeast"/>
        <w:rPr>
          <w:sz w:val="20"/>
          <w:szCs w:val="20"/>
          <w:lang w:val="en-US"/>
        </w:rPr>
      </w:pPr>
      <w:r w:rsidRPr="00087AFA">
        <w:rPr>
          <w:b/>
          <w:sz w:val="20"/>
          <w:lang w:val="en-US"/>
        </w:rPr>
        <w:t>Adjusted EBITDA</w:t>
      </w:r>
      <w:r w:rsidRPr="00087AFA">
        <w:rPr>
          <w:lang w:val="en-US"/>
        </w:rPr>
        <w:t xml:space="preserve"> </w:t>
      </w:r>
      <w:r w:rsidRPr="00087AFA">
        <w:rPr>
          <w:sz w:val="20"/>
          <w:lang w:val="en-US"/>
        </w:rPr>
        <w:t xml:space="preserve">was €565 million, 13 percent lower than in the exceptionally strong prior-year period (Q1 2015: €650 million). The </w:t>
      </w:r>
      <w:r w:rsidRPr="00087AFA">
        <w:rPr>
          <w:b/>
          <w:sz w:val="20"/>
          <w:lang w:val="en-US"/>
        </w:rPr>
        <w:t>adjusted EBITDA margin</w:t>
      </w:r>
      <w:r w:rsidRPr="00087AFA">
        <w:rPr>
          <w:sz w:val="20"/>
          <w:lang w:val="en-US"/>
        </w:rPr>
        <w:t xml:space="preserve"> remained very good at 18.2 percent, compared with 19.0 percent in the prior-year period. </w:t>
      </w:r>
      <w:r w:rsidRPr="00087AFA">
        <w:rPr>
          <w:b/>
          <w:sz w:val="20"/>
          <w:lang w:val="en-US"/>
        </w:rPr>
        <w:t>Adjusted EBIT</w:t>
      </w:r>
      <w:r w:rsidRPr="00087AFA">
        <w:rPr>
          <w:lang w:val="en-US"/>
        </w:rPr>
        <w:t xml:space="preserve"> </w:t>
      </w:r>
      <w:r w:rsidRPr="00087AFA">
        <w:rPr>
          <w:sz w:val="20"/>
          <w:lang w:val="en-US"/>
        </w:rPr>
        <w:t xml:space="preserve">fell 20 percent to €389 million. </w:t>
      </w:r>
      <w:r w:rsidRPr="00087AFA">
        <w:rPr>
          <w:b/>
          <w:sz w:val="20"/>
          <w:lang w:val="en-US"/>
        </w:rPr>
        <w:t>Adjusted net income</w:t>
      </w:r>
      <w:r w:rsidRPr="00087AFA">
        <w:rPr>
          <w:sz w:val="20"/>
          <w:lang w:val="en-US"/>
        </w:rPr>
        <w:t xml:space="preserve"> was €254 million in the first quarter, down 21 percent from €320 million in the first quarter of 2015. </w:t>
      </w:r>
      <w:r w:rsidRPr="00087AFA">
        <w:rPr>
          <w:b/>
          <w:sz w:val="20"/>
          <w:lang w:val="en-US"/>
        </w:rPr>
        <w:t>Net income</w:t>
      </w:r>
      <w:r w:rsidRPr="00087AFA">
        <w:rPr>
          <w:sz w:val="20"/>
          <w:lang w:val="en-US"/>
        </w:rPr>
        <w:t xml:space="preserve"> declined 6 percent to €240 million (Q1 2015: €256 million).</w:t>
      </w:r>
    </w:p>
    <w:p w:rsidR="003B2F9B" w:rsidRPr="00087AFA" w:rsidRDefault="003B2F9B" w:rsidP="003B2F9B">
      <w:pPr>
        <w:spacing w:line="300" w:lineRule="atLeast"/>
        <w:rPr>
          <w:sz w:val="20"/>
          <w:szCs w:val="20"/>
          <w:lang w:val="en-US"/>
        </w:rPr>
      </w:pPr>
    </w:p>
    <w:p w:rsidR="003B2F9B" w:rsidRPr="00087AFA" w:rsidRDefault="003B2F9B" w:rsidP="003B2F9B">
      <w:pPr>
        <w:spacing w:line="300" w:lineRule="atLeast"/>
        <w:rPr>
          <w:sz w:val="20"/>
          <w:szCs w:val="20"/>
          <w:lang w:val="en-US"/>
        </w:rPr>
      </w:pPr>
      <w:r>
        <w:rPr>
          <w:b/>
          <w:sz w:val="20"/>
          <w:lang w:val="en-US"/>
        </w:rPr>
        <w:br w:type="page"/>
      </w:r>
      <w:r w:rsidRPr="00087AFA">
        <w:rPr>
          <w:b/>
          <w:sz w:val="20"/>
          <w:lang w:val="en-US"/>
        </w:rPr>
        <w:lastRenderedPageBreak/>
        <w:t>Capital expenditures</w:t>
      </w:r>
      <w:r w:rsidRPr="00087AFA">
        <w:rPr>
          <w:sz w:val="20"/>
          <w:lang w:val="en-US"/>
        </w:rPr>
        <w:t xml:space="preserve"> for property, plant and equipment were €160 million in the first quarter of 2016, 15 percent below the prior-year level of €189 million. In the first quarter of 2016, the free cash flow was €161 million, compared with €179 million in the prior-year period.</w:t>
      </w:r>
    </w:p>
    <w:p w:rsidR="003B2F9B" w:rsidRPr="00087AFA" w:rsidRDefault="003B2F9B" w:rsidP="003B2F9B">
      <w:pPr>
        <w:spacing w:line="300" w:lineRule="atLeast"/>
        <w:jc w:val="both"/>
        <w:rPr>
          <w:sz w:val="20"/>
          <w:szCs w:val="20"/>
          <w:lang w:val="en-US"/>
        </w:rPr>
      </w:pPr>
    </w:p>
    <w:p w:rsidR="003B2F9B" w:rsidRPr="00087AFA" w:rsidRDefault="003B2F9B" w:rsidP="003B2F9B">
      <w:pPr>
        <w:spacing w:after="120" w:line="300" w:lineRule="atLeast"/>
        <w:rPr>
          <w:b/>
          <w:sz w:val="20"/>
          <w:szCs w:val="20"/>
          <w:lang w:val="en-US"/>
        </w:rPr>
      </w:pPr>
      <w:r w:rsidRPr="00087AFA">
        <w:rPr>
          <w:b/>
          <w:sz w:val="20"/>
          <w:lang w:val="en-US"/>
        </w:rPr>
        <w:t>Outlook confirmed</w:t>
      </w:r>
    </w:p>
    <w:p w:rsidR="003B2F9B" w:rsidRPr="00087AFA" w:rsidRDefault="003B2F9B" w:rsidP="003B2F9B">
      <w:pPr>
        <w:spacing w:line="300" w:lineRule="atLeast"/>
        <w:rPr>
          <w:sz w:val="20"/>
          <w:szCs w:val="20"/>
          <w:lang w:val="en-US"/>
        </w:rPr>
      </w:pPr>
      <w:r w:rsidRPr="00087AFA">
        <w:rPr>
          <w:sz w:val="20"/>
          <w:lang w:val="en-US"/>
        </w:rPr>
        <w:t>Evonik's expectations for global economic conditions are unchanged: Overall the company anticipates slightly lower momentum in the global economy, with a year-on-year growth rate of 2.5 percent in 2016.</w:t>
      </w:r>
    </w:p>
    <w:p w:rsidR="003B2F9B" w:rsidRPr="00087AFA" w:rsidRDefault="003B2F9B" w:rsidP="003B2F9B">
      <w:pPr>
        <w:spacing w:line="300" w:lineRule="atLeast"/>
        <w:rPr>
          <w:sz w:val="20"/>
          <w:szCs w:val="20"/>
          <w:lang w:val="en-US"/>
        </w:rPr>
      </w:pPr>
    </w:p>
    <w:p w:rsidR="003B2F9B" w:rsidRPr="00087AFA" w:rsidRDefault="003B2F9B" w:rsidP="003B2F9B">
      <w:pPr>
        <w:spacing w:line="300" w:lineRule="atLeast"/>
        <w:rPr>
          <w:sz w:val="20"/>
          <w:szCs w:val="20"/>
          <w:lang w:val="en-US"/>
        </w:rPr>
      </w:pPr>
      <w:r w:rsidRPr="00087AFA">
        <w:rPr>
          <w:sz w:val="20"/>
          <w:lang w:val="en-US"/>
        </w:rPr>
        <w:t>In these conditions, Evonik is confirming its outlook for the full year: Following a very successful year in 2015, the company expects to report slightly lower sales in 2016 and adjusted EBITDA of between €2.0 billion and €2.2 billion.</w:t>
      </w:r>
    </w:p>
    <w:p w:rsidR="003B2F9B" w:rsidRPr="00087AFA" w:rsidRDefault="003B2F9B" w:rsidP="003B2F9B">
      <w:pPr>
        <w:spacing w:line="300" w:lineRule="atLeast"/>
        <w:jc w:val="both"/>
        <w:rPr>
          <w:sz w:val="20"/>
          <w:szCs w:val="20"/>
          <w:lang w:val="en-US"/>
        </w:rPr>
      </w:pPr>
    </w:p>
    <w:p w:rsidR="003B2F9B" w:rsidRPr="00087AFA" w:rsidRDefault="003B2F9B" w:rsidP="003B2F9B">
      <w:pPr>
        <w:spacing w:after="120" w:line="300" w:lineRule="atLeast"/>
        <w:rPr>
          <w:b/>
          <w:sz w:val="20"/>
          <w:szCs w:val="20"/>
          <w:lang w:val="en-US"/>
        </w:rPr>
      </w:pPr>
      <w:r w:rsidRPr="00087AFA">
        <w:rPr>
          <w:b/>
          <w:sz w:val="20"/>
          <w:lang w:val="en-US"/>
        </w:rPr>
        <w:t>Segment performance</w:t>
      </w:r>
    </w:p>
    <w:p w:rsidR="003B2F9B" w:rsidRPr="00087AFA" w:rsidRDefault="003B2F9B" w:rsidP="003B2F9B">
      <w:pPr>
        <w:spacing w:line="300" w:lineRule="atLeast"/>
        <w:rPr>
          <w:sz w:val="20"/>
          <w:szCs w:val="20"/>
          <w:lang w:val="en-US"/>
        </w:rPr>
      </w:pPr>
      <w:r w:rsidRPr="00087AFA">
        <w:rPr>
          <w:sz w:val="20"/>
          <w:lang w:val="en-US"/>
        </w:rPr>
        <w:t xml:space="preserve">In the first quarter of 2016, the </w:t>
      </w:r>
      <w:r w:rsidRPr="00087AFA">
        <w:rPr>
          <w:b/>
          <w:sz w:val="20"/>
          <w:lang w:val="en-US"/>
        </w:rPr>
        <w:t>Nutrition &amp; Care</w:t>
      </w:r>
      <w:r w:rsidRPr="00087AFA">
        <w:rPr>
          <w:sz w:val="20"/>
          <w:lang w:val="en-US"/>
        </w:rPr>
        <w:t xml:space="preserve"> segment's </w:t>
      </w:r>
      <w:r w:rsidRPr="00087AFA">
        <w:rPr>
          <w:b/>
          <w:sz w:val="20"/>
          <w:lang w:val="en-US"/>
        </w:rPr>
        <w:t>sales</w:t>
      </w:r>
      <w:r w:rsidRPr="00087AFA">
        <w:rPr>
          <w:sz w:val="20"/>
          <w:lang w:val="en-US"/>
        </w:rPr>
        <w:t xml:space="preserve"> fell 15 percent to €1,047 million. Alongside lower volumes, the main reason for this was the decline in world market prices. </w:t>
      </w:r>
      <w:r w:rsidRPr="00087AFA">
        <w:rPr>
          <w:b/>
          <w:sz w:val="20"/>
          <w:lang w:val="en-US"/>
        </w:rPr>
        <w:t>Adjusted EBITDA</w:t>
      </w:r>
      <w:r w:rsidRPr="00087AFA">
        <w:rPr>
          <w:lang w:val="en-US"/>
        </w:rPr>
        <w:t xml:space="preserve"> </w:t>
      </w:r>
      <w:r w:rsidRPr="00087AFA">
        <w:rPr>
          <w:sz w:val="20"/>
          <w:lang w:val="en-US"/>
        </w:rPr>
        <w:t>was €293 million, which was below the very high prior-year level of €353 million. The adjusted EBITDA margin remains at an excellent level of 28.0 percent.</w:t>
      </w:r>
    </w:p>
    <w:p w:rsidR="003B2F9B" w:rsidRPr="00087AFA" w:rsidRDefault="003B2F9B" w:rsidP="003B2F9B">
      <w:pPr>
        <w:spacing w:line="300" w:lineRule="atLeast"/>
        <w:rPr>
          <w:sz w:val="20"/>
          <w:szCs w:val="20"/>
          <w:lang w:val="en-US"/>
        </w:rPr>
      </w:pPr>
    </w:p>
    <w:p w:rsidR="003B2F9B" w:rsidRPr="00087AFA" w:rsidRDefault="003B2F9B" w:rsidP="003B2F9B">
      <w:pPr>
        <w:spacing w:line="300" w:lineRule="atLeast"/>
        <w:rPr>
          <w:sz w:val="20"/>
          <w:szCs w:val="20"/>
          <w:lang w:val="en-US"/>
        </w:rPr>
      </w:pPr>
      <w:r w:rsidRPr="00087AFA">
        <w:rPr>
          <w:sz w:val="20"/>
          <w:lang w:val="en-US"/>
        </w:rPr>
        <w:t xml:space="preserve">Driven by good global demand, the </w:t>
      </w:r>
      <w:r w:rsidRPr="00087AFA">
        <w:rPr>
          <w:b/>
          <w:sz w:val="20"/>
          <w:lang w:val="en-US"/>
        </w:rPr>
        <w:t>Resource Efficiency</w:t>
      </w:r>
      <w:r w:rsidRPr="00087AFA">
        <w:rPr>
          <w:sz w:val="20"/>
          <w:lang w:val="en-US"/>
        </w:rPr>
        <w:t xml:space="preserve"> segment registered pleasing volume growth, but selling prices declined slightly overall. </w:t>
      </w:r>
      <w:r w:rsidRPr="00087AFA">
        <w:rPr>
          <w:b/>
          <w:sz w:val="20"/>
          <w:lang w:val="en-US"/>
        </w:rPr>
        <w:t>Sales</w:t>
      </w:r>
      <w:r w:rsidRPr="00087AFA">
        <w:rPr>
          <w:lang w:val="en-US"/>
        </w:rPr>
        <w:t xml:space="preserve"> </w:t>
      </w:r>
      <w:r w:rsidRPr="00087AFA">
        <w:rPr>
          <w:sz w:val="20"/>
          <w:lang w:val="en-US"/>
        </w:rPr>
        <w:t xml:space="preserve">were virtually unchanged year-on-year at €1,120 million. </w:t>
      </w:r>
      <w:r w:rsidRPr="00087AFA">
        <w:rPr>
          <w:b/>
          <w:sz w:val="20"/>
          <w:lang w:val="en-US"/>
        </w:rPr>
        <w:t>Adjusted EBITDA</w:t>
      </w:r>
      <w:r w:rsidRPr="00087AFA">
        <w:rPr>
          <w:sz w:val="20"/>
          <w:lang w:val="en-US"/>
        </w:rPr>
        <w:t xml:space="preserve"> improved 5 percent to €256 million. The adjusted EBITDA margin increased from 21.7 percent to a very good level of 22.9 percent.</w:t>
      </w:r>
    </w:p>
    <w:p w:rsidR="003B2F9B" w:rsidRPr="00087AFA" w:rsidRDefault="003B2F9B" w:rsidP="003B2F9B">
      <w:pPr>
        <w:spacing w:line="300" w:lineRule="atLeast"/>
        <w:rPr>
          <w:sz w:val="20"/>
          <w:szCs w:val="20"/>
          <w:lang w:val="en-US"/>
        </w:rPr>
      </w:pPr>
    </w:p>
    <w:p w:rsidR="003B2F9B" w:rsidRPr="00087AFA" w:rsidRDefault="003B2F9B" w:rsidP="003B2F9B">
      <w:pPr>
        <w:spacing w:line="300" w:lineRule="atLeast"/>
        <w:rPr>
          <w:sz w:val="20"/>
          <w:szCs w:val="20"/>
          <w:lang w:val="en-US"/>
        </w:rPr>
      </w:pPr>
      <w:r w:rsidRPr="00087AFA">
        <w:rPr>
          <w:b/>
          <w:sz w:val="20"/>
          <w:lang w:val="en-US"/>
        </w:rPr>
        <w:t>Sales</w:t>
      </w:r>
      <w:r w:rsidRPr="00087AFA">
        <w:rPr>
          <w:sz w:val="20"/>
          <w:lang w:val="en-US"/>
        </w:rPr>
        <w:t xml:space="preserve"> declined 9 percent to €772 million in the </w:t>
      </w:r>
      <w:r w:rsidRPr="00087AFA">
        <w:rPr>
          <w:b/>
          <w:sz w:val="20"/>
          <w:lang w:val="en-US"/>
        </w:rPr>
        <w:t>Performance Materials</w:t>
      </w:r>
      <w:r w:rsidRPr="00087AFA">
        <w:rPr>
          <w:sz w:val="20"/>
          <w:lang w:val="en-US"/>
        </w:rPr>
        <w:t xml:space="preserve"> segment. This was due to the continued decline in raw material prices, which led to a further reduction in selling prices. By contrast, volumes increased substantially. </w:t>
      </w:r>
      <w:r w:rsidRPr="00087AFA">
        <w:rPr>
          <w:b/>
          <w:sz w:val="20"/>
          <w:lang w:val="en-US"/>
        </w:rPr>
        <w:t>Adjusted EBITDA</w:t>
      </w:r>
      <w:r w:rsidRPr="00087AFA">
        <w:rPr>
          <w:lang w:val="en-US"/>
        </w:rPr>
        <w:t xml:space="preserve"> </w:t>
      </w:r>
      <w:r w:rsidRPr="00087AFA">
        <w:rPr>
          <w:sz w:val="20"/>
          <w:lang w:val="en-US"/>
        </w:rPr>
        <w:t>was 11 percent lower at €64 million. The adjusted EBITDA margin was 8.3 percent, down slightly from 8.5 percent in the first quarter of 2015.</w:t>
      </w:r>
    </w:p>
    <w:p w:rsidR="003B2F9B" w:rsidRPr="00087AFA" w:rsidRDefault="003B2F9B" w:rsidP="00272D58">
      <w:pPr>
        <w:spacing w:after="120"/>
        <w:rPr>
          <w:lang w:val="en-US"/>
        </w:rPr>
      </w:pPr>
      <w:r>
        <w:rPr>
          <w:b/>
          <w:lang w:val="en-US"/>
        </w:rPr>
        <w:br w:type="page"/>
      </w:r>
      <w:r w:rsidRPr="00087AFA">
        <w:rPr>
          <w:b/>
          <w:lang w:val="en-US"/>
        </w:rPr>
        <w:lastRenderedPageBreak/>
        <w:t>Evonik Group: Excerpt from the income statement</w:t>
      </w: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254"/>
        <w:gridCol w:w="1304"/>
        <w:gridCol w:w="1383"/>
      </w:tblGrid>
      <w:tr w:rsidR="003B2F9B" w:rsidRPr="00087AFA" w:rsidTr="000328D0">
        <w:trPr>
          <w:trHeight w:val="504"/>
        </w:trPr>
        <w:tc>
          <w:tcPr>
            <w:tcW w:w="5387" w:type="dxa"/>
          </w:tcPr>
          <w:p w:rsidR="003B2F9B" w:rsidRPr="00087AFA" w:rsidRDefault="003B2F9B" w:rsidP="000328D0">
            <w:pPr>
              <w:rPr>
                <w:b/>
                <w:bCs/>
                <w:lang w:val="en-US"/>
              </w:rPr>
            </w:pPr>
            <w:r w:rsidRPr="00087AFA">
              <w:rPr>
                <w:b/>
                <w:lang w:val="en-US"/>
              </w:rPr>
              <w:t>(in € million)</w:t>
            </w:r>
          </w:p>
        </w:tc>
        <w:tc>
          <w:tcPr>
            <w:tcW w:w="1254" w:type="dxa"/>
            <w:shd w:val="clear" w:color="auto" w:fill="C0C0C0"/>
          </w:tcPr>
          <w:p w:rsidR="003B2F9B" w:rsidRPr="00087AFA" w:rsidRDefault="003B2F9B" w:rsidP="000328D0">
            <w:pPr>
              <w:jc w:val="center"/>
              <w:rPr>
                <w:b/>
                <w:bCs/>
                <w:lang w:val="en-US"/>
              </w:rPr>
            </w:pPr>
            <w:r w:rsidRPr="00087AFA">
              <w:rPr>
                <w:b/>
                <w:lang w:val="en-US"/>
              </w:rPr>
              <w:t>Q1 2016</w:t>
            </w:r>
          </w:p>
        </w:tc>
        <w:tc>
          <w:tcPr>
            <w:tcW w:w="1304" w:type="dxa"/>
          </w:tcPr>
          <w:p w:rsidR="003B2F9B" w:rsidRPr="00087AFA" w:rsidRDefault="003B2F9B" w:rsidP="000328D0">
            <w:pPr>
              <w:jc w:val="center"/>
              <w:rPr>
                <w:b/>
                <w:bCs/>
                <w:lang w:val="en-US"/>
              </w:rPr>
            </w:pPr>
            <w:r w:rsidRPr="00087AFA">
              <w:rPr>
                <w:b/>
                <w:lang w:val="en-US"/>
              </w:rPr>
              <w:t>Q1 2015</w:t>
            </w:r>
          </w:p>
        </w:tc>
        <w:tc>
          <w:tcPr>
            <w:tcW w:w="1383" w:type="dxa"/>
          </w:tcPr>
          <w:p w:rsidR="003B2F9B" w:rsidRPr="00087AFA" w:rsidRDefault="003B2F9B" w:rsidP="000328D0">
            <w:pPr>
              <w:jc w:val="center"/>
              <w:rPr>
                <w:b/>
                <w:bCs/>
                <w:lang w:val="en-US"/>
              </w:rPr>
            </w:pPr>
            <w:r w:rsidRPr="00087AFA">
              <w:rPr>
                <w:b/>
                <w:lang w:val="en-US"/>
              </w:rPr>
              <w:t>Change</w:t>
            </w:r>
          </w:p>
          <w:p w:rsidR="003B2F9B" w:rsidRPr="00087AFA" w:rsidRDefault="003B2F9B" w:rsidP="000328D0">
            <w:pPr>
              <w:jc w:val="center"/>
              <w:rPr>
                <w:b/>
                <w:bCs/>
                <w:lang w:val="en-US"/>
              </w:rPr>
            </w:pPr>
            <w:r w:rsidRPr="00087AFA">
              <w:rPr>
                <w:b/>
                <w:lang w:val="en-US"/>
              </w:rPr>
              <w:t>in %</w:t>
            </w:r>
          </w:p>
        </w:tc>
      </w:tr>
      <w:tr w:rsidR="003B2F9B" w:rsidRPr="00087AFA" w:rsidTr="000328D0">
        <w:tc>
          <w:tcPr>
            <w:tcW w:w="5387" w:type="dxa"/>
          </w:tcPr>
          <w:p w:rsidR="003B2F9B" w:rsidRPr="00087AFA" w:rsidRDefault="003B2F9B" w:rsidP="000328D0">
            <w:pPr>
              <w:rPr>
                <w:bCs/>
                <w:lang w:val="en-US"/>
              </w:rPr>
            </w:pPr>
            <w:r w:rsidRPr="00087AFA">
              <w:rPr>
                <w:lang w:val="en-US"/>
              </w:rPr>
              <w:t>Sales</w:t>
            </w:r>
          </w:p>
        </w:tc>
        <w:tc>
          <w:tcPr>
            <w:tcW w:w="1254" w:type="dxa"/>
            <w:shd w:val="clear" w:color="auto" w:fill="C0C0C0"/>
          </w:tcPr>
          <w:p w:rsidR="003B2F9B" w:rsidRPr="00087AFA" w:rsidRDefault="003B2F9B" w:rsidP="000328D0">
            <w:pPr>
              <w:jc w:val="right"/>
              <w:rPr>
                <w:bCs/>
                <w:lang w:val="en-US"/>
              </w:rPr>
            </w:pPr>
            <w:r w:rsidRPr="00087AFA">
              <w:rPr>
                <w:lang w:val="en-US"/>
              </w:rPr>
              <w:t>3,106</w:t>
            </w:r>
          </w:p>
        </w:tc>
        <w:tc>
          <w:tcPr>
            <w:tcW w:w="1304" w:type="dxa"/>
          </w:tcPr>
          <w:p w:rsidR="003B2F9B" w:rsidRPr="00087AFA" w:rsidRDefault="003B2F9B" w:rsidP="000328D0">
            <w:pPr>
              <w:ind w:right="120"/>
              <w:jc w:val="right"/>
              <w:rPr>
                <w:bCs/>
                <w:lang w:val="en-US"/>
              </w:rPr>
            </w:pPr>
            <w:r w:rsidRPr="00087AFA">
              <w:rPr>
                <w:lang w:val="en-US"/>
              </w:rPr>
              <w:t>3,425</w:t>
            </w:r>
          </w:p>
        </w:tc>
        <w:tc>
          <w:tcPr>
            <w:tcW w:w="1383" w:type="dxa"/>
          </w:tcPr>
          <w:p w:rsidR="003B2F9B" w:rsidRPr="00087AFA" w:rsidRDefault="003B2F9B" w:rsidP="000328D0">
            <w:pPr>
              <w:jc w:val="right"/>
              <w:rPr>
                <w:bCs/>
                <w:lang w:val="en-US"/>
              </w:rPr>
            </w:pPr>
            <w:r w:rsidRPr="00087AFA">
              <w:rPr>
                <w:lang w:val="en-US"/>
              </w:rPr>
              <w:t>-9</w:t>
            </w:r>
          </w:p>
        </w:tc>
      </w:tr>
      <w:tr w:rsidR="003B2F9B" w:rsidRPr="00087AFA" w:rsidTr="000328D0">
        <w:tc>
          <w:tcPr>
            <w:tcW w:w="5387" w:type="dxa"/>
          </w:tcPr>
          <w:p w:rsidR="003B2F9B" w:rsidRPr="00087AFA" w:rsidRDefault="003B2F9B" w:rsidP="000328D0">
            <w:pPr>
              <w:rPr>
                <w:bCs/>
                <w:lang w:val="en-US"/>
              </w:rPr>
            </w:pPr>
            <w:r w:rsidRPr="00087AFA">
              <w:rPr>
                <w:lang w:val="en-US"/>
              </w:rPr>
              <w:t>Adjusted EBITDA</w:t>
            </w:r>
          </w:p>
        </w:tc>
        <w:tc>
          <w:tcPr>
            <w:tcW w:w="1254" w:type="dxa"/>
            <w:shd w:val="clear" w:color="auto" w:fill="C0C0C0"/>
          </w:tcPr>
          <w:p w:rsidR="003B2F9B" w:rsidRPr="00087AFA" w:rsidRDefault="003B2F9B" w:rsidP="000328D0">
            <w:pPr>
              <w:jc w:val="right"/>
              <w:rPr>
                <w:bCs/>
                <w:lang w:val="en-US"/>
              </w:rPr>
            </w:pPr>
            <w:r w:rsidRPr="00087AFA">
              <w:rPr>
                <w:lang w:val="en-US"/>
              </w:rPr>
              <w:t>565</w:t>
            </w:r>
          </w:p>
        </w:tc>
        <w:tc>
          <w:tcPr>
            <w:tcW w:w="1304" w:type="dxa"/>
          </w:tcPr>
          <w:p w:rsidR="003B2F9B" w:rsidRPr="00087AFA" w:rsidRDefault="003B2F9B" w:rsidP="000328D0">
            <w:pPr>
              <w:ind w:right="120"/>
              <w:jc w:val="right"/>
              <w:rPr>
                <w:bCs/>
                <w:lang w:val="en-US"/>
              </w:rPr>
            </w:pPr>
            <w:r w:rsidRPr="00087AFA">
              <w:rPr>
                <w:lang w:val="en-US"/>
              </w:rPr>
              <w:t>650</w:t>
            </w:r>
          </w:p>
        </w:tc>
        <w:tc>
          <w:tcPr>
            <w:tcW w:w="1383" w:type="dxa"/>
          </w:tcPr>
          <w:p w:rsidR="003B2F9B" w:rsidRPr="00087AFA" w:rsidRDefault="003B2F9B" w:rsidP="000328D0">
            <w:pPr>
              <w:jc w:val="right"/>
              <w:rPr>
                <w:bCs/>
                <w:lang w:val="en-US"/>
              </w:rPr>
            </w:pPr>
            <w:r w:rsidRPr="00087AFA">
              <w:rPr>
                <w:lang w:val="en-US"/>
              </w:rPr>
              <w:t>-13</w:t>
            </w:r>
          </w:p>
        </w:tc>
      </w:tr>
      <w:tr w:rsidR="003B2F9B" w:rsidRPr="00087AFA" w:rsidTr="000328D0">
        <w:tc>
          <w:tcPr>
            <w:tcW w:w="5387" w:type="dxa"/>
          </w:tcPr>
          <w:p w:rsidR="003B2F9B" w:rsidRPr="00087AFA" w:rsidRDefault="003B2F9B" w:rsidP="000328D0">
            <w:pPr>
              <w:rPr>
                <w:bCs/>
                <w:lang w:val="en-US"/>
              </w:rPr>
            </w:pPr>
            <w:r w:rsidRPr="00087AFA">
              <w:rPr>
                <w:lang w:val="en-US"/>
              </w:rPr>
              <w:t>Adjusted EBIT</w:t>
            </w:r>
          </w:p>
        </w:tc>
        <w:tc>
          <w:tcPr>
            <w:tcW w:w="1254" w:type="dxa"/>
            <w:shd w:val="clear" w:color="auto" w:fill="C0C0C0"/>
          </w:tcPr>
          <w:p w:rsidR="003B2F9B" w:rsidRPr="00087AFA" w:rsidRDefault="003B2F9B" w:rsidP="000328D0">
            <w:pPr>
              <w:jc w:val="right"/>
              <w:rPr>
                <w:bCs/>
                <w:lang w:val="en-US"/>
              </w:rPr>
            </w:pPr>
            <w:r w:rsidRPr="00087AFA">
              <w:rPr>
                <w:lang w:val="en-US"/>
              </w:rPr>
              <w:t>389</w:t>
            </w:r>
          </w:p>
        </w:tc>
        <w:tc>
          <w:tcPr>
            <w:tcW w:w="1304" w:type="dxa"/>
          </w:tcPr>
          <w:p w:rsidR="003B2F9B" w:rsidRPr="00087AFA" w:rsidRDefault="003B2F9B" w:rsidP="000328D0">
            <w:pPr>
              <w:ind w:right="120"/>
              <w:jc w:val="right"/>
              <w:rPr>
                <w:bCs/>
                <w:lang w:val="en-US"/>
              </w:rPr>
            </w:pPr>
            <w:r w:rsidRPr="00087AFA">
              <w:rPr>
                <w:lang w:val="en-US"/>
              </w:rPr>
              <w:t>485</w:t>
            </w:r>
          </w:p>
        </w:tc>
        <w:tc>
          <w:tcPr>
            <w:tcW w:w="1383" w:type="dxa"/>
          </w:tcPr>
          <w:p w:rsidR="003B2F9B" w:rsidRPr="00087AFA" w:rsidRDefault="003B2F9B" w:rsidP="000328D0">
            <w:pPr>
              <w:jc w:val="right"/>
              <w:rPr>
                <w:bCs/>
                <w:lang w:val="en-US"/>
              </w:rPr>
            </w:pPr>
            <w:r w:rsidRPr="00087AFA">
              <w:rPr>
                <w:lang w:val="en-US"/>
              </w:rPr>
              <w:t>-20</w:t>
            </w:r>
          </w:p>
        </w:tc>
      </w:tr>
      <w:tr w:rsidR="003B2F9B" w:rsidRPr="00087AFA" w:rsidTr="000328D0">
        <w:tc>
          <w:tcPr>
            <w:tcW w:w="5387" w:type="dxa"/>
          </w:tcPr>
          <w:p w:rsidR="003B2F9B" w:rsidRPr="00087AFA" w:rsidRDefault="003B2F9B" w:rsidP="000328D0">
            <w:pPr>
              <w:rPr>
                <w:bCs/>
                <w:lang w:val="en-US"/>
              </w:rPr>
            </w:pPr>
            <w:r w:rsidRPr="00087AFA">
              <w:rPr>
                <w:lang w:val="en-US"/>
              </w:rPr>
              <w:t>Adjustments</w:t>
            </w:r>
          </w:p>
        </w:tc>
        <w:tc>
          <w:tcPr>
            <w:tcW w:w="1254" w:type="dxa"/>
            <w:shd w:val="clear" w:color="auto" w:fill="C0C0C0"/>
          </w:tcPr>
          <w:p w:rsidR="003B2F9B" w:rsidRPr="00087AFA" w:rsidRDefault="003B2F9B" w:rsidP="000328D0">
            <w:pPr>
              <w:jc w:val="right"/>
              <w:rPr>
                <w:bCs/>
                <w:lang w:val="en-US"/>
              </w:rPr>
            </w:pPr>
            <w:r w:rsidRPr="00087AFA">
              <w:rPr>
                <w:lang w:val="en-US"/>
              </w:rPr>
              <w:t>-13</w:t>
            </w:r>
          </w:p>
        </w:tc>
        <w:tc>
          <w:tcPr>
            <w:tcW w:w="1304" w:type="dxa"/>
          </w:tcPr>
          <w:p w:rsidR="003B2F9B" w:rsidRPr="00087AFA" w:rsidRDefault="003B2F9B" w:rsidP="000328D0">
            <w:pPr>
              <w:ind w:right="120"/>
              <w:jc w:val="right"/>
              <w:rPr>
                <w:bCs/>
                <w:lang w:val="en-US"/>
              </w:rPr>
            </w:pPr>
            <w:r w:rsidRPr="00087AFA">
              <w:rPr>
                <w:lang w:val="en-US"/>
              </w:rPr>
              <w:t>-37</w:t>
            </w:r>
          </w:p>
        </w:tc>
        <w:tc>
          <w:tcPr>
            <w:tcW w:w="1383" w:type="dxa"/>
          </w:tcPr>
          <w:p w:rsidR="003B2F9B" w:rsidRPr="00087AFA" w:rsidRDefault="003B2F9B" w:rsidP="000328D0">
            <w:pPr>
              <w:jc w:val="right"/>
              <w:rPr>
                <w:bCs/>
                <w:lang w:val="en-US"/>
              </w:rPr>
            </w:pPr>
          </w:p>
        </w:tc>
      </w:tr>
      <w:tr w:rsidR="003B2F9B" w:rsidRPr="00087AFA" w:rsidTr="000328D0">
        <w:tc>
          <w:tcPr>
            <w:tcW w:w="5387" w:type="dxa"/>
          </w:tcPr>
          <w:p w:rsidR="003B2F9B" w:rsidRPr="00087AFA" w:rsidRDefault="003B2F9B" w:rsidP="000328D0">
            <w:pPr>
              <w:rPr>
                <w:bCs/>
                <w:lang w:val="en-US"/>
              </w:rPr>
            </w:pPr>
            <w:r w:rsidRPr="00087AFA">
              <w:rPr>
                <w:lang w:val="en-US"/>
              </w:rPr>
              <w:t>Financial result</w:t>
            </w:r>
          </w:p>
        </w:tc>
        <w:tc>
          <w:tcPr>
            <w:tcW w:w="1254" w:type="dxa"/>
            <w:shd w:val="clear" w:color="auto" w:fill="C0C0C0"/>
          </w:tcPr>
          <w:p w:rsidR="003B2F9B" w:rsidRPr="00087AFA" w:rsidRDefault="003B2F9B" w:rsidP="000328D0">
            <w:pPr>
              <w:jc w:val="right"/>
              <w:rPr>
                <w:bCs/>
                <w:lang w:val="en-US"/>
              </w:rPr>
            </w:pPr>
            <w:r w:rsidRPr="00087AFA">
              <w:rPr>
                <w:lang w:val="en-US"/>
              </w:rPr>
              <w:t>-34</w:t>
            </w:r>
          </w:p>
        </w:tc>
        <w:tc>
          <w:tcPr>
            <w:tcW w:w="1304" w:type="dxa"/>
          </w:tcPr>
          <w:p w:rsidR="003B2F9B" w:rsidRPr="00087AFA" w:rsidRDefault="003B2F9B" w:rsidP="000328D0">
            <w:pPr>
              <w:ind w:right="120"/>
              <w:jc w:val="right"/>
              <w:rPr>
                <w:bCs/>
                <w:lang w:val="en-US"/>
              </w:rPr>
            </w:pPr>
            <w:r w:rsidRPr="00087AFA">
              <w:rPr>
                <w:lang w:val="en-US"/>
              </w:rPr>
              <w:t>-63</w:t>
            </w:r>
          </w:p>
        </w:tc>
        <w:tc>
          <w:tcPr>
            <w:tcW w:w="1383" w:type="dxa"/>
          </w:tcPr>
          <w:p w:rsidR="003B2F9B" w:rsidRPr="00087AFA" w:rsidRDefault="003B2F9B" w:rsidP="000328D0">
            <w:pPr>
              <w:jc w:val="right"/>
              <w:rPr>
                <w:bCs/>
                <w:lang w:val="en-US"/>
              </w:rPr>
            </w:pPr>
          </w:p>
        </w:tc>
      </w:tr>
      <w:tr w:rsidR="003B2F9B" w:rsidRPr="00087AFA" w:rsidTr="000328D0">
        <w:tc>
          <w:tcPr>
            <w:tcW w:w="5387" w:type="dxa"/>
          </w:tcPr>
          <w:p w:rsidR="003B2F9B" w:rsidRPr="00087AFA" w:rsidRDefault="003B2F9B" w:rsidP="000328D0">
            <w:pPr>
              <w:rPr>
                <w:bCs/>
                <w:lang w:val="en-US"/>
              </w:rPr>
            </w:pPr>
            <w:r w:rsidRPr="00087AFA">
              <w:rPr>
                <w:lang w:val="en-US"/>
              </w:rPr>
              <w:t>Income before income taxes, continuing operations</w:t>
            </w:r>
          </w:p>
        </w:tc>
        <w:tc>
          <w:tcPr>
            <w:tcW w:w="1254" w:type="dxa"/>
            <w:shd w:val="clear" w:color="auto" w:fill="C0C0C0"/>
          </w:tcPr>
          <w:p w:rsidR="003B2F9B" w:rsidRPr="00087AFA" w:rsidRDefault="003B2F9B" w:rsidP="000328D0">
            <w:pPr>
              <w:jc w:val="right"/>
              <w:rPr>
                <w:bCs/>
                <w:lang w:val="en-US"/>
              </w:rPr>
            </w:pPr>
            <w:r w:rsidRPr="00087AFA">
              <w:rPr>
                <w:lang w:val="en-US"/>
              </w:rPr>
              <w:t>342</w:t>
            </w:r>
          </w:p>
        </w:tc>
        <w:tc>
          <w:tcPr>
            <w:tcW w:w="1304" w:type="dxa"/>
          </w:tcPr>
          <w:p w:rsidR="003B2F9B" w:rsidRPr="00087AFA" w:rsidRDefault="003B2F9B" w:rsidP="000328D0">
            <w:pPr>
              <w:ind w:right="120"/>
              <w:jc w:val="right"/>
              <w:rPr>
                <w:bCs/>
                <w:lang w:val="en-US"/>
              </w:rPr>
            </w:pPr>
            <w:r w:rsidRPr="00087AFA">
              <w:rPr>
                <w:lang w:val="en-US"/>
              </w:rPr>
              <w:t>385</w:t>
            </w:r>
          </w:p>
        </w:tc>
        <w:tc>
          <w:tcPr>
            <w:tcW w:w="1383" w:type="dxa"/>
          </w:tcPr>
          <w:p w:rsidR="003B2F9B" w:rsidRPr="00087AFA" w:rsidRDefault="003B2F9B" w:rsidP="000328D0">
            <w:pPr>
              <w:jc w:val="right"/>
              <w:rPr>
                <w:bCs/>
                <w:lang w:val="en-US"/>
              </w:rPr>
            </w:pPr>
            <w:r w:rsidRPr="00087AFA">
              <w:rPr>
                <w:lang w:val="en-US"/>
              </w:rPr>
              <w:t>-11</w:t>
            </w:r>
          </w:p>
        </w:tc>
      </w:tr>
      <w:tr w:rsidR="003B2F9B" w:rsidRPr="00087AFA" w:rsidTr="000328D0">
        <w:tc>
          <w:tcPr>
            <w:tcW w:w="5387" w:type="dxa"/>
          </w:tcPr>
          <w:p w:rsidR="003B2F9B" w:rsidRPr="00087AFA" w:rsidRDefault="003B2F9B" w:rsidP="000328D0">
            <w:pPr>
              <w:jc w:val="both"/>
              <w:rPr>
                <w:bCs/>
                <w:lang w:val="en-US"/>
              </w:rPr>
            </w:pPr>
            <w:r w:rsidRPr="00087AFA">
              <w:rPr>
                <w:lang w:val="en-US"/>
              </w:rPr>
              <w:t>Income taxes</w:t>
            </w:r>
          </w:p>
        </w:tc>
        <w:tc>
          <w:tcPr>
            <w:tcW w:w="1254" w:type="dxa"/>
            <w:shd w:val="clear" w:color="auto" w:fill="C0C0C0"/>
          </w:tcPr>
          <w:p w:rsidR="003B2F9B" w:rsidRPr="00087AFA" w:rsidRDefault="003B2F9B" w:rsidP="000328D0">
            <w:pPr>
              <w:jc w:val="right"/>
              <w:rPr>
                <w:bCs/>
                <w:lang w:val="en-US"/>
              </w:rPr>
            </w:pPr>
            <w:r w:rsidRPr="00087AFA">
              <w:rPr>
                <w:lang w:val="en-US"/>
              </w:rPr>
              <w:t>-98</w:t>
            </w:r>
          </w:p>
        </w:tc>
        <w:tc>
          <w:tcPr>
            <w:tcW w:w="1304" w:type="dxa"/>
          </w:tcPr>
          <w:p w:rsidR="003B2F9B" w:rsidRPr="00087AFA" w:rsidRDefault="003B2F9B" w:rsidP="000328D0">
            <w:pPr>
              <w:ind w:right="120"/>
              <w:jc w:val="right"/>
              <w:rPr>
                <w:bCs/>
                <w:lang w:val="en-US"/>
              </w:rPr>
            </w:pPr>
            <w:r w:rsidRPr="00087AFA">
              <w:rPr>
                <w:lang w:val="en-US"/>
              </w:rPr>
              <w:t>-115</w:t>
            </w:r>
          </w:p>
        </w:tc>
        <w:tc>
          <w:tcPr>
            <w:tcW w:w="1383" w:type="dxa"/>
          </w:tcPr>
          <w:p w:rsidR="003B2F9B" w:rsidRPr="00087AFA" w:rsidRDefault="003B2F9B" w:rsidP="000328D0">
            <w:pPr>
              <w:jc w:val="right"/>
              <w:rPr>
                <w:bCs/>
                <w:lang w:val="en-US"/>
              </w:rPr>
            </w:pPr>
          </w:p>
        </w:tc>
      </w:tr>
      <w:tr w:rsidR="003B2F9B" w:rsidRPr="00087AFA" w:rsidTr="000328D0">
        <w:tc>
          <w:tcPr>
            <w:tcW w:w="5387" w:type="dxa"/>
          </w:tcPr>
          <w:p w:rsidR="003B2F9B" w:rsidRPr="00087AFA" w:rsidRDefault="003B2F9B" w:rsidP="000328D0">
            <w:pPr>
              <w:rPr>
                <w:bCs/>
                <w:lang w:val="en-US"/>
              </w:rPr>
            </w:pPr>
            <w:r w:rsidRPr="00087AFA">
              <w:rPr>
                <w:lang w:val="en-US"/>
              </w:rPr>
              <w:t>Income after taxes, continuing operations</w:t>
            </w:r>
          </w:p>
        </w:tc>
        <w:tc>
          <w:tcPr>
            <w:tcW w:w="1254" w:type="dxa"/>
            <w:shd w:val="clear" w:color="auto" w:fill="C0C0C0"/>
          </w:tcPr>
          <w:p w:rsidR="003B2F9B" w:rsidRPr="00087AFA" w:rsidRDefault="003B2F9B" w:rsidP="000328D0">
            <w:pPr>
              <w:jc w:val="right"/>
              <w:rPr>
                <w:bCs/>
                <w:lang w:val="en-US"/>
              </w:rPr>
            </w:pPr>
            <w:r w:rsidRPr="00087AFA">
              <w:rPr>
                <w:lang w:val="en-US"/>
              </w:rPr>
              <w:t>244</w:t>
            </w:r>
          </w:p>
        </w:tc>
        <w:tc>
          <w:tcPr>
            <w:tcW w:w="1304" w:type="dxa"/>
          </w:tcPr>
          <w:p w:rsidR="003B2F9B" w:rsidRPr="00087AFA" w:rsidRDefault="003B2F9B" w:rsidP="000328D0">
            <w:pPr>
              <w:ind w:right="120"/>
              <w:jc w:val="right"/>
              <w:rPr>
                <w:bCs/>
                <w:lang w:val="en-US"/>
              </w:rPr>
            </w:pPr>
            <w:r w:rsidRPr="00087AFA">
              <w:rPr>
                <w:lang w:val="en-US"/>
              </w:rPr>
              <w:t>270</w:t>
            </w:r>
          </w:p>
        </w:tc>
        <w:tc>
          <w:tcPr>
            <w:tcW w:w="1383" w:type="dxa"/>
          </w:tcPr>
          <w:p w:rsidR="003B2F9B" w:rsidRPr="00087AFA" w:rsidRDefault="003B2F9B" w:rsidP="000328D0">
            <w:pPr>
              <w:jc w:val="right"/>
              <w:rPr>
                <w:bCs/>
                <w:lang w:val="en-US"/>
              </w:rPr>
            </w:pPr>
            <w:r w:rsidRPr="00087AFA">
              <w:rPr>
                <w:lang w:val="en-US"/>
              </w:rPr>
              <w:t>-10</w:t>
            </w:r>
          </w:p>
        </w:tc>
      </w:tr>
      <w:tr w:rsidR="003B2F9B" w:rsidRPr="00087AFA" w:rsidTr="000328D0">
        <w:tc>
          <w:tcPr>
            <w:tcW w:w="5387" w:type="dxa"/>
          </w:tcPr>
          <w:p w:rsidR="003B2F9B" w:rsidRPr="00087AFA" w:rsidRDefault="003B2F9B" w:rsidP="000328D0">
            <w:pPr>
              <w:rPr>
                <w:bCs/>
                <w:lang w:val="en-US"/>
              </w:rPr>
            </w:pPr>
            <w:r w:rsidRPr="00087AFA">
              <w:rPr>
                <w:lang w:val="en-US"/>
              </w:rPr>
              <w:t>Income after taxes, discontinued operations</w:t>
            </w:r>
          </w:p>
        </w:tc>
        <w:tc>
          <w:tcPr>
            <w:tcW w:w="1254" w:type="dxa"/>
            <w:shd w:val="clear" w:color="auto" w:fill="C0C0C0"/>
          </w:tcPr>
          <w:p w:rsidR="003B2F9B" w:rsidRPr="00087AFA" w:rsidRDefault="003B2F9B" w:rsidP="000328D0">
            <w:pPr>
              <w:jc w:val="right"/>
              <w:rPr>
                <w:bCs/>
                <w:lang w:val="en-US"/>
              </w:rPr>
            </w:pPr>
            <w:r w:rsidRPr="00087AFA">
              <w:rPr>
                <w:lang w:val="en-US"/>
              </w:rPr>
              <w:t>-</w:t>
            </w:r>
          </w:p>
        </w:tc>
        <w:tc>
          <w:tcPr>
            <w:tcW w:w="1304" w:type="dxa"/>
          </w:tcPr>
          <w:p w:rsidR="003B2F9B" w:rsidRPr="00087AFA" w:rsidRDefault="003B2F9B" w:rsidP="000328D0">
            <w:pPr>
              <w:ind w:right="120"/>
              <w:jc w:val="right"/>
              <w:rPr>
                <w:bCs/>
                <w:lang w:val="en-US"/>
              </w:rPr>
            </w:pPr>
            <w:r w:rsidRPr="00087AFA">
              <w:rPr>
                <w:lang w:val="en-US"/>
              </w:rPr>
              <w:t>-11</w:t>
            </w:r>
          </w:p>
        </w:tc>
        <w:tc>
          <w:tcPr>
            <w:tcW w:w="1383" w:type="dxa"/>
          </w:tcPr>
          <w:p w:rsidR="003B2F9B" w:rsidRPr="00087AFA" w:rsidRDefault="003B2F9B" w:rsidP="000328D0">
            <w:pPr>
              <w:jc w:val="right"/>
              <w:rPr>
                <w:bCs/>
                <w:lang w:val="en-US"/>
              </w:rPr>
            </w:pPr>
          </w:p>
        </w:tc>
      </w:tr>
      <w:tr w:rsidR="003B2F9B" w:rsidRPr="00087AFA" w:rsidTr="000328D0">
        <w:tc>
          <w:tcPr>
            <w:tcW w:w="5387" w:type="dxa"/>
          </w:tcPr>
          <w:p w:rsidR="003B2F9B" w:rsidRPr="00087AFA" w:rsidRDefault="003B2F9B" w:rsidP="000328D0">
            <w:pPr>
              <w:jc w:val="both"/>
              <w:rPr>
                <w:bCs/>
                <w:lang w:val="en-US"/>
              </w:rPr>
            </w:pPr>
            <w:r w:rsidRPr="00087AFA">
              <w:rPr>
                <w:lang w:val="en-US"/>
              </w:rPr>
              <w:t>Income after taxes</w:t>
            </w:r>
          </w:p>
        </w:tc>
        <w:tc>
          <w:tcPr>
            <w:tcW w:w="1254" w:type="dxa"/>
            <w:shd w:val="clear" w:color="auto" w:fill="C0C0C0"/>
          </w:tcPr>
          <w:p w:rsidR="003B2F9B" w:rsidRPr="00087AFA" w:rsidRDefault="003B2F9B" w:rsidP="000328D0">
            <w:pPr>
              <w:jc w:val="right"/>
              <w:rPr>
                <w:bCs/>
                <w:lang w:val="en-US"/>
              </w:rPr>
            </w:pPr>
            <w:r w:rsidRPr="00087AFA">
              <w:rPr>
                <w:lang w:val="en-US"/>
              </w:rPr>
              <w:t>244</w:t>
            </w:r>
          </w:p>
        </w:tc>
        <w:tc>
          <w:tcPr>
            <w:tcW w:w="1304" w:type="dxa"/>
          </w:tcPr>
          <w:p w:rsidR="003B2F9B" w:rsidRPr="00087AFA" w:rsidRDefault="003B2F9B" w:rsidP="000328D0">
            <w:pPr>
              <w:ind w:right="120"/>
              <w:jc w:val="right"/>
              <w:rPr>
                <w:bCs/>
                <w:lang w:val="en-US"/>
              </w:rPr>
            </w:pPr>
            <w:r w:rsidRPr="00087AFA">
              <w:rPr>
                <w:lang w:val="en-US"/>
              </w:rPr>
              <w:t>259</w:t>
            </w:r>
          </w:p>
        </w:tc>
        <w:tc>
          <w:tcPr>
            <w:tcW w:w="1383" w:type="dxa"/>
          </w:tcPr>
          <w:p w:rsidR="003B2F9B" w:rsidRPr="00087AFA" w:rsidRDefault="003B2F9B" w:rsidP="000328D0">
            <w:pPr>
              <w:jc w:val="right"/>
              <w:rPr>
                <w:bCs/>
                <w:lang w:val="en-US"/>
              </w:rPr>
            </w:pPr>
            <w:r w:rsidRPr="00087AFA">
              <w:rPr>
                <w:lang w:val="en-US"/>
              </w:rPr>
              <w:t>-6</w:t>
            </w:r>
          </w:p>
        </w:tc>
      </w:tr>
      <w:tr w:rsidR="003B2F9B" w:rsidRPr="00087AFA" w:rsidTr="000328D0">
        <w:tc>
          <w:tcPr>
            <w:tcW w:w="5387" w:type="dxa"/>
          </w:tcPr>
          <w:p w:rsidR="003B2F9B" w:rsidRPr="00087AFA" w:rsidRDefault="003B2F9B" w:rsidP="000328D0">
            <w:pPr>
              <w:jc w:val="both"/>
              <w:rPr>
                <w:bCs/>
                <w:lang w:val="en-US"/>
              </w:rPr>
            </w:pPr>
            <w:r w:rsidRPr="00087AFA">
              <w:rPr>
                <w:lang w:val="en-US"/>
              </w:rPr>
              <w:t xml:space="preserve">       thereof attributable to non-controlling interests</w:t>
            </w:r>
          </w:p>
        </w:tc>
        <w:tc>
          <w:tcPr>
            <w:tcW w:w="1254" w:type="dxa"/>
            <w:shd w:val="clear" w:color="auto" w:fill="C0C0C0"/>
          </w:tcPr>
          <w:p w:rsidR="003B2F9B" w:rsidRPr="00087AFA" w:rsidRDefault="003B2F9B" w:rsidP="000328D0">
            <w:pPr>
              <w:jc w:val="right"/>
              <w:rPr>
                <w:bCs/>
                <w:lang w:val="en-US"/>
              </w:rPr>
            </w:pPr>
            <w:r w:rsidRPr="00087AFA">
              <w:rPr>
                <w:lang w:val="en-US"/>
              </w:rPr>
              <w:t>4</w:t>
            </w:r>
          </w:p>
        </w:tc>
        <w:tc>
          <w:tcPr>
            <w:tcW w:w="1304" w:type="dxa"/>
          </w:tcPr>
          <w:p w:rsidR="003B2F9B" w:rsidRPr="00087AFA" w:rsidRDefault="003B2F9B" w:rsidP="000328D0">
            <w:pPr>
              <w:ind w:right="120"/>
              <w:jc w:val="right"/>
              <w:rPr>
                <w:bCs/>
                <w:lang w:val="en-US"/>
              </w:rPr>
            </w:pPr>
            <w:r w:rsidRPr="00087AFA">
              <w:rPr>
                <w:lang w:val="en-US"/>
              </w:rPr>
              <w:t>3</w:t>
            </w:r>
          </w:p>
        </w:tc>
        <w:tc>
          <w:tcPr>
            <w:tcW w:w="1383" w:type="dxa"/>
          </w:tcPr>
          <w:p w:rsidR="003B2F9B" w:rsidRPr="00087AFA" w:rsidRDefault="003B2F9B" w:rsidP="000328D0">
            <w:pPr>
              <w:jc w:val="right"/>
              <w:rPr>
                <w:bCs/>
                <w:lang w:val="en-US"/>
              </w:rPr>
            </w:pPr>
          </w:p>
        </w:tc>
      </w:tr>
      <w:tr w:rsidR="003B2F9B" w:rsidRPr="00087AFA" w:rsidTr="000328D0">
        <w:tc>
          <w:tcPr>
            <w:tcW w:w="5387" w:type="dxa"/>
          </w:tcPr>
          <w:p w:rsidR="003B2F9B" w:rsidRPr="00087AFA" w:rsidRDefault="003B2F9B" w:rsidP="000328D0">
            <w:pPr>
              <w:jc w:val="both"/>
              <w:rPr>
                <w:b/>
                <w:bCs/>
                <w:lang w:val="en-US"/>
              </w:rPr>
            </w:pPr>
            <w:r w:rsidRPr="00087AFA">
              <w:rPr>
                <w:b/>
                <w:lang w:val="en-US"/>
              </w:rPr>
              <w:t>Net income</w:t>
            </w:r>
          </w:p>
        </w:tc>
        <w:tc>
          <w:tcPr>
            <w:tcW w:w="1254" w:type="dxa"/>
            <w:shd w:val="clear" w:color="auto" w:fill="C0C0C0"/>
          </w:tcPr>
          <w:p w:rsidR="003B2F9B" w:rsidRPr="00087AFA" w:rsidRDefault="003B2F9B" w:rsidP="000328D0">
            <w:pPr>
              <w:jc w:val="right"/>
              <w:rPr>
                <w:bCs/>
                <w:lang w:val="en-US"/>
              </w:rPr>
            </w:pPr>
            <w:r w:rsidRPr="00087AFA">
              <w:rPr>
                <w:lang w:val="en-US"/>
              </w:rPr>
              <w:t>240</w:t>
            </w:r>
          </w:p>
        </w:tc>
        <w:tc>
          <w:tcPr>
            <w:tcW w:w="1304" w:type="dxa"/>
          </w:tcPr>
          <w:p w:rsidR="003B2F9B" w:rsidRPr="00087AFA" w:rsidRDefault="003B2F9B" w:rsidP="000328D0">
            <w:pPr>
              <w:ind w:right="120"/>
              <w:jc w:val="right"/>
              <w:rPr>
                <w:bCs/>
                <w:lang w:val="en-US"/>
              </w:rPr>
            </w:pPr>
            <w:r w:rsidRPr="00087AFA">
              <w:rPr>
                <w:lang w:val="en-US"/>
              </w:rPr>
              <w:t>256</w:t>
            </w:r>
          </w:p>
        </w:tc>
        <w:tc>
          <w:tcPr>
            <w:tcW w:w="1383" w:type="dxa"/>
          </w:tcPr>
          <w:p w:rsidR="003B2F9B" w:rsidRPr="00087AFA" w:rsidRDefault="003B2F9B" w:rsidP="000328D0">
            <w:pPr>
              <w:jc w:val="right"/>
              <w:rPr>
                <w:bCs/>
                <w:lang w:val="en-US"/>
              </w:rPr>
            </w:pPr>
            <w:r w:rsidRPr="00087AFA">
              <w:rPr>
                <w:lang w:val="en-US"/>
              </w:rPr>
              <w:t>-6</w:t>
            </w:r>
          </w:p>
        </w:tc>
      </w:tr>
      <w:tr w:rsidR="003B2F9B" w:rsidRPr="00087AFA" w:rsidTr="000328D0">
        <w:tc>
          <w:tcPr>
            <w:tcW w:w="5387" w:type="dxa"/>
          </w:tcPr>
          <w:p w:rsidR="003B2F9B" w:rsidRPr="00087AFA" w:rsidRDefault="003B2F9B" w:rsidP="000328D0">
            <w:pPr>
              <w:jc w:val="both"/>
              <w:rPr>
                <w:b/>
                <w:bCs/>
                <w:lang w:val="en-US"/>
              </w:rPr>
            </w:pPr>
            <w:r w:rsidRPr="00087AFA">
              <w:rPr>
                <w:b/>
                <w:lang w:val="en-US"/>
              </w:rPr>
              <w:t>Adjusted net income</w:t>
            </w:r>
          </w:p>
        </w:tc>
        <w:tc>
          <w:tcPr>
            <w:tcW w:w="1254" w:type="dxa"/>
            <w:shd w:val="clear" w:color="auto" w:fill="C0C0C0"/>
          </w:tcPr>
          <w:p w:rsidR="003B2F9B" w:rsidRPr="00087AFA" w:rsidRDefault="003B2F9B" w:rsidP="000328D0">
            <w:pPr>
              <w:jc w:val="right"/>
              <w:rPr>
                <w:bCs/>
                <w:lang w:val="en-US"/>
              </w:rPr>
            </w:pPr>
            <w:r w:rsidRPr="00087AFA">
              <w:rPr>
                <w:lang w:val="en-US"/>
              </w:rPr>
              <w:t>254</w:t>
            </w:r>
          </w:p>
        </w:tc>
        <w:tc>
          <w:tcPr>
            <w:tcW w:w="1304" w:type="dxa"/>
          </w:tcPr>
          <w:p w:rsidR="003B2F9B" w:rsidRPr="00087AFA" w:rsidRDefault="003B2F9B" w:rsidP="000328D0">
            <w:pPr>
              <w:ind w:right="120"/>
              <w:jc w:val="right"/>
              <w:rPr>
                <w:bCs/>
                <w:lang w:val="en-US"/>
              </w:rPr>
            </w:pPr>
            <w:r w:rsidRPr="00087AFA">
              <w:rPr>
                <w:lang w:val="en-US"/>
              </w:rPr>
              <w:t>320</w:t>
            </w:r>
          </w:p>
        </w:tc>
        <w:tc>
          <w:tcPr>
            <w:tcW w:w="1383" w:type="dxa"/>
          </w:tcPr>
          <w:p w:rsidR="003B2F9B" w:rsidRPr="00087AFA" w:rsidRDefault="003B2F9B" w:rsidP="000328D0">
            <w:pPr>
              <w:jc w:val="right"/>
              <w:rPr>
                <w:bCs/>
                <w:lang w:val="en-US"/>
              </w:rPr>
            </w:pPr>
            <w:r w:rsidRPr="00087AFA">
              <w:rPr>
                <w:lang w:val="en-US"/>
              </w:rPr>
              <w:t>-21</w:t>
            </w:r>
          </w:p>
        </w:tc>
      </w:tr>
    </w:tbl>
    <w:p w:rsidR="003B2F9B" w:rsidRPr="00087AFA" w:rsidRDefault="003B2F9B" w:rsidP="003B2F9B">
      <w:pPr>
        <w:rPr>
          <w:bCs/>
          <w:lang w:val="en-US"/>
        </w:rPr>
      </w:pPr>
      <w:r w:rsidRPr="00087AFA">
        <w:rPr>
          <w:lang w:val="en-US"/>
        </w:rPr>
        <w:t>Prior-year figures restated</w:t>
      </w:r>
    </w:p>
    <w:p w:rsidR="003B2F9B" w:rsidRPr="00087AFA" w:rsidRDefault="003B2F9B" w:rsidP="003B2F9B">
      <w:pPr>
        <w:rPr>
          <w:bCs/>
          <w:lang w:val="en-US"/>
        </w:rPr>
      </w:pPr>
    </w:p>
    <w:p w:rsidR="003B2F9B" w:rsidRPr="00087AFA" w:rsidRDefault="003B2F9B" w:rsidP="003B2F9B">
      <w:pPr>
        <w:spacing w:after="120"/>
        <w:rPr>
          <w:b/>
          <w:bCs/>
          <w:lang w:val="en-US"/>
        </w:rPr>
      </w:pPr>
      <w:r w:rsidRPr="00087AFA">
        <w:rPr>
          <w:b/>
          <w:lang w:val="en-US"/>
        </w:rPr>
        <w:t>Segment performance</w:t>
      </w: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31"/>
        <w:gridCol w:w="1134"/>
        <w:gridCol w:w="1134"/>
        <w:gridCol w:w="1276"/>
        <w:gridCol w:w="1275"/>
        <w:gridCol w:w="993"/>
      </w:tblGrid>
      <w:tr w:rsidR="003B2F9B" w:rsidRPr="00087AFA" w:rsidTr="000328D0">
        <w:tc>
          <w:tcPr>
            <w:tcW w:w="2694" w:type="dxa"/>
            <w:vMerge w:val="restart"/>
          </w:tcPr>
          <w:p w:rsidR="003B2F9B" w:rsidRPr="00087AFA" w:rsidRDefault="003B2F9B" w:rsidP="000328D0">
            <w:pPr>
              <w:rPr>
                <w:bCs/>
                <w:lang w:val="en-US"/>
              </w:rPr>
            </w:pPr>
          </w:p>
        </w:tc>
        <w:tc>
          <w:tcPr>
            <w:tcW w:w="3499" w:type="dxa"/>
            <w:gridSpan w:val="3"/>
          </w:tcPr>
          <w:p w:rsidR="003B2F9B" w:rsidRPr="00087AFA" w:rsidRDefault="003B2F9B" w:rsidP="000328D0">
            <w:pPr>
              <w:jc w:val="center"/>
              <w:rPr>
                <w:b/>
                <w:bCs/>
                <w:lang w:val="en-US"/>
              </w:rPr>
            </w:pPr>
            <w:r w:rsidRPr="00087AFA">
              <w:rPr>
                <w:b/>
                <w:lang w:val="en-US"/>
              </w:rPr>
              <w:t>Sales</w:t>
            </w:r>
          </w:p>
        </w:tc>
        <w:tc>
          <w:tcPr>
            <w:tcW w:w="3544" w:type="dxa"/>
            <w:gridSpan w:val="3"/>
          </w:tcPr>
          <w:p w:rsidR="003B2F9B" w:rsidRPr="00087AFA" w:rsidRDefault="003B2F9B" w:rsidP="000328D0">
            <w:pPr>
              <w:jc w:val="center"/>
              <w:rPr>
                <w:b/>
                <w:bCs/>
                <w:lang w:val="en-US"/>
              </w:rPr>
            </w:pPr>
            <w:r w:rsidRPr="00087AFA">
              <w:rPr>
                <w:b/>
                <w:lang w:val="en-US"/>
              </w:rPr>
              <w:t>Adjusted EBITDA</w:t>
            </w:r>
          </w:p>
        </w:tc>
      </w:tr>
      <w:tr w:rsidR="003B2F9B" w:rsidRPr="00087AFA" w:rsidTr="000328D0">
        <w:tc>
          <w:tcPr>
            <w:tcW w:w="2694" w:type="dxa"/>
            <w:vMerge/>
          </w:tcPr>
          <w:p w:rsidR="003B2F9B" w:rsidRPr="00087AFA" w:rsidRDefault="003B2F9B" w:rsidP="000328D0">
            <w:pPr>
              <w:rPr>
                <w:bCs/>
                <w:lang w:val="en-US"/>
              </w:rPr>
            </w:pPr>
          </w:p>
        </w:tc>
        <w:tc>
          <w:tcPr>
            <w:tcW w:w="1231" w:type="dxa"/>
            <w:shd w:val="clear" w:color="auto" w:fill="C0C0C0"/>
          </w:tcPr>
          <w:p w:rsidR="003B2F9B" w:rsidRPr="00087AFA" w:rsidRDefault="003B2F9B" w:rsidP="000328D0">
            <w:pPr>
              <w:jc w:val="center"/>
              <w:rPr>
                <w:b/>
                <w:bCs/>
                <w:sz w:val="16"/>
                <w:szCs w:val="16"/>
                <w:lang w:val="en-US"/>
              </w:rPr>
            </w:pPr>
            <w:r w:rsidRPr="00087AFA">
              <w:rPr>
                <w:b/>
                <w:sz w:val="16"/>
                <w:lang w:val="en-US"/>
              </w:rPr>
              <w:t>Q1 2016</w:t>
            </w:r>
            <w:r w:rsidRPr="00087AFA">
              <w:rPr>
                <w:lang w:val="en-US"/>
              </w:rPr>
              <w:br/>
            </w:r>
            <w:r w:rsidRPr="00087AFA">
              <w:rPr>
                <w:b/>
                <w:sz w:val="16"/>
                <w:lang w:val="en-US"/>
              </w:rPr>
              <w:t xml:space="preserve">in </w:t>
            </w:r>
            <w:r>
              <w:rPr>
                <w:b/>
                <w:sz w:val="16"/>
                <w:lang w:val="en-US"/>
              </w:rPr>
              <w:br/>
            </w:r>
            <w:r w:rsidRPr="00087AFA">
              <w:rPr>
                <w:b/>
                <w:sz w:val="16"/>
                <w:lang w:val="en-US"/>
              </w:rPr>
              <w:t>€ million</w:t>
            </w:r>
          </w:p>
        </w:tc>
        <w:tc>
          <w:tcPr>
            <w:tcW w:w="1134" w:type="dxa"/>
          </w:tcPr>
          <w:p w:rsidR="003B2F9B" w:rsidRPr="00087AFA" w:rsidRDefault="003B2F9B" w:rsidP="000328D0">
            <w:pPr>
              <w:jc w:val="center"/>
              <w:rPr>
                <w:b/>
                <w:bCs/>
                <w:sz w:val="16"/>
                <w:szCs w:val="16"/>
                <w:lang w:val="en-US"/>
              </w:rPr>
            </w:pPr>
            <w:r w:rsidRPr="00087AFA">
              <w:rPr>
                <w:b/>
                <w:sz w:val="16"/>
                <w:lang w:val="en-US"/>
              </w:rPr>
              <w:t>Q1 2015</w:t>
            </w:r>
            <w:r w:rsidRPr="00087AFA">
              <w:rPr>
                <w:lang w:val="en-US"/>
              </w:rPr>
              <w:br/>
            </w:r>
            <w:r w:rsidRPr="00087AFA">
              <w:rPr>
                <w:b/>
                <w:sz w:val="16"/>
                <w:lang w:val="en-US"/>
              </w:rPr>
              <w:t xml:space="preserve">in </w:t>
            </w:r>
            <w:r>
              <w:rPr>
                <w:b/>
                <w:sz w:val="16"/>
                <w:lang w:val="en-US"/>
              </w:rPr>
              <w:br/>
            </w:r>
            <w:r w:rsidRPr="00087AFA">
              <w:rPr>
                <w:b/>
                <w:sz w:val="16"/>
                <w:lang w:val="en-US"/>
              </w:rPr>
              <w:t>€ million</w:t>
            </w:r>
          </w:p>
        </w:tc>
        <w:tc>
          <w:tcPr>
            <w:tcW w:w="1134" w:type="dxa"/>
          </w:tcPr>
          <w:p w:rsidR="003B2F9B" w:rsidRPr="00087AFA" w:rsidRDefault="003B2F9B" w:rsidP="000328D0">
            <w:pPr>
              <w:jc w:val="center"/>
              <w:rPr>
                <w:b/>
                <w:bCs/>
                <w:sz w:val="16"/>
                <w:szCs w:val="16"/>
                <w:lang w:val="en-US"/>
              </w:rPr>
            </w:pPr>
            <w:r w:rsidRPr="00087AFA">
              <w:rPr>
                <w:b/>
                <w:sz w:val="16"/>
                <w:lang w:val="en-US"/>
              </w:rPr>
              <w:t xml:space="preserve">Change </w:t>
            </w:r>
            <w:r w:rsidRPr="00087AFA">
              <w:rPr>
                <w:lang w:val="en-US"/>
              </w:rPr>
              <w:br/>
            </w:r>
            <w:r w:rsidRPr="00087AFA">
              <w:rPr>
                <w:b/>
                <w:sz w:val="16"/>
                <w:lang w:val="en-US"/>
              </w:rPr>
              <w:t>in %</w:t>
            </w:r>
          </w:p>
        </w:tc>
        <w:tc>
          <w:tcPr>
            <w:tcW w:w="1276" w:type="dxa"/>
            <w:shd w:val="clear" w:color="auto" w:fill="C0C0C0"/>
          </w:tcPr>
          <w:p w:rsidR="003B2F9B" w:rsidRPr="00087AFA" w:rsidRDefault="003B2F9B" w:rsidP="000328D0">
            <w:pPr>
              <w:jc w:val="center"/>
              <w:rPr>
                <w:b/>
                <w:bCs/>
                <w:sz w:val="16"/>
                <w:szCs w:val="16"/>
                <w:lang w:val="en-US"/>
              </w:rPr>
            </w:pPr>
            <w:r w:rsidRPr="00087AFA">
              <w:rPr>
                <w:b/>
                <w:sz w:val="16"/>
                <w:lang w:val="en-US"/>
              </w:rPr>
              <w:t>Q1 2016</w:t>
            </w:r>
            <w:r w:rsidRPr="00087AFA">
              <w:rPr>
                <w:lang w:val="en-US"/>
              </w:rPr>
              <w:br/>
            </w:r>
            <w:r w:rsidRPr="00087AFA">
              <w:rPr>
                <w:b/>
                <w:sz w:val="16"/>
                <w:lang w:val="en-US"/>
              </w:rPr>
              <w:t xml:space="preserve">in </w:t>
            </w:r>
            <w:r>
              <w:rPr>
                <w:b/>
                <w:sz w:val="16"/>
                <w:lang w:val="en-US"/>
              </w:rPr>
              <w:br/>
            </w:r>
            <w:r w:rsidRPr="00087AFA">
              <w:rPr>
                <w:b/>
                <w:sz w:val="16"/>
                <w:lang w:val="en-US"/>
              </w:rPr>
              <w:t>€ million</w:t>
            </w:r>
          </w:p>
        </w:tc>
        <w:tc>
          <w:tcPr>
            <w:tcW w:w="1275" w:type="dxa"/>
          </w:tcPr>
          <w:p w:rsidR="003B2F9B" w:rsidRPr="00087AFA" w:rsidRDefault="003B2F9B" w:rsidP="000328D0">
            <w:pPr>
              <w:jc w:val="center"/>
              <w:rPr>
                <w:b/>
                <w:bCs/>
                <w:sz w:val="16"/>
                <w:szCs w:val="16"/>
                <w:lang w:val="en-US"/>
              </w:rPr>
            </w:pPr>
            <w:r w:rsidRPr="00087AFA">
              <w:rPr>
                <w:b/>
                <w:sz w:val="16"/>
                <w:lang w:val="en-US"/>
              </w:rPr>
              <w:t>Q1 2015</w:t>
            </w:r>
            <w:r w:rsidRPr="00087AFA">
              <w:rPr>
                <w:lang w:val="en-US"/>
              </w:rPr>
              <w:br/>
            </w:r>
            <w:r w:rsidRPr="00087AFA">
              <w:rPr>
                <w:b/>
                <w:sz w:val="16"/>
                <w:lang w:val="en-US"/>
              </w:rPr>
              <w:t>in</w:t>
            </w:r>
            <w:r>
              <w:rPr>
                <w:b/>
                <w:sz w:val="16"/>
                <w:lang w:val="en-US"/>
              </w:rPr>
              <w:br/>
            </w:r>
            <w:r w:rsidRPr="00087AFA">
              <w:rPr>
                <w:b/>
                <w:sz w:val="16"/>
                <w:lang w:val="en-US"/>
              </w:rPr>
              <w:t xml:space="preserve"> € million</w:t>
            </w:r>
          </w:p>
        </w:tc>
        <w:tc>
          <w:tcPr>
            <w:tcW w:w="993" w:type="dxa"/>
          </w:tcPr>
          <w:p w:rsidR="003B2F9B" w:rsidRPr="00087AFA" w:rsidRDefault="003B2F9B" w:rsidP="000328D0">
            <w:pPr>
              <w:jc w:val="center"/>
              <w:rPr>
                <w:b/>
                <w:bCs/>
                <w:sz w:val="16"/>
                <w:szCs w:val="16"/>
                <w:lang w:val="en-US"/>
              </w:rPr>
            </w:pPr>
            <w:r w:rsidRPr="00087AFA">
              <w:rPr>
                <w:b/>
                <w:sz w:val="16"/>
                <w:lang w:val="en-US"/>
              </w:rPr>
              <w:t>Change in %</w:t>
            </w:r>
          </w:p>
        </w:tc>
      </w:tr>
      <w:tr w:rsidR="003B2F9B" w:rsidRPr="00087AFA" w:rsidTr="000328D0">
        <w:tc>
          <w:tcPr>
            <w:tcW w:w="2694" w:type="dxa"/>
          </w:tcPr>
          <w:p w:rsidR="003B2F9B" w:rsidRPr="00087AFA" w:rsidRDefault="003B2F9B" w:rsidP="000328D0">
            <w:pPr>
              <w:rPr>
                <w:bCs/>
                <w:lang w:val="en-US"/>
              </w:rPr>
            </w:pPr>
            <w:r w:rsidRPr="00087AFA">
              <w:rPr>
                <w:lang w:val="en-US"/>
              </w:rPr>
              <w:t>Nutrition &amp; Care</w:t>
            </w:r>
          </w:p>
        </w:tc>
        <w:tc>
          <w:tcPr>
            <w:tcW w:w="1231" w:type="dxa"/>
            <w:shd w:val="clear" w:color="auto" w:fill="C0C0C0"/>
            <w:vAlign w:val="center"/>
          </w:tcPr>
          <w:p w:rsidR="003B2F9B" w:rsidRPr="00087AFA" w:rsidRDefault="003B2F9B" w:rsidP="000328D0">
            <w:pPr>
              <w:jc w:val="right"/>
              <w:rPr>
                <w:bCs/>
                <w:lang w:val="en-US"/>
              </w:rPr>
            </w:pPr>
            <w:r w:rsidRPr="00087AFA">
              <w:rPr>
                <w:lang w:val="en-US"/>
              </w:rPr>
              <w:t>1,047</w:t>
            </w:r>
          </w:p>
        </w:tc>
        <w:tc>
          <w:tcPr>
            <w:tcW w:w="1134" w:type="dxa"/>
            <w:vAlign w:val="center"/>
          </w:tcPr>
          <w:p w:rsidR="003B2F9B" w:rsidRPr="00087AFA" w:rsidRDefault="003B2F9B" w:rsidP="000328D0">
            <w:pPr>
              <w:jc w:val="right"/>
              <w:rPr>
                <w:bCs/>
                <w:lang w:val="en-US"/>
              </w:rPr>
            </w:pPr>
            <w:r w:rsidRPr="00087AFA">
              <w:rPr>
                <w:lang w:val="en-US"/>
              </w:rPr>
              <w:t>1,229</w:t>
            </w:r>
          </w:p>
        </w:tc>
        <w:tc>
          <w:tcPr>
            <w:tcW w:w="1134" w:type="dxa"/>
            <w:vAlign w:val="center"/>
          </w:tcPr>
          <w:p w:rsidR="003B2F9B" w:rsidRPr="00087AFA" w:rsidRDefault="003B2F9B" w:rsidP="000328D0">
            <w:pPr>
              <w:jc w:val="right"/>
              <w:rPr>
                <w:bCs/>
                <w:lang w:val="en-US"/>
              </w:rPr>
            </w:pPr>
            <w:r w:rsidRPr="00087AFA">
              <w:rPr>
                <w:lang w:val="en-US"/>
              </w:rPr>
              <w:t>-15</w:t>
            </w:r>
          </w:p>
        </w:tc>
        <w:tc>
          <w:tcPr>
            <w:tcW w:w="1276" w:type="dxa"/>
            <w:shd w:val="clear" w:color="auto" w:fill="C0C0C0"/>
            <w:vAlign w:val="center"/>
          </w:tcPr>
          <w:p w:rsidR="003B2F9B" w:rsidRPr="00087AFA" w:rsidRDefault="003B2F9B" w:rsidP="000328D0">
            <w:pPr>
              <w:jc w:val="right"/>
              <w:rPr>
                <w:bCs/>
                <w:lang w:val="en-US"/>
              </w:rPr>
            </w:pPr>
            <w:r w:rsidRPr="00087AFA">
              <w:rPr>
                <w:lang w:val="en-US"/>
              </w:rPr>
              <w:t>293</w:t>
            </w:r>
          </w:p>
        </w:tc>
        <w:tc>
          <w:tcPr>
            <w:tcW w:w="1275" w:type="dxa"/>
            <w:vAlign w:val="center"/>
          </w:tcPr>
          <w:p w:rsidR="003B2F9B" w:rsidRPr="00087AFA" w:rsidRDefault="003B2F9B" w:rsidP="000328D0">
            <w:pPr>
              <w:jc w:val="right"/>
              <w:rPr>
                <w:bCs/>
                <w:lang w:val="en-US"/>
              </w:rPr>
            </w:pPr>
            <w:r w:rsidRPr="00087AFA">
              <w:rPr>
                <w:lang w:val="en-US"/>
              </w:rPr>
              <w:t>353</w:t>
            </w:r>
          </w:p>
        </w:tc>
        <w:tc>
          <w:tcPr>
            <w:tcW w:w="993" w:type="dxa"/>
            <w:vAlign w:val="center"/>
          </w:tcPr>
          <w:p w:rsidR="003B2F9B" w:rsidRPr="00087AFA" w:rsidRDefault="003B2F9B" w:rsidP="000328D0">
            <w:pPr>
              <w:jc w:val="right"/>
              <w:rPr>
                <w:bCs/>
                <w:lang w:val="en-US"/>
              </w:rPr>
            </w:pPr>
            <w:r w:rsidRPr="00087AFA">
              <w:rPr>
                <w:lang w:val="en-US"/>
              </w:rPr>
              <w:t>-17</w:t>
            </w:r>
          </w:p>
        </w:tc>
      </w:tr>
      <w:tr w:rsidR="003B2F9B" w:rsidRPr="00087AFA" w:rsidTr="000328D0">
        <w:tc>
          <w:tcPr>
            <w:tcW w:w="2694" w:type="dxa"/>
          </w:tcPr>
          <w:p w:rsidR="003B2F9B" w:rsidRPr="00087AFA" w:rsidRDefault="003B2F9B" w:rsidP="000328D0">
            <w:pPr>
              <w:rPr>
                <w:bCs/>
                <w:lang w:val="en-US"/>
              </w:rPr>
            </w:pPr>
            <w:r w:rsidRPr="00087AFA">
              <w:rPr>
                <w:lang w:val="en-US"/>
              </w:rPr>
              <w:t>Resource Efficiency</w:t>
            </w:r>
          </w:p>
        </w:tc>
        <w:tc>
          <w:tcPr>
            <w:tcW w:w="1231" w:type="dxa"/>
            <w:shd w:val="clear" w:color="auto" w:fill="C0C0C0"/>
            <w:vAlign w:val="center"/>
          </w:tcPr>
          <w:p w:rsidR="003B2F9B" w:rsidRPr="00087AFA" w:rsidRDefault="003B2F9B" w:rsidP="000328D0">
            <w:pPr>
              <w:jc w:val="right"/>
              <w:rPr>
                <w:bCs/>
                <w:lang w:val="en-US"/>
              </w:rPr>
            </w:pPr>
            <w:r w:rsidRPr="00087AFA">
              <w:rPr>
                <w:lang w:val="en-US"/>
              </w:rPr>
              <w:t>1,120</w:t>
            </w:r>
          </w:p>
        </w:tc>
        <w:tc>
          <w:tcPr>
            <w:tcW w:w="1134" w:type="dxa"/>
            <w:vAlign w:val="center"/>
          </w:tcPr>
          <w:p w:rsidR="003B2F9B" w:rsidRPr="00087AFA" w:rsidRDefault="003B2F9B" w:rsidP="000328D0">
            <w:pPr>
              <w:jc w:val="right"/>
              <w:rPr>
                <w:bCs/>
                <w:lang w:val="en-US"/>
              </w:rPr>
            </w:pPr>
            <w:r w:rsidRPr="00087AFA">
              <w:rPr>
                <w:lang w:val="en-US"/>
              </w:rPr>
              <w:t>1,124</w:t>
            </w:r>
          </w:p>
        </w:tc>
        <w:tc>
          <w:tcPr>
            <w:tcW w:w="1134" w:type="dxa"/>
            <w:vAlign w:val="center"/>
          </w:tcPr>
          <w:p w:rsidR="003B2F9B" w:rsidRPr="00087AFA" w:rsidRDefault="003B2F9B" w:rsidP="000328D0">
            <w:pPr>
              <w:jc w:val="right"/>
              <w:rPr>
                <w:bCs/>
                <w:lang w:val="en-US"/>
              </w:rPr>
            </w:pPr>
            <w:r w:rsidRPr="00087AFA">
              <w:rPr>
                <w:lang w:val="en-US"/>
              </w:rPr>
              <w:t>-</w:t>
            </w:r>
          </w:p>
        </w:tc>
        <w:tc>
          <w:tcPr>
            <w:tcW w:w="1276" w:type="dxa"/>
            <w:shd w:val="clear" w:color="auto" w:fill="C0C0C0"/>
            <w:vAlign w:val="center"/>
          </w:tcPr>
          <w:p w:rsidR="003B2F9B" w:rsidRPr="00087AFA" w:rsidRDefault="003B2F9B" w:rsidP="000328D0">
            <w:pPr>
              <w:jc w:val="right"/>
              <w:rPr>
                <w:bCs/>
                <w:lang w:val="en-US"/>
              </w:rPr>
            </w:pPr>
            <w:r w:rsidRPr="00087AFA">
              <w:rPr>
                <w:lang w:val="en-US"/>
              </w:rPr>
              <w:t>256</w:t>
            </w:r>
          </w:p>
        </w:tc>
        <w:tc>
          <w:tcPr>
            <w:tcW w:w="1275" w:type="dxa"/>
            <w:vAlign w:val="center"/>
          </w:tcPr>
          <w:p w:rsidR="003B2F9B" w:rsidRPr="00087AFA" w:rsidRDefault="003B2F9B" w:rsidP="000328D0">
            <w:pPr>
              <w:jc w:val="right"/>
              <w:rPr>
                <w:bCs/>
                <w:lang w:val="en-US"/>
              </w:rPr>
            </w:pPr>
            <w:r w:rsidRPr="00087AFA">
              <w:rPr>
                <w:lang w:val="en-US"/>
              </w:rPr>
              <w:t>244</w:t>
            </w:r>
          </w:p>
        </w:tc>
        <w:tc>
          <w:tcPr>
            <w:tcW w:w="993" w:type="dxa"/>
            <w:vAlign w:val="center"/>
          </w:tcPr>
          <w:p w:rsidR="003B2F9B" w:rsidRPr="00087AFA" w:rsidRDefault="003B2F9B" w:rsidP="000328D0">
            <w:pPr>
              <w:jc w:val="right"/>
              <w:rPr>
                <w:bCs/>
                <w:lang w:val="en-US"/>
              </w:rPr>
            </w:pPr>
            <w:r w:rsidRPr="00087AFA">
              <w:rPr>
                <w:lang w:val="en-US"/>
              </w:rPr>
              <w:t>5</w:t>
            </w:r>
          </w:p>
        </w:tc>
      </w:tr>
      <w:tr w:rsidR="003B2F9B" w:rsidRPr="00087AFA" w:rsidTr="000328D0">
        <w:tc>
          <w:tcPr>
            <w:tcW w:w="2694" w:type="dxa"/>
          </w:tcPr>
          <w:p w:rsidR="003B2F9B" w:rsidRPr="00087AFA" w:rsidRDefault="003B2F9B" w:rsidP="000328D0">
            <w:pPr>
              <w:rPr>
                <w:bCs/>
                <w:lang w:val="en-US"/>
              </w:rPr>
            </w:pPr>
            <w:r w:rsidRPr="00087AFA">
              <w:rPr>
                <w:lang w:val="en-US"/>
              </w:rPr>
              <w:t>Performance Materials</w:t>
            </w:r>
          </w:p>
        </w:tc>
        <w:tc>
          <w:tcPr>
            <w:tcW w:w="1231" w:type="dxa"/>
            <w:shd w:val="clear" w:color="auto" w:fill="C0C0C0"/>
            <w:vAlign w:val="center"/>
          </w:tcPr>
          <w:p w:rsidR="003B2F9B" w:rsidRPr="00087AFA" w:rsidRDefault="003B2F9B" w:rsidP="000328D0">
            <w:pPr>
              <w:jc w:val="right"/>
              <w:rPr>
                <w:bCs/>
                <w:lang w:val="en-US"/>
              </w:rPr>
            </w:pPr>
            <w:r w:rsidRPr="00087AFA">
              <w:rPr>
                <w:lang w:val="en-US"/>
              </w:rPr>
              <w:t>772</w:t>
            </w:r>
          </w:p>
        </w:tc>
        <w:tc>
          <w:tcPr>
            <w:tcW w:w="1134" w:type="dxa"/>
            <w:vAlign w:val="center"/>
          </w:tcPr>
          <w:p w:rsidR="003B2F9B" w:rsidRPr="00087AFA" w:rsidRDefault="003B2F9B" w:rsidP="000328D0">
            <w:pPr>
              <w:jc w:val="right"/>
              <w:rPr>
                <w:bCs/>
                <w:lang w:val="en-US"/>
              </w:rPr>
            </w:pPr>
            <w:r w:rsidRPr="00087AFA">
              <w:rPr>
                <w:lang w:val="en-US"/>
              </w:rPr>
              <w:t>851</w:t>
            </w:r>
          </w:p>
        </w:tc>
        <w:tc>
          <w:tcPr>
            <w:tcW w:w="1134" w:type="dxa"/>
            <w:vAlign w:val="center"/>
          </w:tcPr>
          <w:p w:rsidR="003B2F9B" w:rsidRPr="00087AFA" w:rsidRDefault="003B2F9B" w:rsidP="000328D0">
            <w:pPr>
              <w:jc w:val="right"/>
              <w:rPr>
                <w:bCs/>
                <w:lang w:val="en-US"/>
              </w:rPr>
            </w:pPr>
            <w:r w:rsidRPr="00087AFA">
              <w:rPr>
                <w:lang w:val="en-US"/>
              </w:rPr>
              <w:t>-9</w:t>
            </w:r>
          </w:p>
        </w:tc>
        <w:tc>
          <w:tcPr>
            <w:tcW w:w="1276" w:type="dxa"/>
            <w:shd w:val="clear" w:color="auto" w:fill="C0C0C0"/>
            <w:vAlign w:val="center"/>
          </w:tcPr>
          <w:p w:rsidR="003B2F9B" w:rsidRPr="00087AFA" w:rsidRDefault="003B2F9B" w:rsidP="000328D0">
            <w:pPr>
              <w:jc w:val="right"/>
              <w:rPr>
                <w:bCs/>
                <w:lang w:val="en-US"/>
              </w:rPr>
            </w:pPr>
            <w:r w:rsidRPr="00087AFA">
              <w:rPr>
                <w:lang w:val="en-US"/>
              </w:rPr>
              <w:t>64</w:t>
            </w:r>
          </w:p>
        </w:tc>
        <w:tc>
          <w:tcPr>
            <w:tcW w:w="1275" w:type="dxa"/>
            <w:vAlign w:val="center"/>
          </w:tcPr>
          <w:p w:rsidR="003B2F9B" w:rsidRPr="00087AFA" w:rsidRDefault="003B2F9B" w:rsidP="000328D0">
            <w:pPr>
              <w:jc w:val="right"/>
              <w:rPr>
                <w:bCs/>
                <w:lang w:val="en-US"/>
              </w:rPr>
            </w:pPr>
            <w:r w:rsidRPr="00087AFA">
              <w:rPr>
                <w:lang w:val="en-US"/>
              </w:rPr>
              <w:t>72</w:t>
            </w:r>
          </w:p>
        </w:tc>
        <w:tc>
          <w:tcPr>
            <w:tcW w:w="993" w:type="dxa"/>
            <w:vAlign w:val="center"/>
          </w:tcPr>
          <w:p w:rsidR="003B2F9B" w:rsidRPr="00087AFA" w:rsidRDefault="003B2F9B" w:rsidP="000328D0">
            <w:pPr>
              <w:jc w:val="right"/>
              <w:rPr>
                <w:bCs/>
                <w:lang w:val="en-US"/>
              </w:rPr>
            </w:pPr>
            <w:r w:rsidRPr="00087AFA">
              <w:rPr>
                <w:lang w:val="en-US"/>
              </w:rPr>
              <w:t>-11</w:t>
            </w:r>
          </w:p>
        </w:tc>
      </w:tr>
      <w:tr w:rsidR="003B2F9B" w:rsidRPr="00087AFA" w:rsidTr="000328D0">
        <w:tc>
          <w:tcPr>
            <w:tcW w:w="2694" w:type="dxa"/>
          </w:tcPr>
          <w:p w:rsidR="003B2F9B" w:rsidRPr="00087AFA" w:rsidRDefault="003B2F9B" w:rsidP="000328D0">
            <w:pPr>
              <w:rPr>
                <w:bCs/>
                <w:lang w:val="en-US"/>
              </w:rPr>
            </w:pPr>
            <w:r w:rsidRPr="00087AFA">
              <w:rPr>
                <w:lang w:val="en-US"/>
              </w:rPr>
              <w:t>Services</w:t>
            </w:r>
          </w:p>
        </w:tc>
        <w:tc>
          <w:tcPr>
            <w:tcW w:w="1231" w:type="dxa"/>
            <w:shd w:val="clear" w:color="auto" w:fill="C0C0C0"/>
            <w:vAlign w:val="center"/>
          </w:tcPr>
          <w:p w:rsidR="003B2F9B" w:rsidRPr="00087AFA" w:rsidRDefault="003B2F9B" w:rsidP="000328D0">
            <w:pPr>
              <w:jc w:val="right"/>
              <w:rPr>
                <w:bCs/>
                <w:lang w:val="en-US"/>
              </w:rPr>
            </w:pPr>
            <w:r w:rsidRPr="00087AFA">
              <w:rPr>
                <w:lang w:val="en-US"/>
              </w:rPr>
              <w:t>166</w:t>
            </w:r>
          </w:p>
        </w:tc>
        <w:tc>
          <w:tcPr>
            <w:tcW w:w="1134" w:type="dxa"/>
            <w:vAlign w:val="center"/>
          </w:tcPr>
          <w:p w:rsidR="003B2F9B" w:rsidRPr="00087AFA" w:rsidRDefault="003B2F9B" w:rsidP="000328D0">
            <w:pPr>
              <w:jc w:val="right"/>
              <w:rPr>
                <w:bCs/>
                <w:lang w:val="en-US"/>
              </w:rPr>
            </w:pPr>
            <w:r w:rsidRPr="00087AFA">
              <w:rPr>
                <w:lang w:val="en-US"/>
              </w:rPr>
              <w:t>207</w:t>
            </w:r>
          </w:p>
        </w:tc>
        <w:tc>
          <w:tcPr>
            <w:tcW w:w="1134" w:type="dxa"/>
            <w:vAlign w:val="center"/>
          </w:tcPr>
          <w:p w:rsidR="003B2F9B" w:rsidRPr="00087AFA" w:rsidRDefault="003B2F9B" w:rsidP="000328D0">
            <w:pPr>
              <w:jc w:val="right"/>
              <w:rPr>
                <w:bCs/>
                <w:lang w:val="en-US"/>
              </w:rPr>
            </w:pPr>
            <w:r w:rsidRPr="00087AFA">
              <w:rPr>
                <w:lang w:val="en-US"/>
              </w:rPr>
              <w:t>-20</w:t>
            </w:r>
          </w:p>
        </w:tc>
        <w:tc>
          <w:tcPr>
            <w:tcW w:w="1276" w:type="dxa"/>
            <w:shd w:val="clear" w:color="auto" w:fill="C0C0C0"/>
            <w:vAlign w:val="center"/>
          </w:tcPr>
          <w:p w:rsidR="003B2F9B" w:rsidRPr="00087AFA" w:rsidRDefault="003B2F9B" w:rsidP="000328D0">
            <w:pPr>
              <w:jc w:val="right"/>
              <w:rPr>
                <w:bCs/>
                <w:lang w:val="en-US"/>
              </w:rPr>
            </w:pPr>
            <w:r w:rsidRPr="00087AFA">
              <w:rPr>
                <w:lang w:val="en-US"/>
              </w:rPr>
              <w:t>35</w:t>
            </w:r>
          </w:p>
        </w:tc>
        <w:tc>
          <w:tcPr>
            <w:tcW w:w="1275" w:type="dxa"/>
            <w:vAlign w:val="center"/>
          </w:tcPr>
          <w:p w:rsidR="003B2F9B" w:rsidRPr="00087AFA" w:rsidRDefault="003B2F9B" w:rsidP="000328D0">
            <w:pPr>
              <w:jc w:val="right"/>
              <w:rPr>
                <w:bCs/>
                <w:lang w:val="en-US"/>
              </w:rPr>
            </w:pPr>
            <w:r w:rsidRPr="00087AFA">
              <w:rPr>
                <w:lang w:val="en-US"/>
              </w:rPr>
              <w:t>46</w:t>
            </w:r>
          </w:p>
        </w:tc>
        <w:tc>
          <w:tcPr>
            <w:tcW w:w="993" w:type="dxa"/>
            <w:vAlign w:val="center"/>
          </w:tcPr>
          <w:p w:rsidR="003B2F9B" w:rsidRPr="00087AFA" w:rsidRDefault="003B2F9B" w:rsidP="000328D0">
            <w:pPr>
              <w:jc w:val="right"/>
              <w:rPr>
                <w:bCs/>
                <w:lang w:val="en-US"/>
              </w:rPr>
            </w:pPr>
            <w:r w:rsidRPr="00087AFA">
              <w:rPr>
                <w:lang w:val="en-US"/>
              </w:rPr>
              <w:t>-24</w:t>
            </w:r>
          </w:p>
        </w:tc>
      </w:tr>
      <w:tr w:rsidR="003B2F9B" w:rsidRPr="00087AFA" w:rsidTr="000328D0">
        <w:tc>
          <w:tcPr>
            <w:tcW w:w="2694" w:type="dxa"/>
          </w:tcPr>
          <w:p w:rsidR="003B2F9B" w:rsidRPr="00087AFA" w:rsidRDefault="003B2F9B" w:rsidP="000328D0">
            <w:pPr>
              <w:rPr>
                <w:bCs/>
                <w:lang w:val="en-US"/>
              </w:rPr>
            </w:pPr>
            <w:r w:rsidRPr="00087AFA">
              <w:rPr>
                <w:lang w:val="en-US"/>
              </w:rPr>
              <w:t>Other operations</w:t>
            </w:r>
          </w:p>
        </w:tc>
        <w:tc>
          <w:tcPr>
            <w:tcW w:w="1231" w:type="dxa"/>
            <w:shd w:val="clear" w:color="auto" w:fill="C0C0C0"/>
            <w:vAlign w:val="center"/>
          </w:tcPr>
          <w:p w:rsidR="003B2F9B" w:rsidRPr="00087AFA" w:rsidRDefault="003B2F9B" w:rsidP="000328D0">
            <w:pPr>
              <w:jc w:val="right"/>
              <w:rPr>
                <w:bCs/>
                <w:lang w:val="en-US"/>
              </w:rPr>
            </w:pPr>
            <w:r w:rsidRPr="00087AFA">
              <w:rPr>
                <w:lang w:val="en-US"/>
              </w:rPr>
              <w:t>1</w:t>
            </w:r>
          </w:p>
        </w:tc>
        <w:tc>
          <w:tcPr>
            <w:tcW w:w="1134" w:type="dxa"/>
            <w:vAlign w:val="center"/>
          </w:tcPr>
          <w:p w:rsidR="003B2F9B" w:rsidRPr="00087AFA" w:rsidRDefault="003B2F9B" w:rsidP="000328D0">
            <w:pPr>
              <w:jc w:val="right"/>
              <w:rPr>
                <w:bCs/>
                <w:lang w:val="en-US"/>
              </w:rPr>
            </w:pPr>
            <w:r w:rsidRPr="00087AFA">
              <w:rPr>
                <w:lang w:val="en-US"/>
              </w:rPr>
              <w:t>14</w:t>
            </w:r>
          </w:p>
        </w:tc>
        <w:tc>
          <w:tcPr>
            <w:tcW w:w="1134" w:type="dxa"/>
            <w:vAlign w:val="center"/>
          </w:tcPr>
          <w:p w:rsidR="003B2F9B" w:rsidRPr="00087AFA" w:rsidRDefault="003B2F9B" w:rsidP="000328D0">
            <w:pPr>
              <w:jc w:val="right"/>
              <w:rPr>
                <w:bCs/>
                <w:lang w:val="en-US"/>
              </w:rPr>
            </w:pPr>
          </w:p>
        </w:tc>
        <w:tc>
          <w:tcPr>
            <w:tcW w:w="1276" w:type="dxa"/>
            <w:shd w:val="clear" w:color="auto" w:fill="C0C0C0"/>
            <w:vAlign w:val="center"/>
          </w:tcPr>
          <w:p w:rsidR="003B2F9B" w:rsidRPr="00087AFA" w:rsidRDefault="003B2F9B" w:rsidP="000328D0">
            <w:pPr>
              <w:jc w:val="right"/>
              <w:rPr>
                <w:bCs/>
                <w:lang w:val="en-US"/>
              </w:rPr>
            </w:pPr>
            <w:r w:rsidRPr="00087AFA">
              <w:rPr>
                <w:lang w:val="en-US"/>
              </w:rPr>
              <w:t>-83</w:t>
            </w:r>
          </w:p>
        </w:tc>
        <w:tc>
          <w:tcPr>
            <w:tcW w:w="1275" w:type="dxa"/>
            <w:vAlign w:val="center"/>
          </w:tcPr>
          <w:p w:rsidR="003B2F9B" w:rsidRPr="00087AFA" w:rsidRDefault="003B2F9B" w:rsidP="000328D0">
            <w:pPr>
              <w:jc w:val="right"/>
              <w:rPr>
                <w:bCs/>
                <w:lang w:val="en-US"/>
              </w:rPr>
            </w:pPr>
            <w:r w:rsidRPr="00087AFA">
              <w:rPr>
                <w:lang w:val="en-US"/>
              </w:rPr>
              <w:t>-65</w:t>
            </w:r>
          </w:p>
        </w:tc>
        <w:tc>
          <w:tcPr>
            <w:tcW w:w="993" w:type="dxa"/>
            <w:vAlign w:val="center"/>
          </w:tcPr>
          <w:p w:rsidR="003B2F9B" w:rsidRPr="00087AFA" w:rsidRDefault="003B2F9B" w:rsidP="000328D0">
            <w:pPr>
              <w:jc w:val="right"/>
              <w:rPr>
                <w:bCs/>
                <w:lang w:val="en-US"/>
              </w:rPr>
            </w:pPr>
          </w:p>
        </w:tc>
      </w:tr>
      <w:tr w:rsidR="003B2F9B" w:rsidRPr="00087AFA" w:rsidTr="000328D0">
        <w:tc>
          <w:tcPr>
            <w:tcW w:w="2694" w:type="dxa"/>
          </w:tcPr>
          <w:p w:rsidR="003B2F9B" w:rsidRPr="00087AFA" w:rsidRDefault="003B2F9B" w:rsidP="000328D0">
            <w:pPr>
              <w:rPr>
                <w:b/>
                <w:bCs/>
                <w:lang w:val="en-US"/>
              </w:rPr>
            </w:pPr>
            <w:r w:rsidRPr="00087AFA">
              <w:rPr>
                <w:b/>
                <w:lang w:val="en-US"/>
              </w:rPr>
              <w:t>Group</w:t>
            </w:r>
          </w:p>
        </w:tc>
        <w:tc>
          <w:tcPr>
            <w:tcW w:w="1231" w:type="dxa"/>
            <w:shd w:val="clear" w:color="auto" w:fill="C0C0C0"/>
            <w:vAlign w:val="center"/>
          </w:tcPr>
          <w:p w:rsidR="003B2F9B" w:rsidRPr="00087AFA" w:rsidRDefault="003B2F9B" w:rsidP="000328D0">
            <w:pPr>
              <w:jc w:val="right"/>
              <w:rPr>
                <w:bCs/>
                <w:lang w:val="en-US"/>
              </w:rPr>
            </w:pPr>
            <w:r w:rsidRPr="00087AFA">
              <w:rPr>
                <w:lang w:val="en-US"/>
              </w:rPr>
              <w:t>3,106</w:t>
            </w:r>
          </w:p>
        </w:tc>
        <w:tc>
          <w:tcPr>
            <w:tcW w:w="1134" w:type="dxa"/>
            <w:vAlign w:val="center"/>
          </w:tcPr>
          <w:p w:rsidR="003B2F9B" w:rsidRPr="00087AFA" w:rsidRDefault="003B2F9B" w:rsidP="000328D0">
            <w:pPr>
              <w:jc w:val="right"/>
              <w:rPr>
                <w:bCs/>
                <w:lang w:val="en-US"/>
              </w:rPr>
            </w:pPr>
            <w:r w:rsidRPr="00087AFA">
              <w:rPr>
                <w:lang w:val="en-US"/>
              </w:rPr>
              <w:t>3,425</w:t>
            </w:r>
          </w:p>
        </w:tc>
        <w:tc>
          <w:tcPr>
            <w:tcW w:w="1134" w:type="dxa"/>
            <w:vAlign w:val="center"/>
          </w:tcPr>
          <w:p w:rsidR="003B2F9B" w:rsidRPr="00087AFA" w:rsidRDefault="003B2F9B" w:rsidP="000328D0">
            <w:pPr>
              <w:jc w:val="right"/>
              <w:rPr>
                <w:bCs/>
                <w:lang w:val="en-US"/>
              </w:rPr>
            </w:pPr>
            <w:r w:rsidRPr="00087AFA">
              <w:rPr>
                <w:lang w:val="en-US"/>
              </w:rPr>
              <w:t>-9</w:t>
            </w:r>
          </w:p>
        </w:tc>
        <w:tc>
          <w:tcPr>
            <w:tcW w:w="1276" w:type="dxa"/>
            <w:shd w:val="clear" w:color="auto" w:fill="C0C0C0"/>
            <w:vAlign w:val="center"/>
          </w:tcPr>
          <w:p w:rsidR="003B2F9B" w:rsidRPr="00087AFA" w:rsidRDefault="003B2F9B" w:rsidP="000328D0">
            <w:pPr>
              <w:jc w:val="right"/>
              <w:rPr>
                <w:bCs/>
                <w:lang w:val="en-US"/>
              </w:rPr>
            </w:pPr>
            <w:r w:rsidRPr="00087AFA">
              <w:rPr>
                <w:lang w:val="en-US"/>
              </w:rPr>
              <w:t>565</w:t>
            </w:r>
          </w:p>
        </w:tc>
        <w:tc>
          <w:tcPr>
            <w:tcW w:w="1275" w:type="dxa"/>
            <w:vAlign w:val="center"/>
          </w:tcPr>
          <w:p w:rsidR="003B2F9B" w:rsidRPr="00087AFA" w:rsidRDefault="003B2F9B" w:rsidP="000328D0">
            <w:pPr>
              <w:jc w:val="right"/>
              <w:rPr>
                <w:bCs/>
                <w:lang w:val="en-US"/>
              </w:rPr>
            </w:pPr>
            <w:r w:rsidRPr="00087AFA">
              <w:rPr>
                <w:lang w:val="en-US"/>
              </w:rPr>
              <w:t>650</w:t>
            </w:r>
          </w:p>
        </w:tc>
        <w:tc>
          <w:tcPr>
            <w:tcW w:w="993" w:type="dxa"/>
            <w:vAlign w:val="center"/>
          </w:tcPr>
          <w:p w:rsidR="003B2F9B" w:rsidRPr="00087AFA" w:rsidRDefault="003B2F9B" w:rsidP="000328D0">
            <w:pPr>
              <w:jc w:val="right"/>
              <w:rPr>
                <w:bCs/>
                <w:lang w:val="en-US"/>
              </w:rPr>
            </w:pPr>
            <w:r w:rsidRPr="00087AFA">
              <w:rPr>
                <w:lang w:val="en-US"/>
              </w:rPr>
              <w:t>-13</w:t>
            </w:r>
          </w:p>
        </w:tc>
      </w:tr>
    </w:tbl>
    <w:p w:rsidR="003B2F9B" w:rsidRPr="00087AFA" w:rsidRDefault="003B2F9B" w:rsidP="003B2F9B">
      <w:pPr>
        <w:ind w:left="142"/>
        <w:rPr>
          <w:bCs/>
          <w:lang w:val="en-US"/>
        </w:rPr>
      </w:pPr>
      <w:r w:rsidRPr="00087AFA">
        <w:rPr>
          <w:lang w:val="en-US"/>
        </w:rPr>
        <w:t>Prior-year figures restated</w:t>
      </w:r>
    </w:p>
    <w:p w:rsidR="003B2F9B" w:rsidRPr="00087AFA" w:rsidRDefault="003B2F9B" w:rsidP="00272D58">
      <w:pPr>
        <w:spacing w:after="120"/>
        <w:rPr>
          <w:b/>
          <w:bCs/>
          <w:lang w:val="en-US"/>
        </w:rPr>
      </w:pPr>
      <w:r w:rsidRPr="00087AFA">
        <w:rPr>
          <w:lang w:val="en-US"/>
        </w:rPr>
        <w:br/>
      </w:r>
      <w:r w:rsidRPr="00087AFA">
        <w:rPr>
          <w:lang w:val="en-US"/>
        </w:rPr>
        <w:br/>
      </w:r>
      <w:r w:rsidRPr="00087AFA">
        <w:rPr>
          <w:lang w:val="en-US"/>
        </w:rPr>
        <w:br/>
      </w:r>
      <w:r w:rsidRPr="00087AFA">
        <w:rPr>
          <w:b/>
          <w:lang w:val="en-US"/>
        </w:rPr>
        <w:t>Employees by segment</w:t>
      </w:r>
    </w:p>
    <w:tbl>
      <w:tblPr>
        <w:tblW w:w="84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3B2F9B" w:rsidRPr="00087AFA" w:rsidTr="000328D0">
        <w:tc>
          <w:tcPr>
            <w:tcW w:w="4122" w:type="dxa"/>
          </w:tcPr>
          <w:p w:rsidR="003B2F9B" w:rsidRPr="00087AFA" w:rsidRDefault="003B2F9B" w:rsidP="000328D0">
            <w:pPr>
              <w:ind w:left="142"/>
              <w:rPr>
                <w:bCs/>
                <w:lang w:val="en-US"/>
              </w:rPr>
            </w:pPr>
          </w:p>
        </w:tc>
        <w:tc>
          <w:tcPr>
            <w:tcW w:w="2172" w:type="dxa"/>
          </w:tcPr>
          <w:p w:rsidR="003B2F9B" w:rsidRPr="00087AFA" w:rsidRDefault="003B2F9B" w:rsidP="000328D0">
            <w:pPr>
              <w:ind w:left="142"/>
              <w:jc w:val="center"/>
              <w:rPr>
                <w:b/>
                <w:bCs/>
                <w:lang w:val="en-US"/>
              </w:rPr>
            </w:pPr>
            <w:r w:rsidRPr="00087AFA">
              <w:rPr>
                <w:b/>
                <w:lang w:val="en-US"/>
              </w:rPr>
              <w:t>March 31, 2016</w:t>
            </w:r>
          </w:p>
        </w:tc>
        <w:tc>
          <w:tcPr>
            <w:tcW w:w="2173" w:type="dxa"/>
          </w:tcPr>
          <w:p w:rsidR="003B2F9B" w:rsidRPr="00087AFA" w:rsidRDefault="003B2F9B" w:rsidP="000328D0">
            <w:pPr>
              <w:ind w:left="142"/>
              <w:jc w:val="center"/>
              <w:rPr>
                <w:b/>
                <w:bCs/>
                <w:lang w:val="en-US"/>
              </w:rPr>
            </w:pPr>
            <w:r w:rsidRPr="00087AFA">
              <w:rPr>
                <w:b/>
                <w:lang w:val="en-US"/>
              </w:rPr>
              <w:t>Dec. 31, 2015</w:t>
            </w:r>
          </w:p>
        </w:tc>
      </w:tr>
      <w:tr w:rsidR="003B2F9B" w:rsidRPr="00087AFA" w:rsidTr="000328D0">
        <w:tc>
          <w:tcPr>
            <w:tcW w:w="4122" w:type="dxa"/>
          </w:tcPr>
          <w:p w:rsidR="003B2F9B" w:rsidRPr="00087AFA" w:rsidRDefault="003B2F9B" w:rsidP="000328D0">
            <w:pPr>
              <w:ind w:left="142"/>
              <w:rPr>
                <w:bCs/>
                <w:lang w:val="en-US"/>
              </w:rPr>
            </w:pPr>
            <w:r w:rsidRPr="00087AFA">
              <w:rPr>
                <w:lang w:val="en-US"/>
              </w:rPr>
              <w:t>Nutrition &amp; Care</w:t>
            </w:r>
          </w:p>
        </w:tc>
        <w:tc>
          <w:tcPr>
            <w:tcW w:w="2172" w:type="dxa"/>
          </w:tcPr>
          <w:p w:rsidR="003B2F9B" w:rsidRPr="00087AFA" w:rsidRDefault="003B2F9B" w:rsidP="000328D0">
            <w:pPr>
              <w:ind w:left="142"/>
              <w:jc w:val="right"/>
              <w:rPr>
                <w:bCs/>
                <w:lang w:val="en-US"/>
              </w:rPr>
            </w:pPr>
            <w:r w:rsidRPr="00087AFA">
              <w:rPr>
                <w:lang w:val="en-US"/>
              </w:rPr>
              <w:t>7,347</w:t>
            </w:r>
          </w:p>
        </w:tc>
        <w:tc>
          <w:tcPr>
            <w:tcW w:w="2173" w:type="dxa"/>
          </w:tcPr>
          <w:p w:rsidR="003B2F9B" w:rsidRPr="00087AFA" w:rsidRDefault="003B2F9B" w:rsidP="000328D0">
            <w:pPr>
              <w:ind w:left="142"/>
              <w:jc w:val="right"/>
              <w:rPr>
                <w:bCs/>
                <w:lang w:val="en-US"/>
              </w:rPr>
            </w:pPr>
            <w:r w:rsidRPr="00087AFA">
              <w:rPr>
                <w:lang w:val="en-US"/>
              </w:rPr>
              <w:t>7,165</w:t>
            </w:r>
          </w:p>
        </w:tc>
      </w:tr>
      <w:tr w:rsidR="003B2F9B" w:rsidRPr="00087AFA" w:rsidTr="000328D0">
        <w:tc>
          <w:tcPr>
            <w:tcW w:w="4122" w:type="dxa"/>
          </w:tcPr>
          <w:p w:rsidR="003B2F9B" w:rsidRPr="00087AFA" w:rsidRDefault="003B2F9B" w:rsidP="000328D0">
            <w:pPr>
              <w:ind w:left="142"/>
              <w:rPr>
                <w:bCs/>
                <w:lang w:val="en-US"/>
              </w:rPr>
            </w:pPr>
            <w:r w:rsidRPr="00087AFA">
              <w:rPr>
                <w:lang w:val="en-US"/>
              </w:rPr>
              <w:t>Resource Efficiency</w:t>
            </w:r>
          </w:p>
        </w:tc>
        <w:tc>
          <w:tcPr>
            <w:tcW w:w="2172" w:type="dxa"/>
          </w:tcPr>
          <w:p w:rsidR="003B2F9B" w:rsidRPr="00087AFA" w:rsidRDefault="003B2F9B" w:rsidP="000328D0">
            <w:pPr>
              <w:ind w:left="142"/>
              <w:jc w:val="right"/>
              <w:rPr>
                <w:bCs/>
                <w:lang w:val="en-US"/>
              </w:rPr>
            </w:pPr>
            <w:r w:rsidRPr="00087AFA">
              <w:rPr>
                <w:lang w:val="en-US"/>
              </w:rPr>
              <w:t>8,652</w:t>
            </w:r>
          </w:p>
        </w:tc>
        <w:tc>
          <w:tcPr>
            <w:tcW w:w="2173" w:type="dxa"/>
          </w:tcPr>
          <w:p w:rsidR="003B2F9B" w:rsidRPr="00087AFA" w:rsidRDefault="003B2F9B" w:rsidP="000328D0">
            <w:pPr>
              <w:ind w:left="142"/>
              <w:jc w:val="right"/>
              <w:rPr>
                <w:bCs/>
                <w:lang w:val="en-US"/>
              </w:rPr>
            </w:pPr>
            <w:r w:rsidRPr="00087AFA">
              <w:rPr>
                <w:lang w:val="en-US"/>
              </w:rPr>
              <w:t>8,662</w:t>
            </w:r>
          </w:p>
        </w:tc>
      </w:tr>
      <w:tr w:rsidR="003B2F9B" w:rsidRPr="00087AFA" w:rsidTr="000328D0">
        <w:tc>
          <w:tcPr>
            <w:tcW w:w="4122" w:type="dxa"/>
          </w:tcPr>
          <w:p w:rsidR="003B2F9B" w:rsidRPr="00087AFA" w:rsidRDefault="003B2F9B" w:rsidP="000328D0">
            <w:pPr>
              <w:ind w:left="142"/>
              <w:rPr>
                <w:bCs/>
                <w:lang w:val="en-US"/>
              </w:rPr>
            </w:pPr>
            <w:r w:rsidRPr="00087AFA">
              <w:rPr>
                <w:lang w:val="en-US"/>
              </w:rPr>
              <w:t>Performance Materials</w:t>
            </w:r>
          </w:p>
        </w:tc>
        <w:tc>
          <w:tcPr>
            <w:tcW w:w="2172" w:type="dxa"/>
          </w:tcPr>
          <w:p w:rsidR="003B2F9B" w:rsidRPr="00087AFA" w:rsidRDefault="003B2F9B" w:rsidP="000328D0">
            <w:pPr>
              <w:ind w:left="142"/>
              <w:jc w:val="right"/>
              <w:rPr>
                <w:bCs/>
                <w:lang w:val="en-US"/>
              </w:rPr>
            </w:pPr>
            <w:r w:rsidRPr="00087AFA">
              <w:rPr>
                <w:lang w:val="en-US"/>
              </w:rPr>
              <w:t>4,384</w:t>
            </w:r>
          </w:p>
        </w:tc>
        <w:tc>
          <w:tcPr>
            <w:tcW w:w="2173" w:type="dxa"/>
          </w:tcPr>
          <w:p w:rsidR="003B2F9B" w:rsidRPr="00087AFA" w:rsidRDefault="003B2F9B" w:rsidP="000328D0">
            <w:pPr>
              <w:ind w:left="142"/>
              <w:jc w:val="right"/>
              <w:rPr>
                <w:bCs/>
                <w:lang w:val="en-US"/>
              </w:rPr>
            </w:pPr>
            <w:r w:rsidRPr="00087AFA">
              <w:rPr>
                <w:lang w:val="en-US"/>
              </w:rPr>
              <w:t>4,380</w:t>
            </w:r>
          </w:p>
        </w:tc>
      </w:tr>
      <w:tr w:rsidR="003B2F9B" w:rsidRPr="00087AFA" w:rsidTr="000328D0">
        <w:tc>
          <w:tcPr>
            <w:tcW w:w="4122" w:type="dxa"/>
          </w:tcPr>
          <w:p w:rsidR="003B2F9B" w:rsidRPr="00087AFA" w:rsidRDefault="003B2F9B" w:rsidP="000328D0">
            <w:pPr>
              <w:ind w:left="142"/>
              <w:rPr>
                <w:bCs/>
                <w:lang w:val="en-US"/>
              </w:rPr>
            </w:pPr>
            <w:r w:rsidRPr="00087AFA">
              <w:rPr>
                <w:lang w:val="en-US"/>
              </w:rPr>
              <w:t>Services</w:t>
            </w:r>
          </w:p>
        </w:tc>
        <w:tc>
          <w:tcPr>
            <w:tcW w:w="2172" w:type="dxa"/>
          </w:tcPr>
          <w:p w:rsidR="003B2F9B" w:rsidRPr="00087AFA" w:rsidRDefault="003B2F9B" w:rsidP="000328D0">
            <w:pPr>
              <w:ind w:left="142"/>
              <w:jc w:val="right"/>
              <w:rPr>
                <w:bCs/>
                <w:lang w:val="en-US"/>
              </w:rPr>
            </w:pPr>
            <w:r w:rsidRPr="00087AFA">
              <w:rPr>
                <w:lang w:val="en-US"/>
              </w:rPr>
              <w:t>12,710</w:t>
            </w:r>
          </w:p>
        </w:tc>
        <w:tc>
          <w:tcPr>
            <w:tcW w:w="2173" w:type="dxa"/>
          </w:tcPr>
          <w:p w:rsidR="003B2F9B" w:rsidRPr="00087AFA" w:rsidRDefault="003B2F9B" w:rsidP="000328D0">
            <w:pPr>
              <w:ind w:left="142"/>
              <w:jc w:val="right"/>
              <w:rPr>
                <w:bCs/>
                <w:lang w:val="en-US"/>
              </w:rPr>
            </w:pPr>
            <w:r w:rsidRPr="00087AFA">
              <w:rPr>
                <w:lang w:val="en-US"/>
              </w:rPr>
              <w:t>12,668</w:t>
            </w:r>
          </w:p>
        </w:tc>
      </w:tr>
      <w:tr w:rsidR="003B2F9B" w:rsidRPr="00087AFA" w:rsidTr="000328D0">
        <w:tc>
          <w:tcPr>
            <w:tcW w:w="4122" w:type="dxa"/>
          </w:tcPr>
          <w:p w:rsidR="003B2F9B" w:rsidRPr="00087AFA" w:rsidRDefault="003B2F9B" w:rsidP="000328D0">
            <w:pPr>
              <w:ind w:left="142"/>
              <w:rPr>
                <w:bCs/>
                <w:lang w:val="en-US"/>
              </w:rPr>
            </w:pPr>
            <w:r w:rsidRPr="00087AFA">
              <w:rPr>
                <w:lang w:val="en-US"/>
              </w:rPr>
              <w:t>Other operations</w:t>
            </w:r>
          </w:p>
        </w:tc>
        <w:tc>
          <w:tcPr>
            <w:tcW w:w="2172" w:type="dxa"/>
          </w:tcPr>
          <w:p w:rsidR="003B2F9B" w:rsidRPr="00087AFA" w:rsidRDefault="003B2F9B" w:rsidP="000328D0">
            <w:pPr>
              <w:ind w:left="142"/>
              <w:jc w:val="right"/>
              <w:rPr>
                <w:bCs/>
                <w:lang w:val="en-US"/>
              </w:rPr>
            </w:pPr>
            <w:r w:rsidRPr="00087AFA">
              <w:rPr>
                <w:lang w:val="en-US"/>
              </w:rPr>
              <w:t>507</w:t>
            </w:r>
          </w:p>
        </w:tc>
        <w:tc>
          <w:tcPr>
            <w:tcW w:w="2173" w:type="dxa"/>
          </w:tcPr>
          <w:p w:rsidR="003B2F9B" w:rsidRPr="00087AFA" w:rsidRDefault="003B2F9B" w:rsidP="000328D0">
            <w:pPr>
              <w:ind w:left="142"/>
              <w:jc w:val="right"/>
              <w:rPr>
                <w:bCs/>
                <w:lang w:val="en-US"/>
              </w:rPr>
            </w:pPr>
            <w:r w:rsidRPr="00087AFA">
              <w:rPr>
                <w:lang w:val="en-US"/>
              </w:rPr>
              <w:t>701</w:t>
            </w:r>
          </w:p>
        </w:tc>
      </w:tr>
      <w:tr w:rsidR="003B2F9B" w:rsidRPr="00087AFA" w:rsidTr="000328D0">
        <w:tc>
          <w:tcPr>
            <w:tcW w:w="4122" w:type="dxa"/>
          </w:tcPr>
          <w:p w:rsidR="003B2F9B" w:rsidRPr="00087AFA" w:rsidRDefault="003B2F9B" w:rsidP="000328D0">
            <w:pPr>
              <w:ind w:left="142"/>
              <w:rPr>
                <w:b/>
                <w:bCs/>
                <w:lang w:val="en-US"/>
              </w:rPr>
            </w:pPr>
            <w:r w:rsidRPr="00087AFA">
              <w:rPr>
                <w:b/>
                <w:lang w:val="en-US"/>
              </w:rPr>
              <w:t>Group</w:t>
            </w:r>
          </w:p>
        </w:tc>
        <w:tc>
          <w:tcPr>
            <w:tcW w:w="2172" w:type="dxa"/>
          </w:tcPr>
          <w:p w:rsidR="003B2F9B" w:rsidRPr="00087AFA" w:rsidRDefault="003B2F9B" w:rsidP="000328D0">
            <w:pPr>
              <w:ind w:left="142"/>
              <w:jc w:val="right"/>
              <w:rPr>
                <w:b/>
                <w:bCs/>
                <w:lang w:val="en-US"/>
              </w:rPr>
            </w:pPr>
            <w:r w:rsidRPr="00087AFA">
              <w:rPr>
                <w:b/>
                <w:lang w:val="en-US"/>
              </w:rPr>
              <w:t>33,600</w:t>
            </w:r>
          </w:p>
        </w:tc>
        <w:tc>
          <w:tcPr>
            <w:tcW w:w="2173" w:type="dxa"/>
          </w:tcPr>
          <w:p w:rsidR="003B2F9B" w:rsidRPr="00087AFA" w:rsidRDefault="003B2F9B" w:rsidP="000328D0">
            <w:pPr>
              <w:ind w:left="142"/>
              <w:jc w:val="right"/>
              <w:rPr>
                <w:b/>
                <w:bCs/>
                <w:lang w:val="en-US"/>
              </w:rPr>
            </w:pPr>
            <w:r w:rsidRPr="00087AFA">
              <w:rPr>
                <w:b/>
                <w:lang w:val="en-US"/>
              </w:rPr>
              <w:t>33,576</w:t>
            </w:r>
          </w:p>
        </w:tc>
      </w:tr>
    </w:tbl>
    <w:p w:rsidR="003B2F9B" w:rsidRPr="00087AFA" w:rsidRDefault="003B2F9B" w:rsidP="003B2F9B">
      <w:pPr>
        <w:rPr>
          <w:bCs/>
          <w:lang w:val="en-US"/>
        </w:rPr>
      </w:pPr>
    </w:p>
    <w:p w:rsidR="003B2F9B" w:rsidRPr="00087AFA" w:rsidRDefault="003B2F9B" w:rsidP="003B2F9B">
      <w:pPr>
        <w:rPr>
          <w:lang w:val="en-US"/>
        </w:rPr>
      </w:pPr>
    </w:p>
    <w:p w:rsidR="003B2F9B" w:rsidRPr="00087AFA" w:rsidRDefault="003B2F9B" w:rsidP="003B2F9B">
      <w:pPr>
        <w:spacing w:line="300" w:lineRule="atLeast"/>
        <w:rPr>
          <w:rFonts w:cs="Lucida Sans Unicode"/>
          <w:sz w:val="20"/>
          <w:szCs w:val="20"/>
          <w:lang w:val="en-US"/>
        </w:rPr>
      </w:pPr>
    </w:p>
    <w:p w:rsidR="00394C88" w:rsidRDefault="00552E51" w:rsidP="002A4B81">
      <w:pPr>
        <w:spacing w:after="120"/>
        <w:rPr>
          <w:rFonts w:cs="Lucida Sans Unicode"/>
          <w:b/>
          <w:bCs/>
          <w:color w:val="000000"/>
          <w:szCs w:val="18"/>
          <w:lang w:val="en-US"/>
        </w:rPr>
      </w:pPr>
      <w:r w:rsidRPr="002A4B81">
        <w:rPr>
          <w:lang w:val="en-US"/>
        </w:rPr>
        <w:br w:type="page"/>
      </w:r>
    </w:p>
    <w:p w:rsidR="00DD4A19" w:rsidRDefault="00DD4A19" w:rsidP="00DD4A19">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DD4A19" w:rsidRDefault="00DD4A19" w:rsidP="00DD4A19">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DD4A19" w:rsidRDefault="00DD4A19" w:rsidP="00DD4A19">
      <w:pPr>
        <w:autoSpaceDE w:val="0"/>
        <w:autoSpaceDN w:val="0"/>
        <w:adjustRightInd w:val="0"/>
        <w:spacing w:line="220" w:lineRule="exact"/>
        <w:ind w:left="0"/>
        <w:rPr>
          <w:rFonts w:cs="Lucida Sans Unicode"/>
          <w:szCs w:val="18"/>
          <w:lang w:val="en-US"/>
        </w:rPr>
      </w:pPr>
    </w:p>
    <w:p w:rsidR="00DD4A19" w:rsidRPr="00BB06C8" w:rsidRDefault="00DD4A19" w:rsidP="00DD4A19">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rsidR="00DD4A19" w:rsidRDefault="00DD4A19" w:rsidP="00DD4A19">
      <w:pPr>
        <w:ind w:left="0"/>
        <w:rPr>
          <w:szCs w:val="18"/>
          <w:lang w:val="en-US"/>
        </w:rPr>
      </w:pPr>
    </w:p>
    <w:p w:rsidR="00DD4A19" w:rsidRDefault="00DD4A19" w:rsidP="00DD4A19">
      <w:pPr>
        <w:spacing w:line="240" w:lineRule="auto"/>
        <w:ind w:left="0"/>
        <w:outlineLvl w:val="0"/>
        <w:rPr>
          <w:rFonts w:cs="Lucida Sans Unicode"/>
          <w:b/>
          <w:bCs/>
          <w:color w:val="000000"/>
          <w:szCs w:val="18"/>
          <w:lang w:val="en-US"/>
        </w:rPr>
      </w:pPr>
    </w:p>
    <w:p w:rsidR="00DD4A19" w:rsidRPr="00696302" w:rsidRDefault="00DD4A19" w:rsidP="00DD4A19">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CC5D98" w:rsidRPr="003C3375" w:rsidRDefault="00DD4A19" w:rsidP="00DD4A19">
      <w:pPr>
        <w:autoSpaceDE w:val="0"/>
        <w:autoSpaceDN w:val="0"/>
        <w:adjustRightInd w:val="0"/>
        <w:spacing w:line="220" w:lineRule="exact"/>
        <w:ind w:left="0" w:right="0"/>
        <w:rPr>
          <w:rFonts w:cs="Lucida Sans Unicode"/>
          <w:position w:val="0"/>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w:t>
      </w:r>
      <w:r>
        <w:rPr>
          <w:rFonts w:cs="Lucida Sans Unicode"/>
          <w:szCs w:val="18"/>
          <w:lang w:val="en-US"/>
        </w:rPr>
        <w:t>e</w:t>
      </w:r>
      <w:r w:rsidRPr="00696302">
        <w:rPr>
          <w:rFonts w:cs="Lucida Sans Unicode"/>
          <w:szCs w:val="18"/>
          <w:lang w:val="en-US"/>
        </w:rPr>
        <w:t>lopments may vary, depending on changes in the operating environment. Neither Evonik Industries AG nor its group companies assume an obligation to update the forecasts, expectations or statements contained in this release</w:t>
      </w:r>
    </w:p>
    <w:sectPr w:rsidR="00CC5D98" w:rsidRPr="003C337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E51" w:rsidRDefault="00552E51">
      <w:r>
        <w:separator/>
      </w:r>
    </w:p>
    <w:p w:rsidR="00552E51" w:rsidRDefault="00552E51"/>
  </w:endnote>
  <w:endnote w:type="continuationSeparator" w:id="0">
    <w:p w:rsidR="00552E51" w:rsidRDefault="00552E51">
      <w:r>
        <w:continuationSeparator/>
      </w:r>
    </w:p>
    <w:p w:rsidR="00552E51" w:rsidRDefault="00552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C02A0">
      <w:rPr>
        <w:rStyle w:val="Seitenzahl"/>
        <w:noProof/>
      </w:rPr>
      <w:t>4</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C02A0">
      <w:rPr>
        <w:rStyle w:val="Seitenzahl"/>
        <w:noProof/>
      </w:rPr>
      <w:t>4</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C02A0">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C02A0">
      <w:rPr>
        <w:rStyle w:val="Seitenzahl"/>
        <w:noProof/>
      </w:rPr>
      <w:t>4</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E51" w:rsidRDefault="00552E51">
      <w:r>
        <w:separator/>
      </w:r>
    </w:p>
    <w:p w:rsidR="00552E51" w:rsidRDefault="00552E51"/>
  </w:footnote>
  <w:footnote w:type="continuationSeparator" w:id="0">
    <w:p w:rsidR="00552E51" w:rsidRDefault="00552E51">
      <w:r>
        <w:continuationSeparator/>
      </w:r>
    </w:p>
    <w:p w:rsidR="00552E51" w:rsidRDefault="00552E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1312" behindDoc="1" locked="0" layoutInCell="1" allowOverlap="1" wp14:anchorId="26BB9241" wp14:editId="04E68762">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AE45DD2" wp14:editId="45F0030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8346B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Pr="00552E51" w:rsidRDefault="00552E51" w:rsidP="00272D58">
    <w:pPr>
      <w:pStyle w:val="Kopfzeile"/>
      <w:rPr>
        <w:b/>
        <w:u w:val="single"/>
      </w:rPr>
    </w:pPr>
    <w:r>
      <w:br/>
    </w:r>
    <w:r>
      <w:br/>
    </w:r>
    <w:r>
      <w:br/>
    </w:r>
    <w:r>
      <w:br/>
    </w:r>
    <w:r>
      <w:br/>
    </w:r>
    <w:r>
      <w:br/>
    </w:r>
    <w:r>
      <w:br/>
    </w:r>
    <w:r>
      <w:br/>
    </w:r>
    <w:proofErr w:type="spellStart"/>
    <w:r w:rsidR="006C1A93">
      <w:rPr>
        <w:b/>
        <w:u w:val="single"/>
      </w:rPr>
      <w:t>Embargoed</w:t>
    </w:r>
    <w:proofErr w:type="spellEnd"/>
    <w:r w:rsidR="006C1A93">
      <w:rPr>
        <w:b/>
        <w:u w:val="single"/>
      </w:rPr>
      <w:t xml:space="preserve"> </w:t>
    </w:r>
    <w:proofErr w:type="spellStart"/>
    <w:r w:rsidR="006C1A93">
      <w:rPr>
        <w:b/>
        <w:u w:val="single"/>
      </w:rPr>
      <w:t>until</w:t>
    </w:r>
    <w:proofErr w:type="spellEnd"/>
    <w:r w:rsidR="006C1A93">
      <w:rPr>
        <w:b/>
        <w:u w:val="single"/>
      </w:rPr>
      <w:t xml:space="preserve">: May </w:t>
    </w:r>
    <w:r w:rsidR="00DD4A19">
      <w:rPr>
        <w:b/>
        <w:u w:val="single"/>
      </w:rPr>
      <w:t>4, 2016</w:t>
    </w:r>
    <w:r w:rsidRPr="00552E51">
      <w:rPr>
        <w:b/>
        <w:u w:val="single"/>
      </w:rPr>
      <w:t>, 7.00 a.m.</w:t>
    </w:r>
    <w:r w:rsidR="00794AB9" w:rsidRPr="00552E51">
      <w:rPr>
        <w:b/>
        <w:noProof/>
        <w:u w:val="single"/>
      </w:rPr>
      <w:drawing>
        <wp:anchor distT="0" distB="0" distL="114300" distR="114300" simplePos="0" relativeHeight="251660288" behindDoc="1" locked="0" layoutInCell="1" allowOverlap="1" wp14:anchorId="0F1F350D" wp14:editId="3B42DD15">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552E51">
      <w:rPr>
        <w:b/>
        <w:noProof/>
        <w:u w:val="single"/>
      </w:rPr>
      <mc:AlternateContent>
        <mc:Choice Requires="wpg">
          <w:drawing>
            <wp:anchor distT="0" distB="0" distL="114300" distR="114300" simplePos="0" relativeHeight="251656192" behindDoc="1" locked="0" layoutInCell="1" allowOverlap="1" wp14:anchorId="0F2852A9" wp14:editId="18F7E3A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0FD8C9"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6" w15:restartNumberingAfterBreak="0">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7" w15:restartNumberingAfterBreak="0">
    <w:nsid w:val="54115FD0"/>
    <w:multiLevelType w:val="hybridMultilevel"/>
    <w:tmpl w:val="34FCF2E6"/>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5"/>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51"/>
    <w:rsid w:val="000434B6"/>
    <w:rsid w:val="000D2023"/>
    <w:rsid w:val="001D3C3F"/>
    <w:rsid w:val="00272D58"/>
    <w:rsid w:val="002A4B81"/>
    <w:rsid w:val="002B6D6F"/>
    <w:rsid w:val="00394C88"/>
    <w:rsid w:val="003B2F9B"/>
    <w:rsid w:val="003C3375"/>
    <w:rsid w:val="004C02A0"/>
    <w:rsid w:val="0053205C"/>
    <w:rsid w:val="00552E51"/>
    <w:rsid w:val="00554BE4"/>
    <w:rsid w:val="00634DA8"/>
    <w:rsid w:val="0067540D"/>
    <w:rsid w:val="00696302"/>
    <w:rsid w:val="006C1A93"/>
    <w:rsid w:val="006C760D"/>
    <w:rsid w:val="00777131"/>
    <w:rsid w:val="00794AB9"/>
    <w:rsid w:val="008174AA"/>
    <w:rsid w:val="00841FF0"/>
    <w:rsid w:val="008D4684"/>
    <w:rsid w:val="00974D97"/>
    <w:rsid w:val="00A4039D"/>
    <w:rsid w:val="00A654E9"/>
    <w:rsid w:val="00B14022"/>
    <w:rsid w:val="00B81424"/>
    <w:rsid w:val="00BC3F95"/>
    <w:rsid w:val="00CC5D98"/>
    <w:rsid w:val="00CF005B"/>
    <w:rsid w:val="00D62AD8"/>
    <w:rsid w:val="00DD4A19"/>
    <w:rsid w:val="00E00BD2"/>
    <w:rsid w:val="00E12886"/>
    <w:rsid w:val="00E31BB4"/>
    <w:rsid w:val="00E3471C"/>
    <w:rsid w:val="00E832D9"/>
    <w:rsid w:val="00F31F7C"/>
    <w:rsid w:val="00F6408B"/>
    <w:rsid w:val="00F67508"/>
    <w:rsid w:val="00F8236F"/>
    <w:rsid w:val="00F93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47524081-8F2F-497F-B3AC-58080BB4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rsteZeile">
    <w:name w:val="Erste Zeile"/>
    <w:basedOn w:val="Standard"/>
    <w:next w:val="Standard"/>
    <w:autoRedefine/>
    <w:uiPriority w:val="99"/>
    <w:rsid w:val="00552E51"/>
    <w:pPr>
      <w:keepNext/>
      <w:keepLines/>
      <w:spacing w:line="300" w:lineRule="exact"/>
      <w:ind w:left="57"/>
    </w:pPr>
    <w:rPr>
      <w:rFonts w:cs="Lucida Sans Unicode"/>
      <w:bCs/>
      <w:position w:val="0"/>
      <w:sz w:val="20"/>
      <w:szCs w:val="20"/>
      <w:lang w:val="en-US" w:eastAsia="en-US"/>
    </w:rPr>
  </w:style>
  <w:style w:type="paragraph" w:customStyle="1" w:styleId="EvonikStandard">
    <w:name w:val="Evonik Standard"/>
    <w:basedOn w:val="Standard"/>
    <w:uiPriority w:val="99"/>
    <w:rsid w:val="00552E51"/>
    <w:pPr>
      <w:spacing w:line="300" w:lineRule="atLeast"/>
      <w:ind w:left="0" w:right="0" w:firstLine="567"/>
    </w:pPr>
    <w:rPr>
      <w:position w:val="0"/>
      <w:szCs w:val="20"/>
      <w:lang w:val="en-US" w:eastAsia="en-US"/>
    </w:rPr>
  </w:style>
  <w:style w:type="paragraph" w:styleId="Listenabsatz">
    <w:name w:val="List Paragraph"/>
    <w:basedOn w:val="Standard"/>
    <w:uiPriority w:val="99"/>
    <w:qFormat/>
    <w:rsid w:val="00552E51"/>
    <w:pPr>
      <w:ind w:left="720"/>
      <w:contextualSpacing/>
    </w:pPr>
    <w:rPr>
      <w:lang w:val="en-US" w:eastAsia="en-US"/>
    </w:rPr>
  </w:style>
  <w:style w:type="paragraph" w:styleId="Funotentext">
    <w:name w:val="footnote text"/>
    <w:basedOn w:val="Standard"/>
    <w:link w:val="FunotentextZchn"/>
    <w:rsid w:val="00841FF0"/>
    <w:pPr>
      <w:spacing w:line="240" w:lineRule="auto"/>
    </w:pPr>
    <w:rPr>
      <w:sz w:val="20"/>
      <w:szCs w:val="20"/>
    </w:rPr>
  </w:style>
  <w:style w:type="character" w:customStyle="1" w:styleId="FunotentextZchn">
    <w:name w:val="Fußnotentext Zchn"/>
    <w:basedOn w:val="Absatz-Standardschriftart"/>
    <w:link w:val="Funotentext"/>
    <w:rsid w:val="00841FF0"/>
    <w:rPr>
      <w:rFonts w:ascii="Lucida Sans Unicode" w:hAnsi="Lucida Sans Unicode"/>
      <w:position w:val="-2"/>
    </w:rPr>
  </w:style>
  <w:style w:type="character" w:styleId="Funotenzeichen">
    <w:name w:val="footnote reference"/>
    <w:basedOn w:val="Absatz-Standardschriftart"/>
    <w:rsid w:val="00841FF0"/>
    <w:rPr>
      <w:vertAlign w:val="superscript"/>
    </w:rPr>
  </w:style>
  <w:style w:type="paragraph" w:styleId="Kommentartext">
    <w:name w:val="annotation text"/>
    <w:basedOn w:val="Standard"/>
    <w:link w:val="KommentartextZchn"/>
    <w:uiPriority w:val="99"/>
    <w:unhideWhenUsed/>
    <w:rsid w:val="002A4B81"/>
    <w:pPr>
      <w:spacing w:line="240" w:lineRule="auto"/>
    </w:pPr>
    <w:rPr>
      <w:sz w:val="20"/>
      <w:szCs w:val="20"/>
      <w:lang w:val="en-US" w:eastAsia="en-US"/>
    </w:rPr>
  </w:style>
  <w:style w:type="character" w:customStyle="1" w:styleId="KommentartextZchn">
    <w:name w:val="Kommentartext Zchn"/>
    <w:basedOn w:val="Absatz-Standardschriftart"/>
    <w:link w:val="Kommentartext"/>
    <w:uiPriority w:val="99"/>
    <w:rsid w:val="002A4B81"/>
    <w:rPr>
      <w:rFonts w:ascii="Lucida Sans Unicode" w:hAnsi="Lucida Sans Unicode"/>
      <w:positio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E796A-2E75-4C7B-BD9F-3260B872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98B55E19</Template>
  <TotalTime>0</TotalTime>
  <Pages>4</Pages>
  <Words>1007</Words>
  <Characters>5594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2016-05-03T13:20:00Z</cp:lastPrinted>
  <dcterms:created xsi:type="dcterms:W3CDTF">2016-05-03T11:59:00Z</dcterms:created>
  <dcterms:modified xsi:type="dcterms:W3CDTF">2016-05-03T15:07:00Z</dcterms:modified>
</cp:coreProperties>
</file>