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4F1918" w:rsidRDefault="00023B97" w:rsidP="004F1918">
            <w:pPr>
              <w:pStyle w:val="M7"/>
              <w:framePr w:wrap="auto" w:vAnchor="margin" w:hAnchor="text" w:xAlign="left" w:yAlign="inline"/>
              <w:suppressOverlap w:val="0"/>
              <w:rPr>
                <w:b w:val="0"/>
                <w:sz w:val="18"/>
                <w:szCs w:val="18"/>
                <w:lang w:val="en-US"/>
              </w:rPr>
            </w:pPr>
            <w:bookmarkStart w:id="0" w:name="_GoBack"/>
            <w:bookmarkEnd w:id="0"/>
            <w:r>
              <w:rPr>
                <w:b w:val="0"/>
                <w:sz w:val="18"/>
                <w:szCs w:val="18"/>
                <w:lang w:val="en-US"/>
              </w:rPr>
              <w:t>August 2</w:t>
            </w:r>
            <w:r w:rsidR="00215AA7">
              <w:rPr>
                <w:b w:val="0"/>
                <w:sz w:val="18"/>
                <w:szCs w:val="18"/>
                <w:lang w:val="en-US"/>
              </w:rPr>
              <w:t>, 2018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840CD4" w:rsidRDefault="00215AA7" w:rsidP="004F1918">
            <w:pPr>
              <w:pStyle w:val="M7"/>
              <w:framePr w:wrap="auto" w:vAnchor="margin" w:hAnchor="text" w:xAlign="left" w:yAlign="inline"/>
              <w:suppressOverlap w:val="0"/>
              <w:rPr>
                <w:lang w:val="en-US"/>
              </w:rPr>
            </w:pPr>
            <w:r>
              <w:rPr>
                <w:lang w:val="en-US"/>
              </w:rPr>
              <w:t>Matthias Ruch</w:t>
            </w:r>
          </w:p>
          <w:p w:rsidR="004F1918" w:rsidRDefault="00840CD4" w:rsidP="00840CD4">
            <w:pPr>
              <w:pStyle w:val="M7"/>
              <w:framePr w:wrap="auto" w:vAnchor="margin" w:hAnchor="text" w:xAlign="left" w:yAlign="inline"/>
              <w:suppressOverlap w:val="0"/>
              <w:rPr>
                <w:b w:val="0"/>
                <w:lang w:val="en-US"/>
              </w:rPr>
            </w:pPr>
            <w:r w:rsidRPr="00486462">
              <w:rPr>
                <w:lang w:val="en-US"/>
              </w:rPr>
              <w:t>External Communications</w:t>
            </w:r>
            <w:r w:rsidR="004F1918" w:rsidRPr="00486462">
              <w:rPr>
                <w:lang w:val="en-US"/>
              </w:rPr>
              <w:br/>
            </w:r>
            <w:r w:rsidR="004F1918" w:rsidRPr="00486462">
              <w:rPr>
                <w:b w:val="0"/>
                <w:lang w:val="en-US"/>
              </w:rPr>
              <w:t xml:space="preserve">Phone +49 </w:t>
            </w:r>
            <w:r w:rsidR="00CA2D91">
              <w:rPr>
                <w:b w:val="0"/>
                <w:lang w:val="en-US"/>
              </w:rPr>
              <w:t xml:space="preserve"> </w:t>
            </w:r>
            <w:r w:rsidR="00215AA7">
              <w:rPr>
                <w:b w:val="0"/>
                <w:lang w:val="en-US"/>
              </w:rPr>
              <w:t>201 177 3348</w:t>
            </w:r>
          </w:p>
          <w:p w:rsidR="00215AA7" w:rsidRPr="00486462" w:rsidRDefault="00215AA7" w:rsidP="00840CD4">
            <w:pPr>
              <w:pStyle w:val="M7"/>
              <w:framePr w:wrap="auto" w:vAnchor="margin" w:hAnchor="text" w:xAlign="left" w:yAlign="inline"/>
              <w:suppressOverlap w:val="0"/>
              <w:rPr>
                <w:lang w:val="en-US"/>
              </w:rPr>
            </w:pPr>
            <w:r>
              <w:rPr>
                <w:b w:val="0"/>
                <w:lang w:val="en-US"/>
              </w:rPr>
              <w:t>Mobile +49 174 325 4299</w:t>
            </w:r>
          </w:p>
          <w:p w:rsidR="004F1918" w:rsidRDefault="00215AA7" w:rsidP="00215AA7">
            <w:pPr>
              <w:pStyle w:val="M10"/>
              <w:framePr w:wrap="auto" w:vAnchor="margin" w:hAnchor="text" w:xAlign="left" w:yAlign="inline"/>
              <w:suppressOverlap w:val="0"/>
            </w:pPr>
            <w:r>
              <w:t>Matthias</w:t>
            </w:r>
            <w:r w:rsidR="004F1918">
              <w:t>.</w:t>
            </w:r>
            <w:r>
              <w:t>Ruch</w:t>
            </w:r>
            <w:r w:rsidR="004F1918">
              <w:t>@evonik.com</w:t>
            </w:r>
            <w:r w:rsidR="004F1918">
              <w:rPr>
                <w:lang w:val="sv-SE"/>
              </w:rPr>
              <w:t xml:space="preserve"> </w:t>
            </w:r>
          </w:p>
        </w:tc>
      </w:tr>
      <w:tr w:rsidR="004F1918" w:rsidRPr="00344D49" w:rsidTr="00D81410">
        <w:trPr>
          <w:trHeight w:val="851"/>
        </w:trPr>
        <w:tc>
          <w:tcPr>
            <w:tcW w:w="2552" w:type="dxa"/>
            <w:shd w:val="clear" w:color="auto" w:fill="auto"/>
          </w:tcPr>
          <w:p w:rsidR="004F1918" w:rsidRPr="00486462" w:rsidRDefault="004F1918" w:rsidP="004F1918">
            <w:pPr>
              <w:pStyle w:val="M12"/>
              <w:framePr w:wrap="auto" w:vAnchor="margin" w:hAnchor="text" w:xAlign="left" w:yAlign="inline"/>
              <w:suppressOverlap w:val="0"/>
              <w:rPr>
                <w:lang w:val="en-US"/>
              </w:rPr>
            </w:pPr>
          </w:p>
          <w:p w:rsidR="004F1918" w:rsidRPr="00F31F7C" w:rsidRDefault="004F1918" w:rsidP="00215AA7">
            <w:pPr>
              <w:pStyle w:val="M1"/>
              <w:framePr w:wrap="auto" w:vAnchor="margin" w:hAnchor="text" w:xAlign="left" w:yAlign="inline"/>
              <w:suppressOverlap w:val="0"/>
              <w:rPr>
                <w:lang w:val="en-US"/>
              </w:rPr>
            </w:pPr>
            <w:r w:rsidRPr="00486462">
              <w:rPr>
                <w:lang w:val="en-US"/>
              </w:rPr>
              <w:br/>
            </w: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A375B5" w:rsidP="00CA6F45">
      <w:pPr>
        <w:framePr w:w="2659" w:wrap="around" w:hAnchor="page" w:x="8971" w:yAlign="bottom" w:anchorLock="1"/>
        <w:spacing w:line="180" w:lineRule="exact"/>
        <w:rPr>
          <w:rFonts w:ascii="Trebuchet MS" w:hAnsi="Trebuchet MS"/>
          <w:color w:val="000000"/>
          <w:sz w:val="15"/>
          <w:szCs w:val="15"/>
          <w:lang w:val="en-US"/>
        </w:rPr>
      </w:pPr>
      <w:r w:rsidRPr="00A375B5">
        <w:rPr>
          <w:rFonts w:ascii="Trebuchet MS" w:hAnsi="Trebuchet MS"/>
          <w:b/>
          <w:color w:val="000000"/>
          <w:sz w:val="15"/>
          <w:szCs w:val="15"/>
          <w:lang w:val="en-US"/>
        </w:rPr>
        <w:t>Supervisory Board</w:t>
      </w:r>
      <w:r>
        <w:rPr>
          <w:rFonts w:ascii="Trebuchet MS" w:hAnsi="Trebuchet MS"/>
          <w:color w:val="000000"/>
          <w:sz w:val="15"/>
          <w:szCs w:val="15"/>
          <w:lang w:val="en-US"/>
        </w:rPr>
        <w:br/>
        <w:t xml:space="preserve">Bernd </w:t>
      </w:r>
      <w:proofErr w:type="spellStart"/>
      <w:r>
        <w:rPr>
          <w:rFonts w:ascii="Trebuchet MS" w:hAnsi="Trebuchet MS"/>
          <w:color w:val="000000"/>
          <w:sz w:val="15"/>
          <w:szCs w:val="15"/>
          <w:lang w:val="en-US"/>
        </w:rPr>
        <w:t>Tönjes</w:t>
      </w:r>
      <w:proofErr w:type="spellEnd"/>
      <w:r>
        <w:rPr>
          <w:rFonts w:ascii="Trebuchet MS" w:hAnsi="Trebuchet MS"/>
          <w:color w:val="000000"/>
          <w:sz w:val="15"/>
          <w:szCs w:val="15"/>
          <w:lang w:val="en-US"/>
        </w:rPr>
        <w:t>, Chairman</w:t>
      </w:r>
      <w:r>
        <w:rPr>
          <w:rFonts w:ascii="Trebuchet MS" w:hAnsi="Trebuchet MS"/>
          <w:color w:val="000000"/>
          <w:sz w:val="15"/>
          <w:szCs w:val="15"/>
          <w:lang w:val="en-US"/>
        </w:rPr>
        <w:br/>
        <w:t>Dr. Werner Müller, Honorary Chairman</w:t>
      </w:r>
      <w:r>
        <w:rPr>
          <w:rFonts w:ascii="Trebuchet MS" w:hAnsi="Trebuchet MS"/>
          <w:color w:val="000000"/>
          <w:sz w:val="15"/>
          <w:szCs w:val="15"/>
          <w:lang w:val="en-US"/>
        </w:rPr>
        <w:br/>
      </w:r>
      <w:r w:rsidRPr="00A375B5">
        <w:rPr>
          <w:rFonts w:ascii="Trebuchet MS" w:hAnsi="Trebuchet MS"/>
          <w:b/>
          <w:color w:val="000000"/>
          <w:sz w:val="15"/>
          <w:szCs w:val="15"/>
          <w:lang w:val="en-US"/>
        </w:rPr>
        <w:t>Executive Board</w:t>
      </w:r>
      <w:r>
        <w:rPr>
          <w:rFonts w:ascii="Trebuchet MS" w:hAnsi="Trebuchet MS"/>
          <w:color w:val="000000"/>
          <w:sz w:val="15"/>
          <w:szCs w:val="15"/>
          <w:lang w:val="en-US"/>
        </w:rPr>
        <w:br/>
        <w:t>Christian Kullmann, Chairman</w:t>
      </w:r>
      <w:r>
        <w:rPr>
          <w:rFonts w:ascii="Trebuchet MS" w:hAnsi="Trebuchet MS"/>
          <w:color w:val="000000"/>
          <w:sz w:val="15"/>
          <w:szCs w:val="15"/>
          <w:lang w:val="en-US"/>
        </w:rPr>
        <w:br/>
        <w:t>Dr. Harald Schwager, Deputy Chairman</w:t>
      </w:r>
      <w:r>
        <w:rPr>
          <w:rFonts w:ascii="Trebuchet MS" w:hAnsi="Trebuchet MS"/>
          <w:color w:val="000000"/>
          <w:sz w:val="15"/>
          <w:szCs w:val="15"/>
          <w:lang w:val="en-US"/>
        </w:rPr>
        <w:br/>
        <w:t>Thomas Wessel, Ute Wolf</w:t>
      </w:r>
    </w:p>
    <w:p w:rsidR="00A375B5" w:rsidRDefault="00A375B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820884" w:rsidRPr="00D26365" w:rsidRDefault="00820884" w:rsidP="00820884">
      <w:pPr>
        <w:pStyle w:val="Titel"/>
        <w:rPr>
          <w:rFonts w:ascii="Arial" w:hAnsi="Arial"/>
          <w:b w:val="0"/>
          <w:bCs w:val="0"/>
          <w:color w:val="454545"/>
          <w:sz w:val="22"/>
          <w:szCs w:val="22"/>
        </w:rPr>
      </w:pPr>
      <w:r>
        <w:rPr>
          <w:sz w:val="22"/>
          <w:szCs w:val="22"/>
          <w:u w:val="single"/>
        </w:rPr>
        <w:t>Embargoed until: August 2, 2018, 7 a.m. CEST</w:t>
      </w:r>
    </w:p>
    <w:p w:rsidR="00820884" w:rsidRDefault="00820884" w:rsidP="00215AA7">
      <w:pPr>
        <w:pStyle w:val="Titel"/>
        <w:rPr>
          <w:color w:val="000000" w:themeColor="text1"/>
        </w:rPr>
      </w:pPr>
    </w:p>
    <w:p w:rsidR="00216ED7" w:rsidRDefault="006F5476" w:rsidP="00215AA7">
      <w:pPr>
        <w:pStyle w:val="Titel"/>
        <w:rPr>
          <w:b w:val="0"/>
          <w:color w:val="000000" w:themeColor="text1"/>
          <w:sz w:val="22"/>
          <w:szCs w:val="22"/>
          <w:u w:val="single"/>
        </w:rPr>
      </w:pPr>
      <w:r w:rsidRPr="006F5476">
        <w:rPr>
          <w:b w:val="0"/>
          <w:color w:val="000000" w:themeColor="text1"/>
          <w:sz w:val="22"/>
          <w:szCs w:val="22"/>
          <w:u w:val="single"/>
        </w:rPr>
        <w:t xml:space="preserve">Key Financial Data: </w:t>
      </w:r>
    </w:p>
    <w:p w:rsidR="00820884" w:rsidRPr="006F5476" w:rsidRDefault="006F5476" w:rsidP="00215AA7">
      <w:pPr>
        <w:pStyle w:val="Titel"/>
        <w:rPr>
          <w:b w:val="0"/>
          <w:color w:val="000000" w:themeColor="text1"/>
          <w:sz w:val="22"/>
          <w:szCs w:val="22"/>
          <w:u w:val="single"/>
        </w:rPr>
      </w:pPr>
      <w:r w:rsidRPr="006F5476">
        <w:rPr>
          <w:b w:val="0"/>
          <w:color w:val="000000" w:themeColor="text1"/>
          <w:sz w:val="22"/>
          <w:szCs w:val="22"/>
          <w:u w:val="single"/>
        </w:rPr>
        <w:t>First half/second quarter 2018</w:t>
      </w:r>
    </w:p>
    <w:p w:rsidR="006F5476" w:rsidRDefault="006F5476" w:rsidP="00215AA7">
      <w:pPr>
        <w:pStyle w:val="Titel"/>
        <w:rPr>
          <w:color w:val="000000" w:themeColor="text1"/>
        </w:rPr>
      </w:pPr>
    </w:p>
    <w:p w:rsidR="006F5476" w:rsidRDefault="006F5476" w:rsidP="00215AA7">
      <w:pPr>
        <w:pStyle w:val="Titel"/>
        <w:rPr>
          <w:color w:val="000000" w:themeColor="text1"/>
        </w:rPr>
      </w:pPr>
    </w:p>
    <w:p w:rsidR="00215AA7" w:rsidRDefault="00EA1828" w:rsidP="00215AA7">
      <w:pPr>
        <w:pStyle w:val="Titel"/>
        <w:rPr>
          <w:color w:val="000000" w:themeColor="text1"/>
        </w:rPr>
      </w:pPr>
      <w:r>
        <w:rPr>
          <w:color w:val="000000" w:themeColor="text1"/>
        </w:rPr>
        <w:t>Strong</w:t>
      </w:r>
      <w:r w:rsidR="006F5476">
        <w:rPr>
          <w:color w:val="000000" w:themeColor="text1"/>
        </w:rPr>
        <w:t xml:space="preserve"> results in</w:t>
      </w:r>
      <w:r w:rsidR="00215AA7">
        <w:rPr>
          <w:color w:val="000000" w:themeColor="text1"/>
        </w:rPr>
        <w:t xml:space="preserve"> second quarter </w:t>
      </w:r>
    </w:p>
    <w:p w:rsidR="00EA1828" w:rsidRPr="001273C2" w:rsidRDefault="00EA1828" w:rsidP="00215AA7">
      <w:pPr>
        <w:pStyle w:val="Titel"/>
      </w:pPr>
    </w:p>
    <w:p w:rsidR="00215AA7" w:rsidRPr="006A50A9" w:rsidRDefault="00215AA7" w:rsidP="00215AA7">
      <w:pPr>
        <w:pStyle w:val="msolistparagraph0"/>
        <w:numPr>
          <w:ilvl w:val="0"/>
          <w:numId w:val="32"/>
        </w:numPr>
        <w:tabs>
          <w:tab w:val="num" w:pos="2204"/>
        </w:tabs>
        <w:spacing w:line="276" w:lineRule="auto"/>
        <w:ind w:left="284"/>
        <w:rPr>
          <w:sz w:val="24"/>
        </w:rPr>
      </w:pPr>
      <w:r>
        <w:rPr>
          <w:sz w:val="24"/>
        </w:rPr>
        <w:t>Sales up by 7</w:t>
      </w:r>
      <w:r w:rsidRPr="006A50A9">
        <w:rPr>
          <w:sz w:val="24"/>
        </w:rPr>
        <w:t xml:space="preserve"> percent to €3.9 billion</w:t>
      </w:r>
    </w:p>
    <w:p w:rsidR="00215AA7" w:rsidRPr="006A50A9" w:rsidRDefault="00215AA7" w:rsidP="00215AA7">
      <w:pPr>
        <w:pStyle w:val="msolistparagraph0"/>
        <w:numPr>
          <w:ilvl w:val="0"/>
          <w:numId w:val="32"/>
        </w:numPr>
        <w:tabs>
          <w:tab w:val="num" w:pos="2204"/>
        </w:tabs>
        <w:spacing w:line="276" w:lineRule="auto"/>
        <w:ind w:left="284"/>
        <w:rPr>
          <w:sz w:val="24"/>
        </w:rPr>
      </w:pPr>
      <w:r w:rsidRPr="006A50A9">
        <w:rPr>
          <w:sz w:val="24"/>
        </w:rPr>
        <w:t xml:space="preserve">Adjusted EBITDA </w:t>
      </w:r>
      <w:r>
        <w:rPr>
          <w:sz w:val="24"/>
        </w:rPr>
        <w:t xml:space="preserve">rises </w:t>
      </w:r>
      <w:r w:rsidRPr="006A50A9">
        <w:rPr>
          <w:sz w:val="24"/>
        </w:rPr>
        <w:t>16 percent to €742 million</w:t>
      </w:r>
    </w:p>
    <w:p w:rsidR="00215AA7" w:rsidRDefault="00EA1828" w:rsidP="00215AA7">
      <w:pPr>
        <w:pStyle w:val="msolistparagraph0"/>
        <w:numPr>
          <w:ilvl w:val="0"/>
          <w:numId w:val="32"/>
        </w:numPr>
        <w:tabs>
          <w:tab w:val="num" w:pos="2204"/>
        </w:tabs>
        <w:spacing w:line="276" w:lineRule="auto"/>
        <w:ind w:left="284"/>
        <w:rPr>
          <w:sz w:val="24"/>
        </w:rPr>
      </w:pPr>
      <w:r>
        <w:rPr>
          <w:sz w:val="24"/>
        </w:rPr>
        <w:t xml:space="preserve">Free cash flow </w:t>
      </w:r>
      <w:r w:rsidR="00216ED7">
        <w:rPr>
          <w:sz w:val="24"/>
        </w:rPr>
        <w:t>climbs to €56 million (p</w:t>
      </w:r>
      <w:r w:rsidR="00F57153">
        <w:rPr>
          <w:sz w:val="24"/>
        </w:rPr>
        <w:t>rior-</w:t>
      </w:r>
      <w:r>
        <w:rPr>
          <w:sz w:val="24"/>
        </w:rPr>
        <w:t>year: -€192 million)</w:t>
      </w:r>
    </w:p>
    <w:p w:rsidR="00DC0F4C" w:rsidRDefault="00DC0F4C" w:rsidP="00681567">
      <w:pPr>
        <w:rPr>
          <w:b/>
        </w:rPr>
      </w:pPr>
    </w:p>
    <w:p w:rsidR="00215AA7" w:rsidRPr="00D6721E" w:rsidRDefault="00215AA7" w:rsidP="00681567">
      <w:pPr>
        <w:rPr>
          <w:color w:val="000000" w:themeColor="text1"/>
        </w:rPr>
      </w:pPr>
      <w:r w:rsidRPr="00BE7717">
        <w:rPr>
          <w:b/>
        </w:rPr>
        <w:t>Essen.</w:t>
      </w:r>
      <w:r>
        <w:t xml:space="preserve"> </w:t>
      </w:r>
      <w:r w:rsidRPr="0021788E">
        <w:rPr>
          <w:color w:val="000000" w:themeColor="text1"/>
          <w:szCs w:val="22"/>
        </w:rPr>
        <w:t>Evonik increased adjusted EBITDA to €74</w:t>
      </w:r>
      <w:r>
        <w:rPr>
          <w:color w:val="000000" w:themeColor="text1"/>
          <w:szCs w:val="22"/>
        </w:rPr>
        <w:t>2</w:t>
      </w:r>
      <w:r w:rsidRPr="0021788E">
        <w:rPr>
          <w:color w:val="000000" w:themeColor="text1"/>
          <w:szCs w:val="22"/>
        </w:rPr>
        <w:t xml:space="preserve"> million in the second quarter of 2018 (</w:t>
      </w:r>
      <w:r>
        <w:rPr>
          <w:color w:val="000000" w:themeColor="text1"/>
          <w:szCs w:val="22"/>
        </w:rPr>
        <w:t xml:space="preserve">prior-year: </w:t>
      </w:r>
      <w:r w:rsidRPr="0021788E">
        <w:rPr>
          <w:color w:val="000000" w:themeColor="text1"/>
          <w:szCs w:val="22"/>
        </w:rPr>
        <w:t>€640 million).</w:t>
      </w:r>
      <w:r>
        <w:rPr>
          <w:color w:val="000000" w:themeColor="text1"/>
          <w:szCs w:val="22"/>
        </w:rPr>
        <w:t xml:space="preserve"> All three chemical segments contributed with excellent operational business development: </w:t>
      </w:r>
      <w:r>
        <w:rPr>
          <w:color w:val="000000" w:themeColor="text1"/>
        </w:rPr>
        <w:t>All three segments were able to increase their adjusted EBITDA as well as EBITDA margin compared to the same quarter of the previous year.</w:t>
      </w:r>
      <w:r w:rsidR="00EA1828">
        <w:rPr>
          <w:color w:val="000000" w:themeColor="text1"/>
        </w:rPr>
        <w:t xml:space="preserve"> Evonik thereby confirms the preliminary results pre-released on July 17.</w:t>
      </w:r>
    </w:p>
    <w:p w:rsidR="00215AA7" w:rsidRPr="009242B7" w:rsidRDefault="00215AA7" w:rsidP="00681567">
      <w:pPr>
        <w:rPr>
          <w:color w:val="000000" w:themeColor="text1"/>
        </w:rPr>
      </w:pPr>
    </w:p>
    <w:p w:rsidR="00EA1828" w:rsidRPr="006A50A9" w:rsidRDefault="00215AA7" w:rsidP="00EA1828">
      <w:pPr>
        <w:pStyle w:val="Default"/>
        <w:spacing w:line="300" w:lineRule="exact"/>
        <w:rPr>
          <w:lang w:val="en-US"/>
        </w:rPr>
      </w:pPr>
      <w:r w:rsidRPr="006A50A9">
        <w:rPr>
          <w:sz w:val="22"/>
          <w:szCs w:val="22"/>
          <w:lang w:val="en-US"/>
        </w:rPr>
        <w:t xml:space="preserve">Sales increased to €3.9 billion in the second quarter (prior-year: €3.6 billion), largely due to higher sales volumes and higher selling prices. </w:t>
      </w:r>
      <w:r>
        <w:rPr>
          <w:sz w:val="22"/>
          <w:szCs w:val="22"/>
          <w:lang w:val="en-US"/>
        </w:rPr>
        <w:t>A</w:t>
      </w:r>
      <w:r w:rsidRPr="006A50A9">
        <w:rPr>
          <w:color w:val="000000" w:themeColor="text1"/>
          <w:sz w:val="22"/>
          <w:szCs w:val="22"/>
          <w:lang w:val="en-US"/>
        </w:rPr>
        <w:t xml:space="preserve">djusted </w:t>
      </w:r>
      <w:r>
        <w:rPr>
          <w:color w:val="000000" w:themeColor="text1"/>
          <w:sz w:val="22"/>
          <w:szCs w:val="22"/>
          <w:lang w:val="en-US"/>
        </w:rPr>
        <w:t xml:space="preserve">net income was </w:t>
      </w:r>
      <w:r w:rsidRPr="006A50A9">
        <w:rPr>
          <w:color w:val="000000" w:themeColor="text1"/>
          <w:sz w:val="22"/>
          <w:szCs w:val="22"/>
          <w:lang w:val="en-US"/>
        </w:rPr>
        <w:t xml:space="preserve">€354 million, which corresponds to </w:t>
      </w:r>
      <w:r>
        <w:rPr>
          <w:color w:val="000000" w:themeColor="text1"/>
          <w:sz w:val="22"/>
          <w:szCs w:val="22"/>
          <w:lang w:val="en-US"/>
        </w:rPr>
        <w:t xml:space="preserve">adjusted </w:t>
      </w:r>
      <w:r w:rsidRPr="006A50A9">
        <w:rPr>
          <w:color w:val="000000" w:themeColor="text1"/>
          <w:sz w:val="22"/>
          <w:szCs w:val="22"/>
          <w:lang w:val="en-US"/>
        </w:rPr>
        <w:t xml:space="preserve">earnings per share of €0.76. The adjusted EBITDA margin </w:t>
      </w:r>
      <w:r w:rsidR="00547FCB">
        <w:rPr>
          <w:color w:val="000000" w:themeColor="text1"/>
          <w:sz w:val="22"/>
          <w:szCs w:val="22"/>
          <w:lang w:val="en-US"/>
        </w:rPr>
        <w:t>improved</w:t>
      </w:r>
      <w:r w:rsidRPr="006A50A9">
        <w:rPr>
          <w:color w:val="000000" w:themeColor="text1"/>
          <w:sz w:val="22"/>
          <w:szCs w:val="22"/>
          <w:lang w:val="en-US"/>
        </w:rPr>
        <w:t xml:space="preserve"> to 19.2 percent, 1.5 percentage points higher than in the sam</w:t>
      </w:r>
      <w:r w:rsidR="0063339C">
        <w:rPr>
          <w:color w:val="000000" w:themeColor="text1"/>
          <w:sz w:val="22"/>
          <w:szCs w:val="22"/>
          <w:lang w:val="en-US"/>
        </w:rPr>
        <w:t>e period of the previous year.</w:t>
      </w:r>
      <w:r w:rsidR="0063339C">
        <w:rPr>
          <w:color w:val="000000" w:themeColor="text1"/>
          <w:sz w:val="22"/>
          <w:szCs w:val="22"/>
          <w:lang w:val="en-US"/>
        </w:rPr>
        <w:br/>
      </w:r>
      <w:r w:rsidRPr="006A50A9">
        <w:rPr>
          <w:color w:val="000000" w:themeColor="text1"/>
          <w:sz w:val="22"/>
          <w:szCs w:val="22"/>
          <w:lang w:val="en-US"/>
        </w:rPr>
        <w:br/>
      </w:r>
      <w:r w:rsidR="00EA1828" w:rsidRPr="006A50A9">
        <w:rPr>
          <w:color w:val="000000" w:themeColor="text1"/>
          <w:sz w:val="22"/>
          <w:szCs w:val="22"/>
          <w:lang w:val="en-US"/>
        </w:rPr>
        <w:t>Evonik is well on track in terms of free cash flow development</w:t>
      </w:r>
      <w:r w:rsidR="00EA1828">
        <w:rPr>
          <w:color w:val="000000" w:themeColor="text1"/>
          <w:sz w:val="22"/>
          <w:szCs w:val="22"/>
          <w:lang w:val="en-US"/>
        </w:rPr>
        <w:t xml:space="preserve">. </w:t>
      </w:r>
      <w:r w:rsidR="0063339C">
        <w:rPr>
          <w:color w:val="000000" w:themeColor="text1"/>
          <w:sz w:val="22"/>
          <w:szCs w:val="22"/>
          <w:lang w:val="en-US"/>
        </w:rPr>
        <w:t>While</w:t>
      </w:r>
      <w:r w:rsidR="00EA1828">
        <w:rPr>
          <w:color w:val="000000" w:themeColor="text1"/>
          <w:sz w:val="22"/>
          <w:szCs w:val="22"/>
          <w:lang w:val="en-US"/>
        </w:rPr>
        <w:t xml:space="preserve"> free cash flow </w:t>
      </w:r>
      <w:r w:rsidR="0063339C">
        <w:rPr>
          <w:color w:val="000000" w:themeColor="text1"/>
          <w:sz w:val="22"/>
          <w:szCs w:val="22"/>
          <w:lang w:val="en-US"/>
        </w:rPr>
        <w:t xml:space="preserve">is </w:t>
      </w:r>
      <w:r w:rsidR="00EA1828">
        <w:rPr>
          <w:color w:val="000000" w:themeColor="text1"/>
          <w:sz w:val="22"/>
          <w:szCs w:val="22"/>
          <w:lang w:val="en-US"/>
        </w:rPr>
        <w:t xml:space="preserve">usually </w:t>
      </w:r>
      <w:r w:rsidR="005562CD">
        <w:rPr>
          <w:color w:val="000000" w:themeColor="text1"/>
          <w:sz w:val="22"/>
          <w:szCs w:val="22"/>
          <w:lang w:val="en-US"/>
        </w:rPr>
        <w:t>negative</w:t>
      </w:r>
      <w:r w:rsidR="00EA1828">
        <w:rPr>
          <w:color w:val="000000" w:themeColor="text1"/>
          <w:sz w:val="22"/>
          <w:szCs w:val="22"/>
          <w:lang w:val="en-US"/>
        </w:rPr>
        <w:t xml:space="preserve"> in the second quarter because of variable compensation payments</w:t>
      </w:r>
      <w:r w:rsidR="005562CD">
        <w:rPr>
          <w:color w:val="000000" w:themeColor="text1"/>
          <w:sz w:val="22"/>
          <w:szCs w:val="22"/>
          <w:lang w:val="en-US"/>
        </w:rPr>
        <w:t xml:space="preserve">, </w:t>
      </w:r>
      <w:r w:rsidR="0063339C">
        <w:rPr>
          <w:color w:val="000000" w:themeColor="text1"/>
          <w:sz w:val="22"/>
          <w:szCs w:val="22"/>
          <w:lang w:val="en-US"/>
        </w:rPr>
        <w:t>it</w:t>
      </w:r>
      <w:r w:rsidR="005562CD">
        <w:rPr>
          <w:color w:val="000000" w:themeColor="text1"/>
          <w:sz w:val="22"/>
          <w:szCs w:val="22"/>
          <w:lang w:val="en-US"/>
        </w:rPr>
        <w:t xml:space="preserve"> improved significantly by €248 million</w:t>
      </w:r>
      <w:r w:rsidR="00EA1828">
        <w:rPr>
          <w:color w:val="000000" w:themeColor="text1"/>
          <w:sz w:val="22"/>
          <w:szCs w:val="22"/>
          <w:lang w:val="en-US"/>
        </w:rPr>
        <w:t xml:space="preserve"> </w:t>
      </w:r>
      <w:r w:rsidR="005562CD">
        <w:rPr>
          <w:color w:val="000000" w:themeColor="text1"/>
          <w:sz w:val="22"/>
          <w:szCs w:val="22"/>
          <w:lang w:val="en-US"/>
        </w:rPr>
        <w:t>and was positive at €56 million (prior year: -€192 million).</w:t>
      </w:r>
      <w:r w:rsidR="00EA1828" w:rsidRPr="006A50A9">
        <w:rPr>
          <w:color w:val="000000" w:themeColor="text1"/>
          <w:sz w:val="22"/>
          <w:szCs w:val="22"/>
          <w:lang w:val="en-US"/>
        </w:rPr>
        <w:t xml:space="preserve"> </w:t>
      </w:r>
      <w:r w:rsidR="005562CD">
        <w:rPr>
          <w:color w:val="000000" w:themeColor="text1"/>
          <w:sz w:val="22"/>
          <w:szCs w:val="22"/>
          <w:lang w:val="en-US"/>
        </w:rPr>
        <w:t xml:space="preserve">This was </w:t>
      </w:r>
      <w:r w:rsidR="0063339C">
        <w:rPr>
          <w:color w:val="000000" w:themeColor="text1"/>
          <w:sz w:val="22"/>
          <w:szCs w:val="22"/>
          <w:lang w:val="en-US"/>
        </w:rPr>
        <w:t>primarily</w:t>
      </w:r>
      <w:r w:rsidR="005562CD">
        <w:rPr>
          <w:color w:val="000000" w:themeColor="text1"/>
          <w:sz w:val="22"/>
          <w:szCs w:val="22"/>
          <w:lang w:val="en-US"/>
        </w:rPr>
        <w:t xml:space="preserve"> due to </w:t>
      </w:r>
      <w:r w:rsidR="0063339C">
        <w:rPr>
          <w:color w:val="000000" w:themeColor="text1"/>
          <w:sz w:val="22"/>
          <w:szCs w:val="22"/>
          <w:lang w:val="en-US"/>
        </w:rPr>
        <w:t>improved</w:t>
      </w:r>
      <w:r w:rsidR="005562CD">
        <w:rPr>
          <w:color w:val="000000" w:themeColor="text1"/>
          <w:sz w:val="22"/>
          <w:szCs w:val="22"/>
          <w:lang w:val="en-US"/>
        </w:rPr>
        <w:t xml:space="preserve"> operating </w:t>
      </w:r>
      <w:r w:rsidR="007C437C">
        <w:rPr>
          <w:color w:val="000000" w:themeColor="text1"/>
          <w:sz w:val="22"/>
          <w:szCs w:val="22"/>
          <w:lang w:val="en-US"/>
        </w:rPr>
        <w:t>income</w:t>
      </w:r>
      <w:r w:rsidR="005562CD">
        <w:rPr>
          <w:color w:val="000000" w:themeColor="text1"/>
          <w:sz w:val="22"/>
          <w:szCs w:val="22"/>
          <w:lang w:val="en-US"/>
        </w:rPr>
        <w:t>.</w:t>
      </w:r>
    </w:p>
    <w:p w:rsidR="007C437C" w:rsidRDefault="007C437C" w:rsidP="00EA1828">
      <w:pPr>
        <w:pStyle w:val="Default"/>
        <w:spacing w:line="300" w:lineRule="exact"/>
        <w:rPr>
          <w:color w:val="000000" w:themeColor="text1"/>
          <w:sz w:val="22"/>
          <w:lang w:val="en-US"/>
        </w:rPr>
      </w:pPr>
    </w:p>
    <w:p w:rsidR="00043E2B" w:rsidRDefault="00215AA7" w:rsidP="00EA1828">
      <w:pPr>
        <w:pStyle w:val="Default"/>
        <w:spacing w:line="300" w:lineRule="exact"/>
        <w:rPr>
          <w:color w:val="000000" w:themeColor="text1"/>
          <w:sz w:val="22"/>
          <w:lang w:val="en-US"/>
        </w:rPr>
      </w:pPr>
      <w:r w:rsidRPr="006A50A9">
        <w:rPr>
          <w:color w:val="000000" w:themeColor="text1"/>
          <w:sz w:val="22"/>
          <w:lang w:val="en-US"/>
        </w:rPr>
        <w:t>“We are</w:t>
      </w:r>
      <w:r w:rsidR="005562CD">
        <w:rPr>
          <w:color w:val="000000" w:themeColor="text1"/>
          <w:sz w:val="22"/>
          <w:lang w:val="en-US"/>
        </w:rPr>
        <w:t xml:space="preserve"> pleased to confirm the strong results that we already </w:t>
      </w:r>
      <w:r w:rsidR="00043E2B">
        <w:rPr>
          <w:color w:val="000000" w:themeColor="text1"/>
          <w:sz w:val="22"/>
          <w:lang w:val="en-US"/>
        </w:rPr>
        <w:t>pre-</w:t>
      </w:r>
      <w:r w:rsidR="005562CD">
        <w:rPr>
          <w:color w:val="000000" w:themeColor="text1"/>
          <w:sz w:val="22"/>
          <w:lang w:val="en-US"/>
        </w:rPr>
        <w:t>released,</w:t>
      </w:r>
      <w:r w:rsidRPr="006A50A9">
        <w:rPr>
          <w:color w:val="000000" w:themeColor="text1"/>
          <w:sz w:val="22"/>
          <w:lang w:val="en-US"/>
        </w:rPr>
        <w:t>” says Christian Kullmann, Chairman of the Executive Board. “</w:t>
      </w:r>
      <w:r w:rsidR="00043E2B">
        <w:rPr>
          <w:color w:val="000000" w:themeColor="text1"/>
          <w:sz w:val="22"/>
          <w:lang w:val="en-US"/>
        </w:rPr>
        <w:t xml:space="preserve">The implementation of strategic measures and a higher </w:t>
      </w:r>
      <w:r w:rsidR="00043E2B">
        <w:rPr>
          <w:color w:val="000000" w:themeColor="text1"/>
          <w:sz w:val="22"/>
          <w:lang w:val="en-US"/>
        </w:rPr>
        <w:lastRenderedPageBreak/>
        <w:t xml:space="preserve">awareness of cost </w:t>
      </w:r>
      <w:r w:rsidR="00965F39">
        <w:rPr>
          <w:color w:val="000000" w:themeColor="text1"/>
          <w:sz w:val="22"/>
          <w:lang w:val="en-US"/>
        </w:rPr>
        <w:t>is increasingly reflected in o</w:t>
      </w:r>
      <w:r w:rsidR="00043E2B">
        <w:rPr>
          <w:color w:val="000000" w:themeColor="text1"/>
          <w:sz w:val="22"/>
          <w:lang w:val="en-US"/>
        </w:rPr>
        <w:t xml:space="preserve">ur operating business development and </w:t>
      </w:r>
      <w:r w:rsidR="00547FCB">
        <w:rPr>
          <w:color w:val="000000" w:themeColor="text1"/>
          <w:sz w:val="22"/>
          <w:lang w:val="en-US"/>
        </w:rPr>
        <w:t xml:space="preserve">a significantly </w:t>
      </w:r>
      <w:r w:rsidR="00043E2B">
        <w:rPr>
          <w:color w:val="000000" w:themeColor="text1"/>
          <w:sz w:val="22"/>
          <w:lang w:val="en-US"/>
        </w:rPr>
        <w:t>improved cash flow.”</w:t>
      </w:r>
    </w:p>
    <w:p w:rsidR="00215AA7" w:rsidRPr="006A50A9" w:rsidRDefault="00215AA7" w:rsidP="00EA1828">
      <w:pPr>
        <w:pStyle w:val="Default"/>
        <w:spacing w:line="300" w:lineRule="exact"/>
        <w:rPr>
          <w:color w:val="000000" w:themeColor="text1"/>
          <w:sz w:val="22"/>
          <w:szCs w:val="22"/>
          <w:lang w:val="en-US"/>
        </w:rPr>
      </w:pPr>
    </w:p>
    <w:p w:rsidR="00215AA7" w:rsidRPr="006A50A9" w:rsidRDefault="00215AA7" w:rsidP="00681567">
      <w:pPr>
        <w:pStyle w:val="Default"/>
        <w:spacing w:line="300" w:lineRule="exact"/>
        <w:rPr>
          <w:color w:val="000000" w:themeColor="text1"/>
          <w:sz w:val="22"/>
          <w:szCs w:val="22"/>
          <w:lang w:val="en-US"/>
        </w:rPr>
      </w:pPr>
      <w:r w:rsidRPr="006A50A9">
        <w:rPr>
          <w:color w:val="000000" w:themeColor="text1"/>
          <w:sz w:val="22"/>
          <w:szCs w:val="22"/>
          <w:lang w:val="en-US"/>
        </w:rPr>
        <w:t>In the first half of the year</w:t>
      </w:r>
      <w:r w:rsidR="00547FCB">
        <w:rPr>
          <w:color w:val="000000" w:themeColor="text1"/>
          <w:sz w:val="22"/>
          <w:szCs w:val="22"/>
          <w:lang w:val="en-US"/>
        </w:rPr>
        <w:t xml:space="preserve"> 2018</w:t>
      </w:r>
      <w:r w:rsidRPr="006A50A9">
        <w:rPr>
          <w:color w:val="000000" w:themeColor="text1"/>
          <w:sz w:val="22"/>
          <w:szCs w:val="22"/>
          <w:lang w:val="en-US"/>
        </w:rPr>
        <w:t xml:space="preserve">, Evonik generated sales of €7.5 billion and an adjusted EBITDA of €1.4 </w:t>
      </w:r>
      <w:r w:rsidR="00547FCB">
        <w:rPr>
          <w:color w:val="000000" w:themeColor="text1"/>
          <w:sz w:val="22"/>
          <w:szCs w:val="22"/>
          <w:lang w:val="en-US"/>
        </w:rPr>
        <w:t xml:space="preserve">billion. Compared to the first </w:t>
      </w:r>
      <w:r w:rsidRPr="006A50A9">
        <w:rPr>
          <w:color w:val="000000" w:themeColor="text1"/>
          <w:sz w:val="22"/>
          <w:szCs w:val="22"/>
          <w:lang w:val="en-US"/>
        </w:rPr>
        <w:t xml:space="preserve">half of 2017, sales rose by 4 percent, and adjusted EBITDA by </w:t>
      </w:r>
      <w:r w:rsidRPr="006A50A9">
        <w:rPr>
          <w:color w:val="000000" w:themeColor="text1"/>
          <w:sz w:val="22"/>
          <w:szCs w:val="22"/>
          <w:lang w:val="en-US"/>
        </w:rPr>
        <w:br/>
        <w:t>15 percent. The adjusted EBITDA margin rose from 17.</w:t>
      </w:r>
      <w:r>
        <w:rPr>
          <w:color w:val="000000" w:themeColor="text1"/>
          <w:sz w:val="22"/>
          <w:szCs w:val="22"/>
          <w:lang w:val="en-US"/>
        </w:rPr>
        <w:t>0</w:t>
      </w:r>
      <w:r w:rsidRPr="006A50A9">
        <w:rPr>
          <w:color w:val="000000" w:themeColor="text1"/>
          <w:sz w:val="22"/>
          <w:szCs w:val="22"/>
          <w:lang w:val="en-US"/>
        </w:rPr>
        <w:t xml:space="preserve"> to 18.8 percent. </w:t>
      </w:r>
      <w:r w:rsidR="00965F39">
        <w:rPr>
          <w:color w:val="000000" w:themeColor="text1"/>
          <w:sz w:val="22"/>
          <w:szCs w:val="22"/>
          <w:lang w:val="en-US"/>
        </w:rPr>
        <w:t>F</w:t>
      </w:r>
      <w:r w:rsidR="00965F39" w:rsidRPr="006A50A9">
        <w:rPr>
          <w:color w:val="000000" w:themeColor="text1"/>
          <w:sz w:val="22"/>
          <w:szCs w:val="22"/>
          <w:lang w:val="en-US"/>
        </w:rPr>
        <w:t xml:space="preserve">ree cash flow </w:t>
      </w:r>
      <w:r w:rsidR="00965F39">
        <w:rPr>
          <w:color w:val="000000" w:themeColor="text1"/>
          <w:sz w:val="22"/>
          <w:szCs w:val="22"/>
          <w:lang w:val="en-US"/>
        </w:rPr>
        <w:t xml:space="preserve">rose significantly in the first half to €140 million </w:t>
      </w:r>
      <w:r w:rsidR="005562CD" w:rsidRPr="006A50A9">
        <w:rPr>
          <w:color w:val="000000" w:themeColor="text1"/>
          <w:sz w:val="22"/>
          <w:szCs w:val="22"/>
          <w:lang w:val="en-US"/>
        </w:rPr>
        <w:t>(</w:t>
      </w:r>
      <w:r w:rsidR="00965F39">
        <w:rPr>
          <w:color w:val="000000" w:themeColor="text1"/>
          <w:sz w:val="22"/>
          <w:szCs w:val="22"/>
          <w:lang w:val="en-US"/>
        </w:rPr>
        <w:t>prior year: -€135 million).</w:t>
      </w:r>
    </w:p>
    <w:p w:rsidR="00215AA7" w:rsidRPr="006A50A9" w:rsidRDefault="00215AA7" w:rsidP="00681567">
      <w:pPr>
        <w:pStyle w:val="Default"/>
        <w:spacing w:line="300" w:lineRule="exact"/>
        <w:rPr>
          <w:color w:val="000000" w:themeColor="text1"/>
          <w:sz w:val="22"/>
          <w:szCs w:val="22"/>
          <w:lang w:val="en-US"/>
        </w:rPr>
      </w:pPr>
    </w:p>
    <w:p w:rsidR="00215AA7" w:rsidRPr="00D6721E" w:rsidRDefault="00215AA7" w:rsidP="00681567">
      <w:pPr>
        <w:rPr>
          <w:b/>
          <w:color w:val="000000" w:themeColor="text1"/>
          <w:szCs w:val="22"/>
        </w:rPr>
      </w:pPr>
      <w:r>
        <w:rPr>
          <w:b/>
          <w:color w:val="000000" w:themeColor="text1"/>
          <w:szCs w:val="22"/>
        </w:rPr>
        <w:t>Outlook increased</w:t>
      </w:r>
    </w:p>
    <w:p w:rsidR="00215AA7" w:rsidRPr="009242B7" w:rsidRDefault="00215AA7" w:rsidP="00681567">
      <w:pPr>
        <w:rPr>
          <w:color w:val="000000" w:themeColor="text1"/>
          <w:szCs w:val="22"/>
        </w:rPr>
      </w:pPr>
    </w:p>
    <w:p w:rsidR="00215AA7" w:rsidRPr="00D6721E" w:rsidRDefault="00006669" w:rsidP="00681567">
      <w:pPr>
        <w:rPr>
          <w:color w:val="000000" w:themeColor="text1"/>
          <w:szCs w:val="22"/>
        </w:rPr>
      </w:pPr>
      <w:r>
        <w:rPr>
          <w:color w:val="000000" w:themeColor="text1"/>
          <w:szCs w:val="22"/>
        </w:rPr>
        <w:t>B</w:t>
      </w:r>
      <w:r w:rsidR="00215AA7">
        <w:rPr>
          <w:color w:val="000000" w:themeColor="text1"/>
          <w:szCs w:val="22"/>
        </w:rPr>
        <w:t xml:space="preserve">ased on its excellent performance in the first half of the year, Evonik increased its outlook for the fiscal year 2018 and is now expecting an adjusted EBITDA between €2.60 and €2.65 billion. The company had previously projected an adjusted EBITDA between €2.4 and €2.6 billion. </w:t>
      </w:r>
    </w:p>
    <w:p w:rsidR="00215AA7" w:rsidRPr="009242B7" w:rsidRDefault="00215AA7" w:rsidP="00681567">
      <w:pPr>
        <w:rPr>
          <w:color w:val="000000" w:themeColor="text1"/>
          <w:szCs w:val="22"/>
        </w:rPr>
      </w:pPr>
    </w:p>
    <w:p w:rsidR="00215AA7" w:rsidRPr="00D6721E" w:rsidRDefault="00215AA7" w:rsidP="00681567">
      <w:pPr>
        <w:rPr>
          <w:color w:val="000000" w:themeColor="text1"/>
          <w:szCs w:val="22"/>
        </w:rPr>
      </w:pPr>
      <w:r>
        <w:rPr>
          <w:color w:val="000000" w:themeColor="text1"/>
          <w:szCs w:val="22"/>
        </w:rPr>
        <w:t xml:space="preserve">The outlook for free cash flow has also been increased. Evonik projects a </w:t>
      </w:r>
      <w:r w:rsidR="00547FCB">
        <w:rPr>
          <w:color w:val="000000" w:themeColor="text1"/>
          <w:szCs w:val="22"/>
        </w:rPr>
        <w:t>noticeably</w:t>
      </w:r>
      <w:r>
        <w:rPr>
          <w:color w:val="000000" w:themeColor="text1"/>
          <w:szCs w:val="22"/>
        </w:rPr>
        <w:t xml:space="preserve"> higher free </w:t>
      </w:r>
      <w:r w:rsidRPr="00E33512">
        <w:rPr>
          <w:color w:val="000000" w:themeColor="text1"/>
          <w:szCs w:val="22"/>
        </w:rPr>
        <w:t xml:space="preserve">cash flow for the </w:t>
      </w:r>
      <w:r>
        <w:rPr>
          <w:color w:val="000000" w:themeColor="text1"/>
          <w:szCs w:val="22"/>
        </w:rPr>
        <w:t xml:space="preserve">fiscal year </w:t>
      </w:r>
      <w:r w:rsidRPr="00E33512">
        <w:rPr>
          <w:color w:val="000000" w:themeColor="text1"/>
          <w:szCs w:val="22"/>
        </w:rPr>
        <w:t xml:space="preserve">2018 compared to </w:t>
      </w:r>
      <w:r>
        <w:rPr>
          <w:color w:val="000000" w:themeColor="text1"/>
          <w:szCs w:val="22"/>
        </w:rPr>
        <w:t>prior year</w:t>
      </w:r>
      <w:r w:rsidR="00547FCB">
        <w:rPr>
          <w:color w:val="000000" w:themeColor="text1"/>
          <w:szCs w:val="22"/>
        </w:rPr>
        <w:t xml:space="preserve"> (€511 million)</w:t>
      </w:r>
      <w:r w:rsidRPr="00E33512">
        <w:rPr>
          <w:color w:val="000000" w:themeColor="text1"/>
          <w:szCs w:val="22"/>
        </w:rPr>
        <w:t>. The company had so far forecast</w:t>
      </w:r>
      <w:r>
        <w:rPr>
          <w:color w:val="000000" w:themeColor="text1"/>
          <w:szCs w:val="22"/>
        </w:rPr>
        <w:t>ed</w:t>
      </w:r>
      <w:r w:rsidRPr="00E33512">
        <w:rPr>
          <w:color w:val="000000" w:themeColor="text1"/>
          <w:szCs w:val="22"/>
        </w:rPr>
        <w:t xml:space="preserve"> </w:t>
      </w:r>
      <w:r>
        <w:rPr>
          <w:color w:val="000000" w:themeColor="text1"/>
          <w:szCs w:val="22"/>
        </w:rPr>
        <w:t>a</w:t>
      </w:r>
      <w:r w:rsidRPr="00E33512">
        <w:rPr>
          <w:color w:val="000000" w:themeColor="text1"/>
          <w:szCs w:val="22"/>
        </w:rPr>
        <w:t xml:space="preserve"> free cash flow</w:t>
      </w:r>
      <w:r>
        <w:rPr>
          <w:color w:val="000000" w:themeColor="text1"/>
          <w:szCs w:val="22"/>
        </w:rPr>
        <w:t xml:space="preserve"> slightly above the level of 2017</w:t>
      </w:r>
      <w:r w:rsidRPr="00E33512">
        <w:rPr>
          <w:color w:val="000000" w:themeColor="text1"/>
          <w:szCs w:val="22"/>
        </w:rPr>
        <w:t>.</w:t>
      </w:r>
      <w:r>
        <w:rPr>
          <w:color w:val="000000" w:themeColor="text1"/>
          <w:szCs w:val="22"/>
        </w:rPr>
        <w:t xml:space="preserve">  </w:t>
      </w:r>
      <w:r>
        <w:rPr>
          <w:color w:val="000000" w:themeColor="text1"/>
          <w:szCs w:val="22"/>
        </w:rPr>
        <w:br/>
      </w:r>
    </w:p>
    <w:p w:rsidR="00215AA7" w:rsidRPr="00D6721E" w:rsidRDefault="00215AA7" w:rsidP="00681567">
      <w:pPr>
        <w:rPr>
          <w:b/>
          <w:color w:val="000000" w:themeColor="text1"/>
          <w:szCs w:val="22"/>
        </w:rPr>
      </w:pPr>
      <w:r>
        <w:rPr>
          <w:b/>
          <w:color w:val="000000" w:themeColor="text1"/>
          <w:szCs w:val="22"/>
        </w:rPr>
        <w:t>Development in the segments</w:t>
      </w:r>
    </w:p>
    <w:p w:rsidR="00215AA7" w:rsidRPr="009242B7" w:rsidRDefault="00215AA7" w:rsidP="00681567">
      <w:pPr>
        <w:rPr>
          <w:color w:val="000000" w:themeColor="text1"/>
          <w:szCs w:val="22"/>
        </w:rPr>
      </w:pPr>
    </w:p>
    <w:p w:rsidR="00965F39" w:rsidRDefault="00215AA7" w:rsidP="00681567">
      <w:pPr>
        <w:rPr>
          <w:color w:val="000000" w:themeColor="text1"/>
          <w:szCs w:val="22"/>
        </w:rPr>
      </w:pPr>
      <w:r>
        <w:rPr>
          <w:color w:val="000000" w:themeColor="text1"/>
          <w:szCs w:val="22"/>
        </w:rPr>
        <w:t xml:space="preserve">The </w:t>
      </w:r>
      <w:r>
        <w:rPr>
          <w:b/>
          <w:bCs/>
          <w:color w:val="000000" w:themeColor="text1"/>
          <w:szCs w:val="22"/>
        </w:rPr>
        <w:t>Resource Efficiency</w:t>
      </w:r>
      <w:r>
        <w:rPr>
          <w:color w:val="000000" w:themeColor="text1"/>
          <w:szCs w:val="22"/>
        </w:rPr>
        <w:t xml:space="preserve"> segment continued its extremely stable and profitable development in the second quarter. Sales increas</w:t>
      </w:r>
      <w:r w:rsidR="00AA3795">
        <w:rPr>
          <w:color w:val="000000" w:themeColor="text1"/>
          <w:szCs w:val="22"/>
        </w:rPr>
        <w:t xml:space="preserve">ed by 8 percent to €1.5 billion, </w:t>
      </w:r>
      <w:r>
        <w:rPr>
          <w:color w:val="000000" w:themeColor="text1"/>
          <w:szCs w:val="22"/>
        </w:rPr>
        <w:t>while adjusted earnings were 15 percent above the same quarter of the previous year at €366 million. The adjusted EBITDA margin in the segment increased by 1.4 percentage points to an outstanding 24.7 percent. Overall, the segment benefited from high capacity utilization and continuing high demand for silica, high-performance polymers, including for lightweight design, and for water-based, environmentally friendly paints and coatings from the Coating Additives business line.</w:t>
      </w:r>
      <w:r>
        <w:rPr>
          <w:color w:val="000000" w:themeColor="text1"/>
          <w:szCs w:val="22"/>
        </w:rPr>
        <w:br/>
      </w:r>
    </w:p>
    <w:p w:rsidR="00215AA7" w:rsidRDefault="00215AA7" w:rsidP="00681567">
      <w:pPr>
        <w:rPr>
          <w:color w:val="000000" w:themeColor="text1"/>
          <w:szCs w:val="22"/>
        </w:rPr>
      </w:pPr>
      <w:r>
        <w:rPr>
          <w:color w:val="000000" w:themeColor="text1"/>
          <w:szCs w:val="22"/>
        </w:rPr>
        <w:t xml:space="preserve">Sales in the </w:t>
      </w:r>
      <w:r>
        <w:rPr>
          <w:b/>
          <w:bCs/>
          <w:color w:val="000000" w:themeColor="text1"/>
          <w:szCs w:val="22"/>
        </w:rPr>
        <w:t>Nutrition &amp; Care</w:t>
      </w:r>
      <w:r>
        <w:rPr>
          <w:color w:val="000000" w:themeColor="text1"/>
          <w:szCs w:val="22"/>
        </w:rPr>
        <w:t xml:space="preserve"> segment were </w:t>
      </w:r>
      <w:r w:rsidR="00AA3795">
        <w:rPr>
          <w:color w:val="000000" w:themeColor="text1"/>
          <w:szCs w:val="22"/>
        </w:rPr>
        <w:t xml:space="preserve">2 percent </w:t>
      </w:r>
      <w:r>
        <w:rPr>
          <w:color w:val="000000" w:themeColor="text1"/>
          <w:szCs w:val="22"/>
        </w:rPr>
        <w:t xml:space="preserve">above prior-year </w:t>
      </w:r>
      <w:r w:rsidR="00AA3795">
        <w:rPr>
          <w:color w:val="000000" w:themeColor="text1"/>
          <w:szCs w:val="22"/>
        </w:rPr>
        <w:t>at €1.2 billion</w:t>
      </w:r>
      <w:r>
        <w:rPr>
          <w:color w:val="000000" w:themeColor="text1"/>
          <w:szCs w:val="22"/>
        </w:rPr>
        <w:t>. Adjusted earnings rose by 10 percent to €222 million</w:t>
      </w:r>
      <w:r w:rsidR="00AA3795">
        <w:rPr>
          <w:color w:val="000000" w:themeColor="text1"/>
          <w:szCs w:val="22"/>
        </w:rPr>
        <w:t xml:space="preserve">. </w:t>
      </w:r>
      <w:r>
        <w:rPr>
          <w:color w:val="000000" w:themeColor="text1"/>
          <w:szCs w:val="22"/>
        </w:rPr>
        <w:t>The s</w:t>
      </w:r>
      <w:r w:rsidRPr="00E33512">
        <w:rPr>
          <w:color w:val="000000" w:themeColor="text1"/>
          <w:szCs w:val="22"/>
        </w:rPr>
        <w:t>egment was able to significantly increase its adjusted EBITDA margin to 1</w:t>
      </w:r>
      <w:r>
        <w:rPr>
          <w:color w:val="000000" w:themeColor="text1"/>
          <w:szCs w:val="22"/>
        </w:rPr>
        <w:t>8</w:t>
      </w:r>
      <w:r w:rsidRPr="00E33512">
        <w:rPr>
          <w:color w:val="000000" w:themeColor="text1"/>
          <w:szCs w:val="22"/>
        </w:rPr>
        <w:t>.</w:t>
      </w:r>
      <w:r>
        <w:rPr>
          <w:color w:val="000000" w:themeColor="text1"/>
          <w:szCs w:val="22"/>
        </w:rPr>
        <w:t>7</w:t>
      </w:r>
      <w:r w:rsidRPr="00E33512">
        <w:rPr>
          <w:color w:val="000000" w:themeColor="text1"/>
          <w:szCs w:val="22"/>
        </w:rPr>
        <w:t xml:space="preserve"> percent (</w:t>
      </w:r>
      <w:r>
        <w:rPr>
          <w:color w:val="000000" w:themeColor="text1"/>
          <w:szCs w:val="22"/>
        </w:rPr>
        <w:t xml:space="preserve">prior-year: </w:t>
      </w:r>
      <w:r w:rsidRPr="00E33512">
        <w:rPr>
          <w:color w:val="000000" w:themeColor="text1"/>
          <w:szCs w:val="22"/>
        </w:rPr>
        <w:t xml:space="preserve">17.3 </w:t>
      </w:r>
      <w:r w:rsidRPr="00E33512">
        <w:rPr>
          <w:color w:val="000000" w:themeColor="text1"/>
          <w:szCs w:val="22"/>
        </w:rPr>
        <w:lastRenderedPageBreak/>
        <w:t>percent). This was</w:t>
      </w:r>
      <w:r>
        <w:rPr>
          <w:color w:val="000000" w:themeColor="text1"/>
          <w:szCs w:val="22"/>
        </w:rPr>
        <w:t xml:space="preserve"> achieved with a consistent focus on higher-margin products, successfully passing on increased raw material costs, and strict cost reductions, especially in Animal Nutrition and Baby Care. In the amino acids business for animal nutrition, the market environment remained robust over the course of </w:t>
      </w:r>
      <w:r w:rsidRPr="00E33512">
        <w:rPr>
          <w:color w:val="000000" w:themeColor="text1"/>
          <w:szCs w:val="22"/>
        </w:rPr>
        <w:t>the reporting quarter. Sales volumes developed positively and were above those of the same quarter in the previous year. Sales</w:t>
      </w:r>
      <w:r>
        <w:rPr>
          <w:color w:val="000000" w:themeColor="text1"/>
          <w:szCs w:val="22"/>
        </w:rPr>
        <w:t xml:space="preserve"> prices continued the stabilization trend that had already been evident at the beginning of the year. Significant sales increases were also reported in P</w:t>
      </w:r>
      <w:r w:rsidRPr="00E33512">
        <w:rPr>
          <w:color w:val="000000" w:themeColor="text1"/>
          <w:szCs w:val="22"/>
        </w:rPr>
        <w:t xml:space="preserve">ersonal </w:t>
      </w:r>
      <w:r>
        <w:rPr>
          <w:color w:val="000000" w:themeColor="text1"/>
          <w:szCs w:val="22"/>
        </w:rPr>
        <w:t>C</w:t>
      </w:r>
      <w:r w:rsidRPr="00E33512">
        <w:rPr>
          <w:color w:val="000000" w:themeColor="text1"/>
          <w:szCs w:val="22"/>
        </w:rPr>
        <w:t>are, which benefited from significantly higher volume</w:t>
      </w:r>
      <w:r>
        <w:rPr>
          <w:color w:val="000000" w:themeColor="text1"/>
          <w:szCs w:val="22"/>
        </w:rPr>
        <w:t>s</w:t>
      </w:r>
      <w:r w:rsidRPr="00E33512">
        <w:rPr>
          <w:color w:val="000000" w:themeColor="text1"/>
          <w:szCs w:val="22"/>
        </w:rPr>
        <w:t xml:space="preserve"> </w:t>
      </w:r>
      <w:r>
        <w:rPr>
          <w:color w:val="000000" w:themeColor="text1"/>
          <w:szCs w:val="22"/>
        </w:rPr>
        <w:t>at a</w:t>
      </w:r>
      <w:r w:rsidRPr="00E33512">
        <w:rPr>
          <w:color w:val="000000" w:themeColor="text1"/>
          <w:szCs w:val="22"/>
        </w:rPr>
        <w:t xml:space="preserve">n improved product mix. </w:t>
      </w:r>
      <w:r w:rsidR="00AA3795">
        <w:rPr>
          <w:color w:val="000000" w:themeColor="text1"/>
          <w:szCs w:val="22"/>
        </w:rPr>
        <w:t>In t</w:t>
      </w:r>
      <w:r w:rsidRPr="00E33512">
        <w:rPr>
          <w:color w:val="000000" w:themeColor="text1"/>
          <w:szCs w:val="22"/>
        </w:rPr>
        <w:t xml:space="preserve">he </w:t>
      </w:r>
      <w:r>
        <w:rPr>
          <w:color w:val="000000" w:themeColor="text1"/>
          <w:szCs w:val="22"/>
        </w:rPr>
        <w:t>H</w:t>
      </w:r>
      <w:r w:rsidRPr="00E33512">
        <w:rPr>
          <w:color w:val="000000" w:themeColor="text1"/>
          <w:szCs w:val="22"/>
        </w:rPr>
        <w:t xml:space="preserve">ealth </w:t>
      </w:r>
      <w:r>
        <w:rPr>
          <w:color w:val="000000" w:themeColor="text1"/>
          <w:szCs w:val="22"/>
        </w:rPr>
        <w:t>C</w:t>
      </w:r>
      <w:r w:rsidRPr="00E33512">
        <w:rPr>
          <w:color w:val="000000" w:themeColor="text1"/>
          <w:szCs w:val="22"/>
        </w:rPr>
        <w:t xml:space="preserve">are </w:t>
      </w:r>
      <w:r w:rsidR="00AA3795">
        <w:rPr>
          <w:color w:val="000000" w:themeColor="text1"/>
          <w:szCs w:val="22"/>
        </w:rPr>
        <w:t xml:space="preserve">business pharmaceutical polymers and exclusive synthesis developed very well. </w:t>
      </w:r>
    </w:p>
    <w:p w:rsidR="00AA3795" w:rsidRPr="009242B7" w:rsidRDefault="00AA3795" w:rsidP="00681567">
      <w:pPr>
        <w:rPr>
          <w:color w:val="000000" w:themeColor="text1"/>
          <w:szCs w:val="22"/>
        </w:rPr>
      </w:pPr>
    </w:p>
    <w:p w:rsidR="00215AA7" w:rsidRPr="00D6721E" w:rsidRDefault="00215AA7" w:rsidP="00681567">
      <w:pPr>
        <w:rPr>
          <w:color w:val="000000" w:themeColor="text1"/>
          <w:szCs w:val="22"/>
        </w:rPr>
      </w:pPr>
      <w:r>
        <w:rPr>
          <w:color w:val="000000" w:themeColor="text1"/>
          <w:szCs w:val="22"/>
        </w:rPr>
        <w:t xml:space="preserve">Sales in the </w:t>
      </w:r>
      <w:r>
        <w:rPr>
          <w:b/>
          <w:bCs/>
          <w:color w:val="000000" w:themeColor="text1"/>
          <w:szCs w:val="22"/>
        </w:rPr>
        <w:t>Performance Materials</w:t>
      </w:r>
      <w:r>
        <w:rPr>
          <w:color w:val="000000" w:themeColor="text1"/>
          <w:szCs w:val="22"/>
        </w:rPr>
        <w:t xml:space="preserve"> segment reached €1.0 billion in the second quarter, 13 percent above the previous year. This was due to persistently high </w:t>
      </w:r>
      <w:r w:rsidRPr="00E33512">
        <w:rPr>
          <w:color w:val="000000" w:themeColor="text1"/>
          <w:szCs w:val="22"/>
        </w:rPr>
        <w:t>selling prices in the methacrylate business and an improved market environment for Performance Intermediates. The adjusted</w:t>
      </w:r>
      <w:r>
        <w:rPr>
          <w:color w:val="000000" w:themeColor="text1"/>
          <w:szCs w:val="22"/>
        </w:rPr>
        <w:t xml:space="preserve"> EBITDA improved by</w:t>
      </w:r>
      <w:r w:rsidR="00AA3795">
        <w:rPr>
          <w:color w:val="000000" w:themeColor="text1"/>
          <w:szCs w:val="22"/>
        </w:rPr>
        <w:t xml:space="preserve"> 17 percent to €196 million. </w:t>
      </w:r>
      <w:r>
        <w:rPr>
          <w:color w:val="000000" w:themeColor="text1"/>
          <w:szCs w:val="22"/>
        </w:rPr>
        <w:t>The Performance Materials segment increased its adjusted EBITDA margin to 19.1 percent (prior-year: 18.5 percent).</w:t>
      </w:r>
    </w:p>
    <w:p w:rsidR="004F1918" w:rsidRDefault="004F1918" w:rsidP="00CD1EE7"/>
    <w:p w:rsidR="00DC0F4C" w:rsidRDefault="00DC0F4C">
      <w:pPr>
        <w:spacing w:line="240" w:lineRule="auto"/>
      </w:pPr>
      <w:r>
        <w:br w:type="page"/>
      </w:r>
    </w:p>
    <w:p w:rsidR="004F1918" w:rsidRDefault="00DC0F4C" w:rsidP="00CD1EE7">
      <w:r w:rsidRPr="00DC0F4C">
        <w:rPr>
          <w:noProof/>
          <w:lang w:val="de-DE"/>
        </w:rPr>
        <w:lastRenderedPageBreak/>
        <w:drawing>
          <wp:anchor distT="0" distB="0" distL="114300" distR="114300" simplePos="0" relativeHeight="251658240" behindDoc="0" locked="0" layoutInCell="1" allowOverlap="1">
            <wp:simplePos x="0" y="0"/>
            <wp:positionH relativeFrom="margin">
              <wp:posOffset>-307975</wp:posOffset>
            </wp:positionH>
            <wp:positionV relativeFrom="paragraph">
              <wp:posOffset>215265</wp:posOffset>
            </wp:positionV>
            <wp:extent cx="6477000" cy="30099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0" cy="300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1918" w:rsidRDefault="004F1918" w:rsidP="00CD1EE7"/>
    <w:p w:rsidR="004F1918" w:rsidRDefault="004F1918" w:rsidP="00CD1EE7"/>
    <w:p w:rsidR="004F1918" w:rsidRDefault="004F1918" w:rsidP="00DC0F4C">
      <w:pPr>
        <w:ind w:left="-567"/>
      </w:pPr>
    </w:p>
    <w:p w:rsidR="00EE1117" w:rsidRDefault="00DC0F4C" w:rsidP="00EE1117">
      <w:pPr>
        <w:spacing w:line="240" w:lineRule="auto"/>
      </w:pPr>
      <w:r w:rsidRPr="00DC0F4C">
        <w:rPr>
          <w:noProof/>
          <w:lang w:val="de-DE"/>
        </w:rPr>
        <w:drawing>
          <wp:anchor distT="0" distB="0" distL="114300" distR="114300" simplePos="0" relativeHeight="251659264" behindDoc="0" locked="0" layoutInCell="1" allowOverlap="1">
            <wp:simplePos x="0" y="0"/>
            <wp:positionH relativeFrom="column">
              <wp:posOffset>-285115</wp:posOffset>
            </wp:positionH>
            <wp:positionV relativeFrom="paragraph">
              <wp:posOffset>3270885</wp:posOffset>
            </wp:positionV>
            <wp:extent cx="6484620" cy="313182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4620" cy="313182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p w:rsidR="00EE1117" w:rsidRDefault="00EE1117" w:rsidP="00EE1117">
      <w:pPr>
        <w:spacing w:line="240" w:lineRule="auto"/>
      </w:pPr>
      <w:r>
        <w:rPr>
          <w:noProof/>
          <w:lang w:val="de-DE"/>
        </w:rPr>
        <w:lastRenderedPageBreak/>
        <w:drawing>
          <wp:inline distT="0" distB="0" distL="0" distR="0" wp14:anchorId="04806D5E">
            <wp:extent cx="4535805" cy="1481455"/>
            <wp:effectExtent l="0" t="0" r="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5805" cy="1481455"/>
                    </a:xfrm>
                    <a:prstGeom prst="rect">
                      <a:avLst/>
                    </a:prstGeom>
                    <a:noFill/>
                  </pic:spPr>
                </pic:pic>
              </a:graphicData>
            </a:graphic>
          </wp:inline>
        </w:drawing>
      </w:r>
    </w:p>
    <w:p w:rsidR="00EE1117" w:rsidRDefault="00EE1117" w:rsidP="00EE1117">
      <w:pPr>
        <w:spacing w:line="240" w:lineRule="auto"/>
      </w:pPr>
    </w:p>
    <w:p w:rsidR="00EE1117" w:rsidRDefault="00EE1117" w:rsidP="00EE1117">
      <w:pPr>
        <w:spacing w:line="240" w:lineRule="auto"/>
      </w:pPr>
    </w:p>
    <w:p w:rsidR="00EE1117" w:rsidRDefault="00EE1117" w:rsidP="00EE1117">
      <w:pPr>
        <w:spacing w:line="240" w:lineRule="auto"/>
      </w:pPr>
    </w:p>
    <w:p w:rsidR="00EE1117" w:rsidRDefault="00EE1117" w:rsidP="00EE1117">
      <w:pPr>
        <w:spacing w:line="240" w:lineRule="auto"/>
      </w:pPr>
    </w:p>
    <w:p w:rsidR="00EE1117" w:rsidRDefault="00EE1117" w:rsidP="00EE1117">
      <w:pPr>
        <w:spacing w:line="240" w:lineRule="auto"/>
      </w:pPr>
    </w:p>
    <w:p w:rsidR="00A525CB" w:rsidRPr="00EE1117" w:rsidRDefault="00A525CB" w:rsidP="00EE1117">
      <w:pPr>
        <w:spacing w:line="240" w:lineRule="auto"/>
      </w:pPr>
      <w:r>
        <w:rPr>
          <w:b/>
          <w:bCs/>
          <w:color w:val="000000"/>
          <w:sz w:val="18"/>
          <w:szCs w:val="18"/>
        </w:rPr>
        <w:t xml:space="preserve">Company information </w:t>
      </w:r>
    </w:p>
    <w:p w:rsidR="00A525CB" w:rsidRDefault="00A525CB" w:rsidP="00A525CB">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A525CB" w:rsidRDefault="00A525CB" w:rsidP="00A525CB">
      <w:pPr>
        <w:spacing w:line="220" w:lineRule="exact"/>
        <w:rPr>
          <w:sz w:val="18"/>
          <w:szCs w:val="18"/>
        </w:rPr>
      </w:pPr>
    </w:p>
    <w:p w:rsidR="00A525CB" w:rsidRDefault="00A525CB" w:rsidP="00A525CB">
      <w:pPr>
        <w:spacing w:line="220" w:lineRule="exact"/>
        <w:rPr>
          <w:sz w:val="18"/>
          <w:szCs w:val="18"/>
        </w:rPr>
      </w:pPr>
    </w:p>
    <w:p w:rsidR="00A525CB" w:rsidRDefault="00A525CB" w:rsidP="00A525CB">
      <w:pPr>
        <w:spacing w:line="220" w:lineRule="exact"/>
        <w:outlineLvl w:val="0"/>
        <w:rPr>
          <w:rFonts w:cs="Lucida Sans Unicode"/>
          <w:b/>
          <w:bCs/>
          <w:color w:val="000000"/>
          <w:sz w:val="18"/>
          <w:szCs w:val="18"/>
        </w:rPr>
      </w:pPr>
      <w:r>
        <w:rPr>
          <w:b/>
          <w:bCs/>
          <w:color w:val="000000"/>
          <w:sz w:val="18"/>
          <w:szCs w:val="18"/>
        </w:rPr>
        <w:t>Disclaimer</w:t>
      </w:r>
    </w:p>
    <w:p w:rsidR="004F1918" w:rsidRPr="00A525CB" w:rsidRDefault="00A525CB" w:rsidP="004F1918">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A525CB"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795" w:rsidRDefault="00AA3795" w:rsidP="00FD1184">
      <w:r>
        <w:separator/>
      </w:r>
    </w:p>
  </w:endnote>
  <w:endnote w:type="continuationSeparator" w:id="0">
    <w:p w:rsidR="00AA3795" w:rsidRDefault="00AA379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95" w:rsidRDefault="00AA3795">
    <w:pPr>
      <w:pStyle w:val="Fuzeile"/>
    </w:pPr>
  </w:p>
  <w:p w:rsidR="00AA3795" w:rsidRDefault="00AA3795">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E20127">
      <w:rPr>
        <w:rStyle w:val="Seitenzahl"/>
        <w:noProof/>
      </w:rPr>
      <w:t>5</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E20127">
      <w:rPr>
        <w:rStyle w:val="Seitenzahl"/>
        <w:noProof/>
      </w:rPr>
      <w:t>5</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95" w:rsidRDefault="00AA3795" w:rsidP="00316EC0">
    <w:pPr>
      <w:pStyle w:val="Fuzeile"/>
    </w:pPr>
  </w:p>
  <w:p w:rsidR="00AA3795" w:rsidRPr="005225EC" w:rsidRDefault="00AA3795"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20127">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20127">
      <w:rPr>
        <w:rStyle w:val="Seitenzahl"/>
        <w:noProof/>
        <w:szCs w:val="18"/>
      </w:rPr>
      <w:t>5</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795" w:rsidRDefault="00AA3795" w:rsidP="00FD1184">
      <w:r>
        <w:separator/>
      </w:r>
    </w:p>
  </w:footnote>
  <w:footnote w:type="continuationSeparator" w:id="0">
    <w:p w:rsidR="00AA3795" w:rsidRDefault="00AA379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95" w:rsidRPr="003F4CD0" w:rsidRDefault="00AA3795"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95" w:rsidRPr="003F4CD0" w:rsidRDefault="00AA3795">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6669"/>
    <w:rsid w:val="00007459"/>
    <w:rsid w:val="00013722"/>
    <w:rsid w:val="00020EC3"/>
    <w:rsid w:val="00023B97"/>
    <w:rsid w:val="00035360"/>
    <w:rsid w:val="000400C5"/>
    <w:rsid w:val="00043E2B"/>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F7C26"/>
    <w:rsid w:val="00215AA7"/>
    <w:rsid w:val="00216ED7"/>
    <w:rsid w:val="00221C32"/>
    <w:rsid w:val="00241B78"/>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17FFA"/>
    <w:rsid w:val="00422338"/>
    <w:rsid w:val="00424F52"/>
    <w:rsid w:val="00464856"/>
    <w:rsid w:val="00473AED"/>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47FCB"/>
    <w:rsid w:val="00552ADA"/>
    <w:rsid w:val="005562CD"/>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339C"/>
    <w:rsid w:val="00635F70"/>
    <w:rsid w:val="00645F2F"/>
    <w:rsid w:val="00652A75"/>
    <w:rsid w:val="006651E2"/>
    <w:rsid w:val="00681567"/>
    <w:rsid w:val="006A581A"/>
    <w:rsid w:val="006A5A6B"/>
    <w:rsid w:val="006C6EA8"/>
    <w:rsid w:val="006D601A"/>
    <w:rsid w:val="006E2F15"/>
    <w:rsid w:val="006E434B"/>
    <w:rsid w:val="006F3AB9"/>
    <w:rsid w:val="006F5476"/>
    <w:rsid w:val="00717EDA"/>
    <w:rsid w:val="0072366D"/>
    <w:rsid w:val="00723778"/>
    <w:rsid w:val="00731495"/>
    <w:rsid w:val="00744FA6"/>
    <w:rsid w:val="00763004"/>
    <w:rsid w:val="00770879"/>
    <w:rsid w:val="00775D2E"/>
    <w:rsid w:val="007767AB"/>
    <w:rsid w:val="00784360"/>
    <w:rsid w:val="007A2C47"/>
    <w:rsid w:val="007B41C0"/>
    <w:rsid w:val="007C1E2C"/>
    <w:rsid w:val="007C437C"/>
    <w:rsid w:val="007C479F"/>
    <w:rsid w:val="007C4857"/>
    <w:rsid w:val="007E025C"/>
    <w:rsid w:val="007E7C76"/>
    <w:rsid w:val="007F1506"/>
    <w:rsid w:val="007F200A"/>
    <w:rsid w:val="007F3646"/>
    <w:rsid w:val="007F59C2"/>
    <w:rsid w:val="007F7820"/>
    <w:rsid w:val="00800AA9"/>
    <w:rsid w:val="0081515B"/>
    <w:rsid w:val="00816BD2"/>
    <w:rsid w:val="00820884"/>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68F"/>
    <w:rsid w:val="008F49C5"/>
    <w:rsid w:val="0090621C"/>
    <w:rsid w:val="00935881"/>
    <w:rsid w:val="009454A0"/>
    <w:rsid w:val="00954060"/>
    <w:rsid w:val="009560C1"/>
    <w:rsid w:val="00965F39"/>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375B5"/>
    <w:rsid w:val="00A41C88"/>
    <w:rsid w:val="00A525CB"/>
    <w:rsid w:val="00A60CE5"/>
    <w:rsid w:val="00A70C5E"/>
    <w:rsid w:val="00A712B8"/>
    <w:rsid w:val="00A804CC"/>
    <w:rsid w:val="00A81F2D"/>
    <w:rsid w:val="00A97CD7"/>
    <w:rsid w:val="00A97EAD"/>
    <w:rsid w:val="00AA15C6"/>
    <w:rsid w:val="00AA3795"/>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100C6"/>
    <w:rsid w:val="00C21FFE"/>
    <w:rsid w:val="00C2259A"/>
    <w:rsid w:val="00C242F2"/>
    <w:rsid w:val="00C251AD"/>
    <w:rsid w:val="00C310A2"/>
    <w:rsid w:val="00C31302"/>
    <w:rsid w:val="00C33407"/>
    <w:rsid w:val="00C4228E"/>
    <w:rsid w:val="00C4300F"/>
    <w:rsid w:val="00C44564"/>
    <w:rsid w:val="00C60F15"/>
    <w:rsid w:val="00C930F0"/>
    <w:rsid w:val="00C94042"/>
    <w:rsid w:val="00CA2D91"/>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0F4C"/>
    <w:rsid w:val="00DC1267"/>
    <w:rsid w:val="00DC1494"/>
    <w:rsid w:val="00DE534A"/>
    <w:rsid w:val="00E012F7"/>
    <w:rsid w:val="00E05BB2"/>
    <w:rsid w:val="00E120CF"/>
    <w:rsid w:val="00E172A1"/>
    <w:rsid w:val="00E17C9E"/>
    <w:rsid w:val="00E17FDD"/>
    <w:rsid w:val="00E20127"/>
    <w:rsid w:val="00E363F0"/>
    <w:rsid w:val="00E430EA"/>
    <w:rsid w:val="00E44B62"/>
    <w:rsid w:val="00E46D1E"/>
    <w:rsid w:val="00E6418A"/>
    <w:rsid w:val="00E67EA2"/>
    <w:rsid w:val="00E86454"/>
    <w:rsid w:val="00E8737C"/>
    <w:rsid w:val="00E97290"/>
    <w:rsid w:val="00EA1828"/>
    <w:rsid w:val="00EA7E4E"/>
    <w:rsid w:val="00EB0C3E"/>
    <w:rsid w:val="00EC012C"/>
    <w:rsid w:val="00EC2C4D"/>
    <w:rsid w:val="00ED1DEA"/>
    <w:rsid w:val="00ED3808"/>
    <w:rsid w:val="00EE1117"/>
    <w:rsid w:val="00EE4A72"/>
    <w:rsid w:val="00EF7EB3"/>
    <w:rsid w:val="00F018DC"/>
    <w:rsid w:val="00F5602B"/>
    <w:rsid w:val="00F57153"/>
    <w:rsid w:val="00F6598A"/>
    <w:rsid w:val="00F66FEE"/>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uiPriority w:val="99"/>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character" w:customStyle="1" w:styleId="TitelZchn">
    <w:name w:val="Titel Zchn"/>
    <w:basedOn w:val="Absatz-Standardschriftart"/>
    <w:link w:val="Titel"/>
    <w:uiPriority w:val="99"/>
    <w:rsid w:val="00215AA7"/>
    <w:rPr>
      <w:rFonts w:ascii="Lucida Sans Unicode" w:hAnsi="Lucida Sans Unicode" w:cs="Arial"/>
      <w:b/>
      <w:bCs/>
      <w:kern w:val="28"/>
      <w:sz w:val="24"/>
      <w:szCs w:val="32"/>
      <w:lang w:val="en-GB"/>
    </w:rPr>
  </w:style>
  <w:style w:type="paragraph" w:customStyle="1" w:styleId="msolistparagraph0">
    <w:name w:val="msolistparagraph"/>
    <w:basedOn w:val="Standard"/>
    <w:rsid w:val="00215AA7"/>
    <w:pPr>
      <w:spacing w:after="160" w:line="252" w:lineRule="auto"/>
      <w:ind w:left="720"/>
      <w:contextualSpacing/>
    </w:pPr>
    <w:rPr>
      <w:rFonts w:eastAsia="Calibri" w:cs="Lucida Sans Unicode"/>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1FA8AF50</Template>
  <TotalTime>0</TotalTime>
  <Pages>5</Pages>
  <Words>973</Words>
  <Characters>5501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6462</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Matthews, Sheenagh</cp:lastModifiedBy>
  <cp:revision>10</cp:revision>
  <cp:lastPrinted>2018-07-30T10:30:00Z</cp:lastPrinted>
  <dcterms:created xsi:type="dcterms:W3CDTF">2018-07-26T08:22:00Z</dcterms:created>
  <dcterms:modified xsi:type="dcterms:W3CDTF">2018-07-30T10:30:00Z</dcterms:modified>
</cp:coreProperties>
</file>