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C929C3" w:rsidP="004F1918">
            <w:pPr>
              <w:pStyle w:val="M7"/>
              <w:framePr w:wrap="auto" w:vAnchor="margin" w:hAnchor="text" w:xAlign="left" w:yAlign="inline"/>
              <w:suppressOverlap w:val="0"/>
              <w:rPr>
                <w:b w:val="0"/>
                <w:sz w:val="18"/>
                <w:szCs w:val="18"/>
                <w:lang w:val="en-US"/>
              </w:rPr>
            </w:pPr>
            <w:r>
              <w:rPr>
                <w:b w:val="0"/>
                <w:sz w:val="18"/>
                <w:szCs w:val="18"/>
                <w:lang w:val="en-US"/>
              </w:rPr>
              <w:t>November 6</w:t>
            </w:r>
            <w:r w:rsidR="00215AA7">
              <w:rPr>
                <w:b w:val="0"/>
                <w:sz w:val="18"/>
                <w:szCs w:val="18"/>
                <w:lang w:val="en-US"/>
              </w:rPr>
              <w:t>,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40CD4" w:rsidRDefault="00215AA7" w:rsidP="004F1918">
            <w:pPr>
              <w:pStyle w:val="M7"/>
              <w:framePr w:wrap="auto" w:vAnchor="margin" w:hAnchor="text" w:xAlign="left" w:yAlign="inline"/>
              <w:suppressOverlap w:val="0"/>
              <w:rPr>
                <w:lang w:val="en-US"/>
              </w:rPr>
            </w:pPr>
            <w:r>
              <w:rPr>
                <w:lang w:val="en-US"/>
              </w:rPr>
              <w:t>Matthias Ruch</w:t>
            </w:r>
          </w:p>
          <w:p w:rsidR="004F1918" w:rsidRDefault="00B61AFA" w:rsidP="00840CD4">
            <w:pPr>
              <w:pStyle w:val="M7"/>
              <w:framePr w:wrap="auto" w:vAnchor="margin" w:hAnchor="text" w:xAlign="left" w:yAlign="inline"/>
              <w:suppressOverlap w:val="0"/>
              <w:rPr>
                <w:b w:val="0"/>
                <w:lang w:val="en-US"/>
              </w:rPr>
            </w:pPr>
            <w:r>
              <w:rPr>
                <w:lang w:val="en-US"/>
              </w:rPr>
              <w:t xml:space="preserve">Head of </w:t>
            </w:r>
            <w:r w:rsidR="00840CD4" w:rsidRPr="00486462">
              <w:rPr>
                <w:lang w:val="en-US"/>
              </w:rPr>
              <w:t>External Communications</w:t>
            </w:r>
            <w:r w:rsidR="004F1918" w:rsidRPr="00486462">
              <w:rPr>
                <w:lang w:val="en-US"/>
              </w:rPr>
              <w:br/>
            </w:r>
            <w:r w:rsidR="004F1918" w:rsidRPr="00486462">
              <w:rPr>
                <w:b w:val="0"/>
                <w:lang w:val="en-US"/>
              </w:rPr>
              <w:t xml:space="preserve">Phone +49 </w:t>
            </w:r>
            <w:r w:rsidR="00CA2D91">
              <w:rPr>
                <w:b w:val="0"/>
                <w:lang w:val="en-US"/>
              </w:rPr>
              <w:t xml:space="preserve"> </w:t>
            </w:r>
            <w:r w:rsidR="00215AA7">
              <w:rPr>
                <w:b w:val="0"/>
                <w:lang w:val="en-US"/>
              </w:rPr>
              <w:t>201 177 3348</w:t>
            </w:r>
          </w:p>
          <w:p w:rsidR="00215AA7" w:rsidRPr="00486462" w:rsidRDefault="00C26929" w:rsidP="00840CD4">
            <w:pPr>
              <w:pStyle w:val="M7"/>
              <w:framePr w:wrap="auto" w:vAnchor="margin" w:hAnchor="text" w:xAlign="left" w:yAlign="inline"/>
              <w:suppressOverlap w:val="0"/>
              <w:rPr>
                <w:lang w:val="en-US"/>
              </w:rPr>
            </w:pPr>
            <w:r>
              <w:rPr>
                <w:b w:val="0"/>
                <w:lang w:val="en-US"/>
              </w:rPr>
              <w:t>Mobile +49 174 325 9942</w:t>
            </w:r>
          </w:p>
          <w:p w:rsidR="00C26929" w:rsidRDefault="006B4203" w:rsidP="00215AA7">
            <w:pPr>
              <w:pStyle w:val="M10"/>
              <w:framePr w:wrap="auto" w:vAnchor="margin" w:hAnchor="text" w:xAlign="left" w:yAlign="inline"/>
              <w:suppressOverlap w:val="0"/>
            </w:pPr>
            <w:hyperlink r:id="rId7" w:history="1">
              <w:r w:rsidR="00C26929" w:rsidRPr="0089530A">
                <w:rPr>
                  <w:rStyle w:val="Hyperlink"/>
                </w:rPr>
                <w:t>Matthias.Ruch@evonik.com</w:t>
              </w:r>
            </w:hyperlink>
          </w:p>
          <w:p w:rsidR="00C26929" w:rsidRDefault="00C26929" w:rsidP="00215AA7">
            <w:pPr>
              <w:pStyle w:val="M10"/>
              <w:framePr w:wrap="auto" w:vAnchor="margin" w:hAnchor="text" w:xAlign="left" w:yAlign="inline"/>
              <w:suppressOverlap w:val="0"/>
            </w:pPr>
          </w:p>
          <w:p w:rsidR="00C26929" w:rsidRDefault="00C26929" w:rsidP="00215AA7">
            <w:pPr>
              <w:pStyle w:val="M10"/>
              <w:framePr w:wrap="auto" w:vAnchor="margin" w:hAnchor="text" w:xAlign="left" w:yAlign="inline"/>
              <w:suppressOverlap w:val="0"/>
            </w:pPr>
          </w:p>
          <w:p w:rsidR="00C26929" w:rsidRDefault="00C26929" w:rsidP="00C26929">
            <w:pPr>
              <w:spacing w:line="180" w:lineRule="exact"/>
              <w:rPr>
                <w:rStyle w:val="Hyperlink"/>
                <w:rFonts w:cs="Lucida Sans Unicode"/>
                <w:sz w:val="13"/>
                <w:szCs w:val="13"/>
                <w:lang w:val="fr-FR"/>
              </w:rPr>
            </w:pPr>
            <w:r w:rsidRPr="00381769">
              <w:rPr>
                <w:rFonts w:cs="Lucida Sans Unicode"/>
                <w:b/>
                <w:bCs/>
                <w:sz w:val="13"/>
                <w:szCs w:val="13"/>
                <w:lang w:val="fr-FR"/>
              </w:rPr>
              <w:t>Sheenagh Matthews</w:t>
            </w:r>
            <w:r w:rsidRPr="00F130A7">
              <w:rPr>
                <w:rFonts w:cs="Lucida Sans Unicode"/>
                <w:color w:val="991D85"/>
                <w:sz w:val="13"/>
                <w:szCs w:val="13"/>
                <w:lang w:val="fr-FR"/>
              </w:rPr>
              <w:br/>
            </w:r>
            <w:r w:rsidRPr="00F130A7">
              <w:rPr>
                <w:rFonts w:cs="Lucida Sans Unicode"/>
                <w:b/>
                <w:bCs/>
                <w:color w:val="000000"/>
                <w:sz w:val="13"/>
                <w:szCs w:val="13"/>
                <w:lang w:val="fr-FR"/>
              </w:rPr>
              <w:t>External Communication</w:t>
            </w:r>
            <w:r>
              <w:rPr>
                <w:rFonts w:cs="Lucida Sans Unicode"/>
                <w:b/>
                <w:bCs/>
                <w:color w:val="000000"/>
                <w:sz w:val="13"/>
                <w:szCs w:val="13"/>
                <w:lang w:val="fr-FR"/>
              </w:rPr>
              <w:t>s</w:t>
            </w:r>
            <w:r>
              <w:rPr>
                <w:rFonts w:cs="Lucida Sans Unicode"/>
                <w:color w:val="000000"/>
                <w:sz w:val="13"/>
                <w:szCs w:val="13"/>
                <w:lang w:val="fr-FR"/>
              </w:rPr>
              <w:br/>
              <w:t xml:space="preserve">Phone +49 201 </w:t>
            </w:r>
            <w:r w:rsidRPr="00F130A7">
              <w:rPr>
                <w:rFonts w:cs="Lucida Sans Unicode"/>
                <w:color w:val="000000"/>
                <w:sz w:val="13"/>
                <w:szCs w:val="13"/>
                <w:lang w:val="fr-FR"/>
              </w:rPr>
              <w:t>177</w:t>
            </w:r>
            <w:r w:rsidR="00723024">
              <w:rPr>
                <w:rFonts w:cs="Lucida Sans Unicode"/>
                <w:sz w:val="13"/>
                <w:szCs w:val="13"/>
                <w:lang w:val="fr-FR"/>
              </w:rPr>
              <w:t xml:space="preserve"> </w:t>
            </w:r>
            <w:r w:rsidRPr="00381769">
              <w:rPr>
                <w:rFonts w:cs="Lucida Sans Unicode"/>
                <w:sz w:val="13"/>
                <w:szCs w:val="13"/>
                <w:lang w:val="fr-FR"/>
              </w:rPr>
              <w:t>3167</w:t>
            </w:r>
            <w:r w:rsidRPr="00F130A7">
              <w:rPr>
                <w:rFonts w:cs="Lucida Sans Unicode"/>
                <w:color w:val="000000"/>
                <w:sz w:val="13"/>
                <w:szCs w:val="13"/>
                <w:lang w:val="fr-FR"/>
              </w:rPr>
              <w:br/>
            </w:r>
            <w:r w:rsidR="00723024">
              <w:rPr>
                <w:rStyle w:val="Hyperlink"/>
                <w:rFonts w:cs="Lucida Sans Unicode"/>
                <w:sz w:val="13"/>
                <w:szCs w:val="13"/>
                <w:lang w:val="fr-FR"/>
              </w:rPr>
              <w:t xml:space="preserve">Mobile +49 1520 938 </w:t>
            </w:r>
            <w:r>
              <w:rPr>
                <w:rStyle w:val="Hyperlink"/>
                <w:rFonts w:cs="Lucida Sans Unicode"/>
                <w:sz w:val="13"/>
                <w:szCs w:val="13"/>
                <w:lang w:val="fr-FR"/>
              </w:rPr>
              <w:t>7321</w:t>
            </w:r>
          </w:p>
          <w:p w:rsidR="00C26929" w:rsidRPr="00F130A7" w:rsidRDefault="00C26929" w:rsidP="00C26929">
            <w:pPr>
              <w:spacing w:line="180" w:lineRule="exact"/>
              <w:rPr>
                <w:rFonts w:cs="Lucida Sans Unicode"/>
                <w:color w:val="0D0D0D"/>
                <w:sz w:val="13"/>
                <w:szCs w:val="13"/>
                <w:lang w:val="fr-FR"/>
              </w:rPr>
            </w:pPr>
            <w:r>
              <w:rPr>
                <w:rStyle w:val="Hyperlink"/>
                <w:rFonts w:cs="Lucida Sans Unicode"/>
                <w:sz w:val="13"/>
                <w:szCs w:val="13"/>
                <w:lang w:val="fr-FR"/>
              </w:rPr>
              <w:t>sheenagh.matthews@evonik.com</w:t>
            </w:r>
          </w:p>
          <w:p w:rsidR="004F1918" w:rsidRDefault="004F1918" w:rsidP="00215AA7">
            <w:pPr>
              <w:pStyle w:val="M10"/>
              <w:framePr w:wrap="auto" w:vAnchor="margin" w:hAnchor="text" w:xAlign="left" w:yAlign="inline"/>
              <w:suppressOverlap w:val="0"/>
            </w:pPr>
            <w:r>
              <w:rPr>
                <w:lang w:val="sv-SE"/>
              </w:rPr>
              <w:t xml:space="preserve"> </w:t>
            </w: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F31F7C" w:rsidRDefault="004F1918" w:rsidP="00215AA7">
            <w:pPr>
              <w:pStyle w:val="M1"/>
              <w:framePr w:wrap="auto" w:vAnchor="margin" w:hAnchor="text" w:xAlign="left" w:yAlign="inline"/>
              <w:suppressOverlap w:val="0"/>
              <w:rPr>
                <w:lang w:val="en-US"/>
              </w:rPr>
            </w:pPr>
            <w:r w:rsidRPr="00486462">
              <w:rPr>
                <w:lang w:val="en-US"/>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A375B5" w:rsidP="00CA6F45">
      <w:pPr>
        <w:framePr w:w="2659" w:wrap="around" w:hAnchor="page" w:x="8971" w:yAlign="bottom" w:anchorLock="1"/>
        <w:spacing w:line="180" w:lineRule="exact"/>
        <w:rPr>
          <w:rFonts w:ascii="Trebuchet MS" w:hAnsi="Trebuchet MS"/>
          <w:color w:val="000000"/>
          <w:sz w:val="15"/>
          <w:szCs w:val="15"/>
          <w:lang w:val="en-US"/>
        </w:rPr>
      </w:pPr>
      <w:r w:rsidRPr="00A375B5">
        <w:rPr>
          <w:rFonts w:ascii="Trebuchet MS" w:hAnsi="Trebuchet MS"/>
          <w:b/>
          <w:color w:val="000000"/>
          <w:sz w:val="15"/>
          <w:szCs w:val="15"/>
          <w:lang w:val="en-US"/>
        </w:rPr>
        <w:t>Supervisory Board</w:t>
      </w:r>
      <w:r>
        <w:rPr>
          <w:rFonts w:ascii="Trebuchet MS" w:hAnsi="Trebuchet MS"/>
          <w:color w:val="000000"/>
          <w:sz w:val="15"/>
          <w:szCs w:val="15"/>
          <w:lang w:val="en-US"/>
        </w:rPr>
        <w:br/>
        <w:t xml:space="preserve">Bernd </w:t>
      </w:r>
      <w:proofErr w:type="spellStart"/>
      <w:r>
        <w:rPr>
          <w:rFonts w:ascii="Trebuchet MS" w:hAnsi="Trebuchet MS"/>
          <w:color w:val="000000"/>
          <w:sz w:val="15"/>
          <w:szCs w:val="15"/>
          <w:lang w:val="en-US"/>
        </w:rPr>
        <w:t>Tönjes</w:t>
      </w:r>
      <w:proofErr w:type="spellEnd"/>
      <w:r>
        <w:rPr>
          <w:rFonts w:ascii="Trebuchet MS" w:hAnsi="Trebuchet MS"/>
          <w:color w:val="000000"/>
          <w:sz w:val="15"/>
          <w:szCs w:val="15"/>
          <w:lang w:val="en-US"/>
        </w:rPr>
        <w:t>, Chairman</w:t>
      </w:r>
      <w:r>
        <w:rPr>
          <w:rFonts w:ascii="Trebuchet MS" w:hAnsi="Trebuchet MS"/>
          <w:color w:val="000000"/>
          <w:sz w:val="15"/>
          <w:szCs w:val="15"/>
          <w:lang w:val="en-US"/>
        </w:rPr>
        <w:br/>
        <w:t>Dr. Werner Müller, Honorary Chairman</w:t>
      </w:r>
      <w:r>
        <w:rPr>
          <w:rFonts w:ascii="Trebuchet MS" w:hAnsi="Trebuchet MS"/>
          <w:color w:val="000000"/>
          <w:sz w:val="15"/>
          <w:szCs w:val="15"/>
          <w:lang w:val="en-US"/>
        </w:rPr>
        <w:br/>
      </w:r>
      <w:r w:rsidRPr="00A375B5">
        <w:rPr>
          <w:rFonts w:ascii="Trebuchet MS" w:hAnsi="Trebuchet MS"/>
          <w:b/>
          <w:color w:val="000000"/>
          <w:sz w:val="15"/>
          <w:szCs w:val="15"/>
          <w:lang w:val="en-US"/>
        </w:rPr>
        <w:t>Executive Board</w:t>
      </w:r>
      <w:r>
        <w:rPr>
          <w:rFonts w:ascii="Trebuchet MS" w:hAnsi="Trebuchet MS"/>
          <w:color w:val="000000"/>
          <w:sz w:val="15"/>
          <w:szCs w:val="15"/>
          <w:lang w:val="en-US"/>
        </w:rPr>
        <w:br/>
        <w:t>Christian Kullmann, Chairman</w:t>
      </w:r>
      <w:r>
        <w:rPr>
          <w:rFonts w:ascii="Trebuchet MS" w:hAnsi="Trebuchet MS"/>
          <w:color w:val="000000"/>
          <w:sz w:val="15"/>
          <w:szCs w:val="15"/>
          <w:lang w:val="en-US"/>
        </w:rPr>
        <w:br/>
        <w:t>Dr. Harald Schwager, Deputy Chairman</w:t>
      </w:r>
      <w:r>
        <w:rPr>
          <w:rFonts w:ascii="Trebuchet MS" w:hAnsi="Trebuchet MS"/>
          <w:color w:val="000000"/>
          <w:sz w:val="15"/>
          <w:szCs w:val="15"/>
          <w:lang w:val="en-US"/>
        </w:rPr>
        <w:br/>
        <w:t>Thomas Wessel, Ute Wolf</w:t>
      </w:r>
    </w:p>
    <w:p w:rsidR="00A375B5" w:rsidRDefault="00A375B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820884" w:rsidRPr="00D26365" w:rsidRDefault="00820884" w:rsidP="00820884">
      <w:pPr>
        <w:pStyle w:val="Titel"/>
        <w:rPr>
          <w:rFonts w:ascii="Arial" w:hAnsi="Arial"/>
          <w:b w:val="0"/>
          <w:bCs w:val="0"/>
          <w:color w:val="454545"/>
          <w:sz w:val="22"/>
          <w:szCs w:val="22"/>
        </w:rPr>
      </w:pPr>
      <w:r>
        <w:rPr>
          <w:sz w:val="22"/>
          <w:szCs w:val="22"/>
          <w:u w:val="single"/>
        </w:rPr>
        <w:t xml:space="preserve">Embargoed until: </w:t>
      </w:r>
      <w:r w:rsidR="00C929C3">
        <w:rPr>
          <w:sz w:val="22"/>
          <w:szCs w:val="22"/>
          <w:u w:val="single"/>
        </w:rPr>
        <w:t>November 6</w:t>
      </w:r>
      <w:r>
        <w:rPr>
          <w:sz w:val="22"/>
          <w:szCs w:val="22"/>
          <w:u w:val="single"/>
        </w:rPr>
        <w:t>, 2018, 7 a.m. CET</w:t>
      </w:r>
    </w:p>
    <w:p w:rsidR="00820884" w:rsidRDefault="00820884" w:rsidP="00215AA7">
      <w:pPr>
        <w:pStyle w:val="Titel"/>
        <w:rPr>
          <w:color w:val="000000" w:themeColor="text1"/>
        </w:rPr>
      </w:pPr>
    </w:p>
    <w:p w:rsidR="00820884" w:rsidRPr="006F5476" w:rsidRDefault="006F5476" w:rsidP="00215AA7">
      <w:pPr>
        <w:pStyle w:val="Titel"/>
        <w:rPr>
          <w:b w:val="0"/>
          <w:color w:val="000000" w:themeColor="text1"/>
          <w:sz w:val="22"/>
          <w:szCs w:val="22"/>
          <w:u w:val="single"/>
        </w:rPr>
      </w:pPr>
      <w:r w:rsidRPr="006F5476">
        <w:rPr>
          <w:b w:val="0"/>
          <w:color w:val="000000" w:themeColor="text1"/>
          <w:sz w:val="22"/>
          <w:szCs w:val="22"/>
          <w:u w:val="single"/>
        </w:rPr>
        <w:t xml:space="preserve">Key Financial Data: </w:t>
      </w:r>
      <w:r w:rsidR="00C929C3">
        <w:rPr>
          <w:b w:val="0"/>
          <w:color w:val="000000" w:themeColor="text1"/>
          <w:sz w:val="22"/>
          <w:szCs w:val="22"/>
          <w:u w:val="single"/>
        </w:rPr>
        <w:t>Third</w:t>
      </w:r>
      <w:r w:rsidRPr="006F5476">
        <w:rPr>
          <w:b w:val="0"/>
          <w:color w:val="000000" w:themeColor="text1"/>
          <w:sz w:val="22"/>
          <w:szCs w:val="22"/>
          <w:u w:val="single"/>
        </w:rPr>
        <w:t xml:space="preserve"> quarter 2018</w:t>
      </w:r>
    </w:p>
    <w:p w:rsidR="006F5476" w:rsidRDefault="006F5476" w:rsidP="00215AA7">
      <w:pPr>
        <w:pStyle w:val="Titel"/>
        <w:rPr>
          <w:color w:val="000000" w:themeColor="text1"/>
        </w:rPr>
      </w:pPr>
    </w:p>
    <w:p w:rsidR="006F5476" w:rsidRDefault="006F5476" w:rsidP="00215AA7">
      <w:pPr>
        <w:pStyle w:val="Titel"/>
        <w:rPr>
          <w:color w:val="000000" w:themeColor="text1"/>
        </w:rPr>
      </w:pPr>
    </w:p>
    <w:p w:rsidR="00215AA7" w:rsidRDefault="002B79F1" w:rsidP="00215AA7">
      <w:pPr>
        <w:pStyle w:val="Titel"/>
        <w:rPr>
          <w:color w:val="000000" w:themeColor="text1"/>
        </w:rPr>
      </w:pPr>
      <w:r>
        <w:rPr>
          <w:color w:val="000000" w:themeColor="text1"/>
        </w:rPr>
        <w:t>G</w:t>
      </w:r>
      <w:r w:rsidR="00C23EE6">
        <w:rPr>
          <w:color w:val="000000" w:themeColor="text1"/>
        </w:rPr>
        <w:t>ood</w:t>
      </w:r>
      <w:r w:rsidR="006F5476">
        <w:rPr>
          <w:color w:val="000000" w:themeColor="text1"/>
        </w:rPr>
        <w:t xml:space="preserve"> results in</w:t>
      </w:r>
      <w:r w:rsidR="00215AA7">
        <w:rPr>
          <w:color w:val="000000" w:themeColor="text1"/>
        </w:rPr>
        <w:t xml:space="preserve"> </w:t>
      </w:r>
      <w:r w:rsidR="00C929C3">
        <w:rPr>
          <w:color w:val="000000" w:themeColor="text1"/>
        </w:rPr>
        <w:t>third</w:t>
      </w:r>
      <w:r w:rsidR="00215AA7">
        <w:rPr>
          <w:color w:val="000000" w:themeColor="text1"/>
        </w:rPr>
        <w:t xml:space="preserve"> quarter </w:t>
      </w:r>
    </w:p>
    <w:p w:rsidR="00EA1828" w:rsidRPr="001273C2" w:rsidRDefault="00EA1828" w:rsidP="00215AA7">
      <w:pPr>
        <w:pStyle w:val="Titel"/>
      </w:pPr>
    </w:p>
    <w:p w:rsidR="00215AA7" w:rsidRPr="006A50A9" w:rsidRDefault="00C929C3" w:rsidP="00215AA7">
      <w:pPr>
        <w:pStyle w:val="msolistparagraph0"/>
        <w:numPr>
          <w:ilvl w:val="0"/>
          <w:numId w:val="32"/>
        </w:numPr>
        <w:tabs>
          <w:tab w:val="num" w:pos="2204"/>
        </w:tabs>
        <w:spacing w:line="276" w:lineRule="auto"/>
        <w:ind w:left="284"/>
        <w:rPr>
          <w:sz w:val="24"/>
        </w:rPr>
      </w:pPr>
      <w:r>
        <w:rPr>
          <w:sz w:val="24"/>
        </w:rPr>
        <w:t xml:space="preserve">Sales up by </w:t>
      </w:r>
      <w:r w:rsidR="00C23EE6">
        <w:rPr>
          <w:sz w:val="24"/>
        </w:rPr>
        <w:t>7 percent to €3.8</w:t>
      </w:r>
      <w:r w:rsidR="00215AA7" w:rsidRPr="006A50A9">
        <w:rPr>
          <w:sz w:val="24"/>
        </w:rPr>
        <w:t xml:space="preserve"> billion</w:t>
      </w:r>
    </w:p>
    <w:p w:rsidR="00215AA7" w:rsidRDefault="00215AA7" w:rsidP="00215AA7">
      <w:pPr>
        <w:pStyle w:val="msolistparagraph0"/>
        <w:numPr>
          <w:ilvl w:val="0"/>
          <w:numId w:val="32"/>
        </w:numPr>
        <w:tabs>
          <w:tab w:val="num" w:pos="2204"/>
        </w:tabs>
        <w:spacing w:line="276" w:lineRule="auto"/>
        <w:ind w:left="284"/>
        <w:rPr>
          <w:sz w:val="24"/>
        </w:rPr>
      </w:pPr>
      <w:r w:rsidRPr="006A50A9">
        <w:rPr>
          <w:sz w:val="24"/>
        </w:rPr>
        <w:t xml:space="preserve">Adjusted EBITDA </w:t>
      </w:r>
      <w:r>
        <w:rPr>
          <w:sz w:val="24"/>
        </w:rPr>
        <w:t xml:space="preserve">rises </w:t>
      </w:r>
      <w:r w:rsidR="00C23EE6">
        <w:rPr>
          <w:sz w:val="24"/>
        </w:rPr>
        <w:t>8 percent to €692</w:t>
      </w:r>
      <w:r w:rsidRPr="006A50A9">
        <w:rPr>
          <w:sz w:val="24"/>
        </w:rPr>
        <w:t xml:space="preserve"> million</w:t>
      </w:r>
    </w:p>
    <w:p w:rsidR="00C929C3" w:rsidRPr="006A50A9" w:rsidRDefault="00C929C3" w:rsidP="00215AA7">
      <w:pPr>
        <w:pStyle w:val="msolistparagraph0"/>
        <w:numPr>
          <w:ilvl w:val="0"/>
          <w:numId w:val="32"/>
        </w:numPr>
        <w:tabs>
          <w:tab w:val="num" w:pos="2204"/>
        </w:tabs>
        <w:spacing w:line="276" w:lineRule="auto"/>
        <w:ind w:left="284"/>
        <w:rPr>
          <w:sz w:val="24"/>
        </w:rPr>
      </w:pPr>
      <w:r>
        <w:rPr>
          <w:sz w:val="24"/>
        </w:rPr>
        <w:t xml:space="preserve">Full-year outlook </w:t>
      </w:r>
      <w:r w:rsidR="002B79F1">
        <w:rPr>
          <w:sz w:val="24"/>
        </w:rPr>
        <w:t xml:space="preserve">for 2018 </w:t>
      </w:r>
      <w:r>
        <w:rPr>
          <w:sz w:val="24"/>
        </w:rPr>
        <w:t>confirmed</w:t>
      </w:r>
    </w:p>
    <w:p w:rsidR="00DC0F4C" w:rsidRDefault="00DC0F4C" w:rsidP="00681567">
      <w:pPr>
        <w:rPr>
          <w:b/>
        </w:rPr>
      </w:pPr>
    </w:p>
    <w:p w:rsidR="00215AA7" w:rsidRPr="00A22ECC" w:rsidRDefault="00215AA7" w:rsidP="00681567">
      <w:pPr>
        <w:rPr>
          <w:color w:val="000000" w:themeColor="text1"/>
          <w:szCs w:val="22"/>
        </w:rPr>
      </w:pPr>
      <w:r w:rsidRPr="00BE7717">
        <w:rPr>
          <w:b/>
        </w:rPr>
        <w:t>Essen</w:t>
      </w:r>
      <w:r w:rsidR="00C26929">
        <w:rPr>
          <w:b/>
        </w:rPr>
        <w:t>, Germany</w:t>
      </w:r>
      <w:r w:rsidRPr="00BE7717">
        <w:rPr>
          <w:b/>
        </w:rPr>
        <w:t>.</w:t>
      </w:r>
      <w:r>
        <w:t xml:space="preserve"> </w:t>
      </w:r>
      <w:r w:rsidRPr="0021788E">
        <w:rPr>
          <w:color w:val="000000" w:themeColor="text1"/>
          <w:szCs w:val="22"/>
        </w:rPr>
        <w:t xml:space="preserve">Evonik </w:t>
      </w:r>
      <w:r w:rsidR="00C929C3">
        <w:rPr>
          <w:color w:val="000000" w:themeColor="text1"/>
          <w:szCs w:val="22"/>
        </w:rPr>
        <w:t>i</w:t>
      </w:r>
      <w:r w:rsidR="00C23EE6">
        <w:rPr>
          <w:color w:val="000000" w:themeColor="text1"/>
          <w:szCs w:val="22"/>
        </w:rPr>
        <w:t>ncreased adjusted EBITDA to €692</w:t>
      </w:r>
      <w:r w:rsidRPr="0021788E">
        <w:rPr>
          <w:color w:val="000000" w:themeColor="text1"/>
          <w:szCs w:val="22"/>
        </w:rPr>
        <w:t xml:space="preserve"> million in the </w:t>
      </w:r>
      <w:r w:rsidR="00C929C3">
        <w:rPr>
          <w:color w:val="000000" w:themeColor="text1"/>
          <w:szCs w:val="22"/>
        </w:rPr>
        <w:t>third</w:t>
      </w:r>
      <w:r w:rsidRPr="0021788E">
        <w:rPr>
          <w:color w:val="000000" w:themeColor="text1"/>
          <w:szCs w:val="22"/>
        </w:rPr>
        <w:t xml:space="preserve"> quarter of 2018 (</w:t>
      </w:r>
      <w:r>
        <w:rPr>
          <w:color w:val="000000" w:themeColor="text1"/>
          <w:szCs w:val="22"/>
        </w:rPr>
        <w:t xml:space="preserve">prior-year: </w:t>
      </w:r>
      <w:r w:rsidR="00C23EE6">
        <w:rPr>
          <w:color w:val="000000" w:themeColor="text1"/>
          <w:szCs w:val="22"/>
        </w:rPr>
        <w:t>€640</w:t>
      </w:r>
      <w:r w:rsidRPr="0021788E">
        <w:rPr>
          <w:color w:val="000000" w:themeColor="text1"/>
          <w:szCs w:val="22"/>
        </w:rPr>
        <w:t xml:space="preserve"> million).</w:t>
      </w:r>
      <w:r w:rsidR="006B4203">
        <w:rPr>
          <w:color w:val="000000" w:themeColor="text1"/>
          <w:szCs w:val="22"/>
        </w:rPr>
        <w:t xml:space="preserve"> </w:t>
      </w:r>
      <w:r w:rsidR="00C23EE6">
        <w:rPr>
          <w:color w:val="000000" w:themeColor="text1"/>
          <w:szCs w:val="22"/>
        </w:rPr>
        <w:t xml:space="preserve">The two growth segments – Nutrition &amp; Care and Resource Efficiency – contributed </w:t>
      </w:r>
      <w:r w:rsidR="006C7005">
        <w:rPr>
          <w:color w:val="000000" w:themeColor="text1"/>
          <w:szCs w:val="22"/>
        </w:rPr>
        <w:t>considerable earnings growth, helping to increase profitability.</w:t>
      </w:r>
      <w:r w:rsidR="00A22ECC">
        <w:rPr>
          <w:color w:val="000000" w:themeColor="text1"/>
          <w:szCs w:val="22"/>
          <w:lang w:val="en-US"/>
        </w:rPr>
        <w:t xml:space="preserve"> </w:t>
      </w:r>
      <w:r w:rsidR="00A22ECC" w:rsidRPr="006A50A9">
        <w:rPr>
          <w:color w:val="000000" w:themeColor="text1"/>
          <w:szCs w:val="22"/>
          <w:lang w:val="en-US"/>
        </w:rPr>
        <w:t xml:space="preserve">The adjusted EBITDA margin </w:t>
      </w:r>
      <w:r w:rsidR="00A22ECC">
        <w:rPr>
          <w:color w:val="000000" w:themeColor="text1"/>
          <w:szCs w:val="22"/>
          <w:lang w:val="en-US"/>
        </w:rPr>
        <w:t>improved to 18.2 percent compared with 18</w:t>
      </w:r>
      <w:r w:rsidR="002B79F1">
        <w:rPr>
          <w:color w:val="000000" w:themeColor="text1"/>
          <w:szCs w:val="22"/>
          <w:lang w:val="en-US"/>
        </w:rPr>
        <w:t>.0</w:t>
      </w:r>
      <w:r w:rsidR="00A22ECC">
        <w:rPr>
          <w:color w:val="000000" w:themeColor="text1"/>
          <w:szCs w:val="22"/>
          <w:lang w:val="en-US"/>
        </w:rPr>
        <w:t xml:space="preserve"> percent </w:t>
      </w:r>
      <w:r w:rsidR="00A22ECC" w:rsidRPr="006A50A9">
        <w:rPr>
          <w:color w:val="000000" w:themeColor="text1"/>
          <w:szCs w:val="22"/>
          <w:lang w:val="en-US"/>
        </w:rPr>
        <w:t>in the sam</w:t>
      </w:r>
      <w:r w:rsidR="00A22ECC">
        <w:rPr>
          <w:color w:val="000000" w:themeColor="text1"/>
          <w:szCs w:val="22"/>
          <w:lang w:val="en-US"/>
        </w:rPr>
        <w:t xml:space="preserve">e </w:t>
      </w:r>
      <w:r w:rsidR="00C26929">
        <w:rPr>
          <w:color w:val="000000" w:themeColor="text1"/>
          <w:szCs w:val="22"/>
          <w:lang w:val="en-US"/>
        </w:rPr>
        <w:t>quarter</w:t>
      </w:r>
      <w:r w:rsidR="00A22ECC">
        <w:rPr>
          <w:color w:val="000000" w:themeColor="text1"/>
          <w:szCs w:val="22"/>
          <w:lang w:val="en-US"/>
        </w:rPr>
        <w:t xml:space="preserve"> of the previous year.</w:t>
      </w:r>
      <w:r w:rsidR="00A22ECC">
        <w:rPr>
          <w:color w:val="000000" w:themeColor="text1"/>
          <w:szCs w:val="22"/>
          <w:lang w:val="en-US"/>
        </w:rPr>
        <w:br/>
      </w:r>
    </w:p>
    <w:p w:rsidR="007C437C" w:rsidRDefault="00C929C3" w:rsidP="00EA1828">
      <w:pPr>
        <w:pStyle w:val="Default"/>
        <w:spacing w:line="300" w:lineRule="exact"/>
        <w:rPr>
          <w:color w:val="000000" w:themeColor="text1"/>
          <w:sz w:val="22"/>
          <w:szCs w:val="22"/>
          <w:lang w:val="en-US"/>
        </w:rPr>
      </w:pPr>
      <w:r>
        <w:rPr>
          <w:sz w:val="22"/>
          <w:szCs w:val="22"/>
          <w:lang w:val="en-US"/>
        </w:rPr>
        <w:t>Sales increased to €</w:t>
      </w:r>
      <w:r w:rsidR="006C7005">
        <w:rPr>
          <w:sz w:val="22"/>
          <w:szCs w:val="22"/>
          <w:lang w:val="en-US"/>
        </w:rPr>
        <w:t>3.8</w:t>
      </w:r>
      <w:r w:rsidR="00215AA7" w:rsidRPr="006A50A9">
        <w:rPr>
          <w:sz w:val="22"/>
          <w:szCs w:val="22"/>
          <w:lang w:val="en-US"/>
        </w:rPr>
        <w:t xml:space="preserve"> billion in the </w:t>
      </w:r>
      <w:r w:rsidR="006C7005">
        <w:rPr>
          <w:sz w:val="22"/>
          <w:szCs w:val="22"/>
          <w:lang w:val="en-US"/>
        </w:rPr>
        <w:t>third quarter (prior-year: €3.6</w:t>
      </w:r>
      <w:r w:rsidR="00215AA7" w:rsidRPr="006A50A9">
        <w:rPr>
          <w:sz w:val="22"/>
          <w:szCs w:val="22"/>
          <w:lang w:val="en-US"/>
        </w:rPr>
        <w:t xml:space="preserve"> billion), largely due to higher selling prices. </w:t>
      </w:r>
      <w:r w:rsidR="00215AA7">
        <w:rPr>
          <w:sz w:val="22"/>
          <w:szCs w:val="22"/>
          <w:lang w:val="en-US"/>
        </w:rPr>
        <w:t>A</w:t>
      </w:r>
      <w:r w:rsidR="00215AA7" w:rsidRPr="006A50A9">
        <w:rPr>
          <w:color w:val="000000" w:themeColor="text1"/>
          <w:sz w:val="22"/>
          <w:szCs w:val="22"/>
          <w:lang w:val="en-US"/>
        </w:rPr>
        <w:t xml:space="preserve">djusted </w:t>
      </w:r>
      <w:r w:rsidR="00215AA7">
        <w:rPr>
          <w:color w:val="000000" w:themeColor="text1"/>
          <w:sz w:val="22"/>
          <w:szCs w:val="22"/>
          <w:lang w:val="en-US"/>
        </w:rPr>
        <w:t xml:space="preserve">net income </w:t>
      </w:r>
      <w:r w:rsidR="00C26929">
        <w:rPr>
          <w:color w:val="000000" w:themeColor="text1"/>
          <w:sz w:val="22"/>
          <w:szCs w:val="22"/>
          <w:lang w:val="en-US"/>
        </w:rPr>
        <w:t>rose 35 percent to</w:t>
      </w:r>
      <w:r w:rsidR="00215AA7">
        <w:rPr>
          <w:color w:val="000000" w:themeColor="text1"/>
          <w:sz w:val="22"/>
          <w:szCs w:val="22"/>
          <w:lang w:val="en-US"/>
        </w:rPr>
        <w:t xml:space="preserve"> </w:t>
      </w:r>
      <w:r>
        <w:rPr>
          <w:color w:val="000000" w:themeColor="text1"/>
          <w:sz w:val="22"/>
          <w:szCs w:val="22"/>
          <w:lang w:val="en-US"/>
        </w:rPr>
        <w:t>€</w:t>
      </w:r>
      <w:r w:rsidR="006C7005">
        <w:rPr>
          <w:color w:val="000000" w:themeColor="text1"/>
          <w:sz w:val="22"/>
          <w:szCs w:val="22"/>
          <w:lang w:val="en-US"/>
        </w:rPr>
        <w:t>370</w:t>
      </w:r>
      <w:r w:rsidR="00215AA7" w:rsidRPr="006A50A9">
        <w:rPr>
          <w:color w:val="000000" w:themeColor="text1"/>
          <w:sz w:val="22"/>
          <w:szCs w:val="22"/>
          <w:lang w:val="en-US"/>
        </w:rPr>
        <w:t xml:space="preserve"> million, which corresponds to </w:t>
      </w:r>
      <w:r w:rsidR="00215AA7">
        <w:rPr>
          <w:color w:val="000000" w:themeColor="text1"/>
          <w:sz w:val="22"/>
          <w:szCs w:val="22"/>
          <w:lang w:val="en-US"/>
        </w:rPr>
        <w:t xml:space="preserve">adjusted </w:t>
      </w:r>
      <w:r w:rsidR="006C7005">
        <w:rPr>
          <w:color w:val="000000" w:themeColor="text1"/>
          <w:sz w:val="22"/>
          <w:szCs w:val="22"/>
          <w:lang w:val="en-US"/>
        </w:rPr>
        <w:t>earnings per share of €0.79</w:t>
      </w:r>
      <w:r w:rsidR="00215AA7" w:rsidRPr="006A50A9">
        <w:rPr>
          <w:color w:val="000000" w:themeColor="text1"/>
          <w:sz w:val="22"/>
          <w:szCs w:val="22"/>
          <w:lang w:val="en-US"/>
        </w:rPr>
        <w:t xml:space="preserve">. </w:t>
      </w:r>
    </w:p>
    <w:p w:rsidR="00A22ECC" w:rsidRPr="006C7005" w:rsidRDefault="00A22ECC" w:rsidP="00EA1828">
      <w:pPr>
        <w:pStyle w:val="Default"/>
        <w:spacing w:line="300" w:lineRule="exact"/>
        <w:rPr>
          <w:lang w:val="en-US"/>
        </w:rPr>
      </w:pPr>
    </w:p>
    <w:p w:rsidR="00215AA7" w:rsidRDefault="00215AA7" w:rsidP="00EA1828">
      <w:pPr>
        <w:pStyle w:val="Default"/>
        <w:spacing w:line="300" w:lineRule="exact"/>
        <w:rPr>
          <w:color w:val="000000" w:themeColor="text1"/>
          <w:sz w:val="22"/>
          <w:lang w:val="en-US"/>
        </w:rPr>
      </w:pPr>
      <w:r w:rsidRPr="006A50A9">
        <w:rPr>
          <w:color w:val="000000" w:themeColor="text1"/>
          <w:sz w:val="22"/>
          <w:lang w:val="en-US"/>
        </w:rPr>
        <w:t>“</w:t>
      </w:r>
      <w:r w:rsidR="00461BF2">
        <w:rPr>
          <w:color w:val="000000" w:themeColor="text1"/>
          <w:sz w:val="22"/>
          <w:lang w:val="en-US"/>
        </w:rPr>
        <w:t>We are consistent</w:t>
      </w:r>
      <w:r w:rsidR="00765EC7">
        <w:rPr>
          <w:color w:val="000000" w:themeColor="text1"/>
          <w:sz w:val="22"/>
          <w:lang w:val="en-US"/>
        </w:rPr>
        <w:t>ly</w:t>
      </w:r>
      <w:r w:rsidR="00461BF2">
        <w:rPr>
          <w:color w:val="000000" w:themeColor="text1"/>
          <w:sz w:val="22"/>
          <w:lang w:val="en-US"/>
        </w:rPr>
        <w:t xml:space="preserve"> implementing our strategy</w:t>
      </w:r>
      <w:r w:rsidR="005562CD">
        <w:rPr>
          <w:color w:val="000000" w:themeColor="text1"/>
          <w:sz w:val="22"/>
          <w:lang w:val="en-US"/>
        </w:rPr>
        <w:t>,</w:t>
      </w:r>
      <w:r w:rsidRPr="006A50A9">
        <w:rPr>
          <w:color w:val="000000" w:themeColor="text1"/>
          <w:sz w:val="22"/>
          <w:lang w:val="en-US"/>
        </w:rPr>
        <w:t xml:space="preserve">” says Christian Kullmann, Chairman of the Executive Board. </w:t>
      </w:r>
      <w:r w:rsidR="007C2F92">
        <w:rPr>
          <w:color w:val="000000" w:themeColor="text1"/>
          <w:sz w:val="22"/>
          <w:lang w:val="en-US"/>
        </w:rPr>
        <w:t xml:space="preserve">“We will continue to actively </w:t>
      </w:r>
      <w:r w:rsidR="002B79F1">
        <w:rPr>
          <w:color w:val="000000" w:themeColor="text1"/>
          <w:sz w:val="22"/>
          <w:lang w:val="en-US"/>
        </w:rPr>
        <w:t>shape</w:t>
      </w:r>
      <w:r w:rsidR="007C2F92">
        <w:rPr>
          <w:color w:val="000000" w:themeColor="text1"/>
          <w:sz w:val="22"/>
          <w:lang w:val="en-US"/>
        </w:rPr>
        <w:t xml:space="preserve"> our portfolio, </w:t>
      </w:r>
      <w:r w:rsidR="00815509">
        <w:rPr>
          <w:color w:val="000000" w:themeColor="text1"/>
          <w:sz w:val="22"/>
          <w:lang w:val="en-US"/>
        </w:rPr>
        <w:t>bring innovations to the market</w:t>
      </w:r>
      <w:r w:rsidR="007C2F92">
        <w:rPr>
          <w:color w:val="000000" w:themeColor="text1"/>
          <w:sz w:val="22"/>
          <w:lang w:val="en-US"/>
        </w:rPr>
        <w:t xml:space="preserve"> and drive cultural change.”</w:t>
      </w:r>
    </w:p>
    <w:p w:rsidR="00C929C3" w:rsidRPr="006A50A9" w:rsidRDefault="00C929C3" w:rsidP="00681567">
      <w:pPr>
        <w:pStyle w:val="Default"/>
        <w:spacing w:line="300" w:lineRule="exact"/>
        <w:rPr>
          <w:color w:val="000000" w:themeColor="text1"/>
          <w:sz w:val="22"/>
          <w:szCs w:val="22"/>
          <w:lang w:val="en-US"/>
        </w:rPr>
      </w:pPr>
    </w:p>
    <w:p w:rsidR="00215AA7" w:rsidRPr="00D6721E" w:rsidRDefault="00215AA7" w:rsidP="00681567">
      <w:pPr>
        <w:rPr>
          <w:b/>
          <w:color w:val="000000" w:themeColor="text1"/>
          <w:szCs w:val="22"/>
        </w:rPr>
      </w:pPr>
      <w:r>
        <w:rPr>
          <w:b/>
          <w:color w:val="000000" w:themeColor="text1"/>
          <w:szCs w:val="22"/>
        </w:rPr>
        <w:t xml:space="preserve">Outlook </w:t>
      </w:r>
      <w:r w:rsidR="00C929C3">
        <w:rPr>
          <w:b/>
          <w:color w:val="000000" w:themeColor="text1"/>
          <w:szCs w:val="22"/>
        </w:rPr>
        <w:t>confirmed</w:t>
      </w:r>
    </w:p>
    <w:p w:rsidR="00215AA7" w:rsidRPr="009242B7" w:rsidRDefault="00215AA7" w:rsidP="00681567">
      <w:pPr>
        <w:rPr>
          <w:color w:val="000000" w:themeColor="text1"/>
          <w:szCs w:val="22"/>
        </w:rPr>
      </w:pPr>
    </w:p>
    <w:p w:rsidR="006B4203" w:rsidRDefault="00215AA7" w:rsidP="00681567">
      <w:pPr>
        <w:rPr>
          <w:color w:val="000000" w:themeColor="text1"/>
          <w:szCs w:val="22"/>
        </w:rPr>
      </w:pPr>
      <w:r>
        <w:rPr>
          <w:color w:val="000000" w:themeColor="text1"/>
          <w:szCs w:val="22"/>
        </w:rPr>
        <w:t xml:space="preserve">Evonik </w:t>
      </w:r>
      <w:r w:rsidR="00C929C3">
        <w:rPr>
          <w:color w:val="000000" w:themeColor="text1"/>
          <w:szCs w:val="22"/>
        </w:rPr>
        <w:t>confirms</w:t>
      </w:r>
      <w:r>
        <w:rPr>
          <w:color w:val="000000" w:themeColor="text1"/>
          <w:szCs w:val="22"/>
        </w:rPr>
        <w:t xml:space="preserve"> its outlook</w:t>
      </w:r>
      <w:r w:rsidR="00461BF2">
        <w:rPr>
          <w:color w:val="000000" w:themeColor="text1"/>
          <w:szCs w:val="22"/>
        </w:rPr>
        <w:t>,</w:t>
      </w:r>
      <w:r>
        <w:rPr>
          <w:color w:val="000000" w:themeColor="text1"/>
          <w:szCs w:val="22"/>
        </w:rPr>
        <w:t xml:space="preserve"> </w:t>
      </w:r>
      <w:r w:rsidR="00461BF2">
        <w:rPr>
          <w:color w:val="000000" w:themeColor="text1"/>
          <w:szCs w:val="22"/>
        </w:rPr>
        <w:t xml:space="preserve">which it </w:t>
      </w:r>
      <w:r w:rsidR="00765EC7">
        <w:rPr>
          <w:color w:val="000000" w:themeColor="text1"/>
          <w:szCs w:val="22"/>
        </w:rPr>
        <w:t xml:space="preserve">had </w:t>
      </w:r>
      <w:r w:rsidR="00461BF2">
        <w:rPr>
          <w:color w:val="000000" w:themeColor="text1"/>
          <w:szCs w:val="22"/>
        </w:rPr>
        <w:t xml:space="preserve">raised after the first half of the year, </w:t>
      </w:r>
      <w:r>
        <w:rPr>
          <w:color w:val="000000" w:themeColor="text1"/>
          <w:szCs w:val="22"/>
        </w:rPr>
        <w:t>for the fiscal year 2018</w:t>
      </w:r>
      <w:r w:rsidR="00461BF2">
        <w:rPr>
          <w:color w:val="000000" w:themeColor="text1"/>
          <w:szCs w:val="22"/>
        </w:rPr>
        <w:t xml:space="preserve"> </w:t>
      </w:r>
      <w:r>
        <w:rPr>
          <w:color w:val="000000" w:themeColor="text1"/>
          <w:szCs w:val="22"/>
        </w:rPr>
        <w:t xml:space="preserve">and is </w:t>
      </w:r>
      <w:r w:rsidR="00C929C3">
        <w:rPr>
          <w:color w:val="000000" w:themeColor="text1"/>
          <w:szCs w:val="22"/>
        </w:rPr>
        <w:t xml:space="preserve">still </w:t>
      </w:r>
      <w:r>
        <w:rPr>
          <w:color w:val="000000" w:themeColor="text1"/>
          <w:szCs w:val="22"/>
        </w:rPr>
        <w:t>expecting an adjusted EBITDA between €2.60 and €2.65 billion</w:t>
      </w:r>
      <w:r w:rsidR="006C7005">
        <w:rPr>
          <w:color w:val="000000" w:themeColor="text1"/>
          <w:szCs w:val="22"/>
        </w:rPr>
        <w:t xml:space="preserve"> and sales to increase slightly</w:t>
      </w:r>
      <w:r w:rsidR="0008667F">
        <w:rPr>
          <w:color w:val="000000" w:themeColor="text1"/>
          <w:szCs w:val="22"/>
        </w:rPr>
        <w:t xml:space="preserve"> (previous year: €14.4 billion)</w:t>
      </w:r>
      <w:r w:rsidR="006C7005">
        <w:rPr>
          <w:color w:val="000000" w:themeColor="text1"/>
          <w:szCs w:val="22"/>
        </w:rPr>
        <w:t>.</w:t>
      </w:r>
      <w:r w:rsidR="00C929C3">
        <w:rPr>
          <w:color w:val="000000" w:themeColor="text1"/>
          <w:szCs w:val="22"/>
        </w:rPr>
        <w:t xml:space="preserve"> </w:t>
      </w:r>
      <w:r>
        <w:rPr>
          <w:color w:val="000000" w:themeColor="text1"/>
          <w:szCs w:val="22"/>
        </w:rPr>
        <w:t xml:space="preserve">Evonik </w:t>
      </w:r>
      <w:r w:rsidR="006B4203">
        <w:rPr>
          <w:color w:val="000000" w:themeColor="text1"/>
          <w:szCs w:val="22"/>
        </w:rPr>
        <w:t>is sticking</w:t>
      </w:r>
    </w:p>
    <w:p w:rsidR="00215AA7" w:rsidRDefault="00C929C3" w:rsidP="00681567">
      <w:pPr>
        <w:rPr>
          <w:color w:val="000000" w:themeColor="text1"/>
          <w:szCs w:val="22"/>
        </w:rPr>
      </w:pPr>
      <w:proofErr w:type="gramStart"/>
      <w:r>
        <w:rPr>
          <w:color w:val="000000" w:themeColor="text1"/>
          <w:szCs w:val="22"/>
        </w:rPr>
        <w:t>to</w:t>
      </w:r>
      <w:proofErr w:type="gramEnd"/>
      <w:r>
        <w:rPr>
          <w:color w:val="000000" w:themeColor="text1"/>
          <w:szCs w:val="22"/>
        </w:rPr>
        <w:t xml:space="preserve"> its outlook for</w:t>
      </w:r>
      <w:r w:rsidR="00215AA7">
        <w:rPr>
          <w:color w:val="000000" w:themeColor="text1"/>
          <w:szCs w:val="22"/>
        </w:rPr>
        <w:t xml:space="preserve"> a </w:t>
      </w:r>
      <w:r w:rsidR="00547FCB">
        <w:rPr>
          <w:color w:val="000000" w:themeColor="text1"/>
          <w:szCs w:val="22"/>
        </w:rPr>
        <w:t>noticeably</w:t>
      </w:r>
      <w:r w:rsidR="00215AA7">
        <w:rPr>
          <w:color w:val="000000" w:themeColor="text1"/>
          <w:szCs w:val="22"/>
        </w:rPr>
        <w:t xml:space="preserve"> higher free </w:t>
      </w:r>
      <w:r>
        <w:rPr>
          <w:color w:val="000000" w:themeColor="text1"/>
          <w:szCs w:val="22"/>
        </w:rPr>
        <w:t>cash flow for 2018</w:t>
      </w:r>
      <w:r w:rsidR="00215AA7" w:rsidRPr="00E33512">
        <w:rPr>
          <w:color w:val="000000" w:themeColor="text1"/>
          <w:szCs w:val="22"/>
        </w:rPr>
        <w:t xml:space="preserve"> compared to </w:t>
      </w:r>
      <w:r w:rsidR="00461BF2">
        <w:rPr>
          <w:color w:val="000000" w:themeColor="text1"/>
          <w:szCs w:val="22"/>
        </w:rPr>
        <w:t xml:space="preserve">the </w:t>
      </w:r>
      <w:r w:rsidR="00215AA7">
        <w:rPr>
          <w:color w:val="000000" w:themeColor="text1"/>
          <w:szCs w:val="22"/>
        </w:rPr>
        <w:t>prior year</w:t>
      </w:r>
      <w:r w:rsidR="00547FCB">
        <w:rPr>
          <w:color w:val="000000" w:themeColor="text1"/>
          <w:szCs w:val="22"/>
        </w:rPr>
        <w:t xml:space="preserve"> (€511 million)</w:t>
      </w:r>
      <w:r w:rsidR="00215AA7" w:rsidRPr="00E33512">
        <w:rPr>
          <w:color w:val="000000" w:themeColor="text1"/>
          <w:szCs w:val="22"/>
        </w:rPr>
        <w:t xml:space="preserve">. </w:t>
      </w:r>
    </w:p>
    <w:p w:rsidR="00C929C3" w:rsidRDefault="00C929C3" w:rsidP="00681567">
      <w:pPr>
        <w:rPr>
          <w:color w:val="000000" w:themeColor="text1"/>
          <w:szCs w:val="22"/>
        </w:rPr>
      </w:pPr>
    </w:p>
    <w:p w:rsidR="00A22ECC" w:rsidRDefault="00A22ECC" w:rsidP="00681567">
      <w:pPr>
        <w:rPr>
          <w:color w:val="000000" w:themeColor="text1"/>
          <w:szCs w:val="22"/>
        </w:rPr>
      </w:pPr>
    </w:p>
    <w:p w:rsidR="00815509" w:rsidRDefault="00815509" w:rsidP="00681567">
      <w:pPr>
        <w:rPr>
          <w:b/>
          <w:color w:val="000000" w:themeColor="text1"/>
          <w:szCs w:val="22"/>
        </w:rPr>
      </w:pPr>
      <w:r>
        <w:rPr>
          <w:color w:val="000000" w:themeColor="text1"/>
          <w:szCs w:val="22"/>
        </w:rPr>
        <w:lastRenderedPageBreak/>
        <w:t>Robust demand</w:t>
      </w:r>
      <w:r w:rsidR="002B79F1">
        <w:rPr>
          <w:color w:val="000000" w:themeColor="text1"/>
          <w:szCs w:val="22"/>
        </w:rPr>
        <w:t xml:space="preserve"> in </w:t>
      </w:r>
      <w:r w:rsidR="00461BF2">
        <w:rPr>
          <w:color w:val="000000" w:themeColor="text1"/>
          <w:szCs w:val="22"/>
        </w:rPr>
        <w:t>the majority</w:t>
      </w:r>
      <w:r w:rsidR="00E252ED">
        <w:rPr>
          <w:color w:val="000000" w:themeColor="text1"/>
          <w:szCs w:val="22"/>
        </w:rPr>
        <w:t xml:space="preserve"> of </w:t>
      </w:r>
      <w:r w:rsidR="002B79F1">
        <w:rPr>
          <w:color w:val="000000" w:themeColor="text1"/>
          <w:szCs w:val="22"/>
        </w:rPr>
        <w:t>the relevant</w:t>
      </w:r>
      <w:r>
        <w:rPr>
          <w:color w:val="000000" w:themeColor="text1"/>
          <w:szCs w:val="22"/>
        </w:rPr>
        <w:t xml:space="preserve"> </w:t>
      </w:r>
      <w:r w:rsidR="002B79F1">
        <w:rPr>
          <w:color w:val="000000" w:themeColor="text1"/>
          <w:szCs w:val="22"/>
        </w:rPr>
        <w:t xml:space="preserve">end-markets </w:t>
      </w:r>
      <w:r>
        <w:rPr>
          <w:color w:val="000000" w:themeColor="text1"/>
          <w:szCs w:val="22"/>
        </w:rPr>
        <w:t>is expected to continue into the fourth quarter, especially f</w:t>
      </w:r>
      <w:r w:rsidR="0008667F">
        <w:rPr>
          <w:color w:val="000000" w:themeColor="text1"/>
          <w:szCs w:val="22"/>
        </w:rPr>
        <w:t>or</w:t>
      </w:r>
      <w:r>
        <w:rPr>
          <w:color w:val="000000" w:themeColor="text1"/>
          <w:szCs w:val="22"/>
        </w:rPr>
        <w:t xml:space="preserve"> the growth segments Nutrition &amp; Care and Resource Efficiency.</w:t>
      </w:r>
    </w:p>
    <w:p w:rsidR="00A22ECC" w:rsidRDefault="00A22ECC" w:rsidP="00681567">
      <w:pPr>
        <w:rPr>
          <w:b/>
          <w:color w:val="000000" w:themeColor="text1"/>
          <w:szCs w:val="22"/>
        </w:rPr>
      </w:pPr>
    </w:p>
    <w:p w:rsidR="00A22ECC" w:rsidRDefault="00A22ECC" w:rsidP="00681567">
      <w:pPr>
        <w:rPr>
          <w:b/>
          <w:color w:val="000000" w:themeColor="text1"/>
          <w:szCs w:val="22"/>
        </w:rPr>
      </w:pPr>
    </w:p>
    <w:p w:rsidR="00215AA7" w:rsidRPr="00C929C3" w:rsidRDefault="00215AA7" w:rsidP="00681567">
      <w:pPr>
        <w:rPr>
          <w:b/>
          <w:color w:val="000000" w:themeColor="text1"/>
          <w:szCs w:val="22"/>
          <w:highlight w:val="yellow"/>
        </w:rPr>
      </w:pPr>
      <w:r w:rsidRPr="00616D3A">
        <w:rPr>
          <w:b/>
          <w:color w:val="000000" w:themeColor="text1"/>
          <w:szCs w:val="22"/>
        </w:rPr>
        <w:t>Development in the segments</w:t>
      </w:r>
    </w:p>
    <w:p w:rsidR="00215AA7" w:rsidRPr="00C929C3" w:rsidRDefault="00215AA7" w:rsidP="00681567">
      <w:pPr>
        <w:rPr>
          <w:color w:val="000000" w:themeColor="text1"/>
          <w:szCs w:val="22"/>
          <w:highlight w:val="yellow"/>
        </w:rPr>
      </w:pPr>
    </w:p>
    <w:p w:rsidR="006B4203" w:rsidRDefault="00215AA7" w:rsidP="00681567">
      <w:pPr>
        <w:rPr>
          <w:color w:val="000000" w:themeColor="text1"/>
          <w:szCs w:val="22"/>
        </w:rPr>
      </w:pPr>
      <w:r w:rsidRPr="00616D3A">
        <w:rPr>
          <w:b/>
          <w:bCs/>
          <w:color w:val="000000" w:themeColor="text1"/>
          <w:szCs w:val="22"/>
        </w:rPr>
        <w:t>Resource Efficiency</w:t>
      </w:r>
      <w:r w:rsidR="00674A90">
        <w:rPr>
          <w:b/>
          <w:bCs/>
          <w:color w:val="000000" w:themeColor="text1"/>
          <w:szCs w:val="22"/>
        </w:rPr>
        <w:t>:</w:t>
      </w:r>
      <w:r w:rsidRPr="00616D3A">
        <w:rPr>
          <w:color w:val="000000" w:themeColor="text1"/>
          <w:szCs w:val="22"/>
        </w:rPr>
        <w:t xml:space="preserve"> Sales </w:t>
      </w:r>
      <w:r w:rsidR="00674A90">
        <w:rPr>
          <w:color w:val="000000" w:themeColor="text1"/>
          <w:szCs w:val="22"/>
        </w:rPr>
        <w:t xml:space="preserve">at the segment </w:t>
      </w:r>
      <w:r w:rsidRPr="00616D3A">
        <w:rPr>
          <w:color w:val="000000" w:themeColor="text1"/>
          <w:szCs w:val="22"/>
        </w:rPr>
        <w:t>increas</w:t>
      </w:r>
      <w:r w:rsidR="00674A90">
        <w:rPr>
          <w:color w:val="000000" w:themeColor="text1"/>
          <w:szCs w:val="22"/>
        </w:rPr>
        <w:t>ed by 5 percent to €1.4</w:t>
      </w:r>
      <w:r w:rsidR="00AA3795" w:rsidRPr="00616D3A">
        <w:rPr>
          <w:color w:val="000000" w:themeColor="text1"/>
          <w:szCs w:val="22"/>
        </w:rPr>
        <w:t xml:space="preserve"> billion</w:t>
      </w:r>
      <w:r w:rsidR="00F427C5">
        <w:rPr>
          <w:color w:val="000000" w:themeColor="text1"/>
          <w:szCs w:val="22"/>
        </w:rPr>
        <w:t xml:space="preserve"> in the third quarter</w:t>
      </w:r>
      <w:r w:rsidR="00AA3795" w:rsidRPr="00616D3A">
        <w:rPr>
          <w:color w:val="000000" w:themeColor="text1"/>
          <w:szCs w:val="22"/>
        </w:rPr>
        <w:t xml:space="preserve">, </w:t>
      </w:r>
      <w:r w:rsidR="00674A90">
        <w:rPr>
          <w:color w:val="000000" w:themeColor="text1"/>
          <w:szCs w:val="22"/>
        </w:rPr>
        <w:t xml:space="preserve">while adjusted </w:t>
      </w:r>
      <w:r w:rsidR="00461BF2">
        <w:rPr>
          <w:color w:val="000000" w:themeColor="text1"/>
          <w:szCs w:val="22"/>
        </w:rPr>
        <w:t>EBITDA</w:t>
      </w:r>
      <w:r w:rsidR="00674A90">
        <w:rPr>
          <w:color w:val="000000" w:themeColor="text1"/>
          <w:szCs w:val="22"/>
        </w:rPr>
        <w:t xml:space="preserve"> </w:t>
      </w:r>
      <w:r w:rsidR="00461BF2">
        <w:rPr>
          <w:color w:val="000000" w:themeColor="text1"/>
          <w:szCs w:val="22"/>
        </w:rPr>
        <w:t>was</w:t>
      </w:r>
    </w:p>
    <w:p w:rsidR="006B4203" w:rsidRDefault="00674A90" w:rsidP="00681567">
      <w:pPr>
        <w:rPr>
          <w:color w:val="000000" w:themeColor="text1"/>
          <w:szCs w:val="22"/>
        </w:rPr>
      </w:pPr>
      <w:r>
        <w:rPr>
          <w:color w:val="000000" w:themeColor="text1"/>
          <w:szCs w:val="22"/>
        </w:rPr>
        <w:t>9</w:t>
      </w:r>
      <w:r w:rsidR="00215AA7" w:rsidRPr="00616D3A">
        <w:rPr>
          <w:color w:val="000000" w:themeColor="text1"/>
          <w:szCs w:val="22"/>
        </w:rPr>
        <w:t xml:space="preserve"> percent above the same quarter of the pr</w:t>
      </w:r>
      <w:r w:rsidR="006B4203">
        <w:rPr>
          <w:color w:val="000000" w:themeColor="text1"/>
          <w:szCs w:val="22"/>
        </w:rPr>
        <w:t>evious year at</w:t>
      </w:r>
    </w:p>
    <w:p w:rsidR="00965F39" w:rsidRPr="00616D3A" w:rsidRDefault="00674A90" w:rsidP="00681567">
      <w:pPr>
        <w:rPr>
          <w:color w:val="000000" w:themeColor="text1"/>
          <w:szCs w:val="22"/>
        </w:rPr>
      </w:pPr>
      <w:r>
        <w:rPr>
          <w:color w:val="000000" w:themeColor="text1"/>
          <w:szCs w:val="22"/>
        </w:rPr>
        <w:t>€338</w:t>
      </w:r>
      <w:r w:rsidR="00215AA7" w:rsidRPr="00616D3A">
        <w:rPr>
          <w:color w:val="000000" w:themeColor="text1"/>
          <w:szCs w:val="22"/>
        </w:rPr>
        <w:t xml:space="preserve"> million. The adjusted EBITDA margin in the segment increased </w:t>
      </w:r>
      <w:r>
        <w:rPr>
          <w:color w:val="000000" w:themeColor="text1"/>
          <w:szCs w:val="22"/>
        </w:rPr>
        <w:t>to 23.7 percent from 22.9</w:t>
      </w:r>
      <w:r w:rsidR="00215AA7" w:rsidRPr="00616D3A">
        <w:rPr>
          <w:color w:val="000000" w:themeColor="text1"/>
          <w:szCs w:val="22"/>
        </w:rPr>
        <w:t xml:space="preserve"> percent. </w:t>
      </w:r>
      <w:r w:rsidR="00F427C5">
        <w:rPr>
          <w:color w:val="000000" w:themeColor="text1"/>
          <w:szCs w:val="22"/>
        </w:rPr>
        <w:t>High demand for high-performance polymers used in lightweight design and for water-based, environmentally friendly paints and coatings boosted sales in the quarter.</w:t>
      </w:r>
      <w:r w:rsidR="00215AA7" w:rsidRPr="00616D3A">
        <w:rPr>
          <w:color w:val="000000" w:themeColor="text1"/>
          <w:szCs w:val="22"/>
        </w:rPr>
        <w:br/>
      </w:r>
    </w:p>
    <w:p w:rsidR="00215AA7" w:rsidRPr="00616D3A" w:rsidRDefault="008853B6" w:rsidP="00681567">
      <w:pPr>
        <w:rPr>
          <w:color w:val="000000" w:themeColor="text1"/>
          <w:szCs w:val="22"/>
        </w:rPr>
      </w:pPr>
      <w:r w:rsidRPr="00616D3A">
        <w:rPr>
          <w:b/>
          <w:bCs/>
          <w:color w:val="000000" w:themeColor="text1"/>
          <w:szCs w:val="22"/>
        </w:rPr>
        <w:t>Nutrition &amp; Care</w:t>
      </w:r>
      <w:r>
        <w:rPr>
          <w:color w:val="000000" w:themeColor="text1"/>
          <w:szCs w:val="22"/>
        </w:rPr>
        <w:t>: S</w:t>
      </w:r>
      <w:r w:rsidR="00215AA7" w:rsidRPr="00616D3A">
        <w:rPr>
          <w:color w:val="000000" w:themeColor="text1"/>
          <w:szCs w:val="22"/>
        </w:rPr>
        <w:t>egment</w:t>
      </w:r>
      <w:r>
        <w:rPr>
          <w:color w:val="000000" w:themeColor="text1"/>
          <w:szCs w:val="22"/>
        </w:rPr>
        <w:t xml:space="preserve"> sales</w:t>
      </w:r>
      <w:r w:rsidR="00215AA7" w:rsidRPr="00616D3A">
        <w:rPr>
          <w:color w:val="000000" w:themeColor="text1"/>
          <w:szCs w:val="22"/>
        </w:rPr>
        <w:t xml:space="preserve"> </w:t>
      </w:r>
      <w:r>
        <w:rPr>
          <w:color w:val="000000" w:themeColor="text1"/>
          <w:szCs w:val="22"/>
        </w:rPr>
        <w:t>rose</w:t>
      </w:r>
      <w:r w:rsidR="00215AA7" w:rsidRPr="00616D3A">
        <w:rPr>
          <w:color w:val="000000" w:themeColor="text1"/>
          <w:szCs w:val="22"/>
        </w:rPr>
        <w:t xml:space="preserve"> </w:t>
      </w:r>
      <w:r w:rsidR="00616D3A">
        <w:rPr>
          <w:color w:val="000000" w:themeColor="text1"/>
          <w:szCs w:val="22"/>
        </w:rPr>
        <w:t>5</w:t>
      </w:r>
      <w:r w:rsidR="00AA3795" w:rsidRPr="00616D3A">
        <w:rPr>
          <w:color w:val="000000" w:themeColor="text1"/>
          <w:szCs w:val="22"/>
        </w:rPr>
        <w:t xml:space="preserve"> percent </w:t>
      </w:r>
      <w:r>
        <w:rPr>
          <w:color w:val="000000" w:themeColor="text1"/>
          <w:szCs w:val="22"/>
        </w:rPr>
        <w:t>to</w:t>
      </w:r>
      <w:r w:rsidR="00AA3795" w:rsidRPr="00616D3A">
        <w:rPr>
          <w:color w:val="000000" w:themeColor="text1"/>
          <w:szCs w:val="22"/>
        </w:rPr>
        <w:t xml:space="preserve"> €1.2 billion</w:t>
      </w:r>
      <w:r w:rsidR="00215AA7" w:rsidRPr="00616D3A">
        <w:rPr>
          <w:color w:val="000000" w:themeColor="text1"/>
          <w:szCs w:val="22"/>
        </w:rPr>
        <w:t xml:space="preserve">. Adjusted </w:t>
      </w:r>
      <w:r w:rsidR="00461BF2">
        <w:rPr>
          <w:color w:val="000000" w:themeColor="text1"/>
          <w:szCs w:val="22"/>
        </w:rPr>
        <w:t>EBITDA</w:t>
      </w:r>
      <w:r w:rsidR="00616D3A">
        <w:rPr>
          <w:color w:val="000000" w:themeColor="text1"/>
          <w:szCs w:val="22"/>
        </w:rPr>
        <w:t xml:space="preserve"> rose by 13</w:t>
      </w:r>
      <w:r w:rsidR="0061534A">
        <w:rPr>
          <w:color w:val="000000" w:themeColor="text1"/>
          <w:szCs w:val="22"/>
        </w:rPr>
        <w:t xml:space="preserve"> percent to €21</w:t>
      </w:r>
      <w:r w:rsidR="00215AA7" w:rsidRPr="00616D3A">
        <w:rPr>
          <w:color w:val="000000" w:themeColor="text1"/>
          <w:szCs w:val="22"/>
        </w:rPr>
        <w:t>2 million</w:t>
      </w:r>
      <w:r w:rsidR="00AA3795" w:rsidRPr="00616D3A">
        <w:rPr>
          <w:color w:val="000000" w:themeColor="text1"/>
          <w:szCs w:val="22"/>
        </w:rPr>
        <w:t xml:space="preserve">. </w:t>
      </w:r>
      <w:r w:rsidR="00215AA7" w:rsidRPr="00616D3A">
        <w:rPr>
          <w:color w:val="000000" w:themeColor="text1"/>
          <w:szCs w:val="22"/>
        </w:rPr>
        <w:t>The segment was able to significantly increase it</w:t>
      </w:r>
      <w:r w:rsidR="0061534A">
        <w:rPr>
          <w:color w:val="000000" w:themeColor="text1"/>
          <w:szCs w:val="22"/>
        </w:rPr>
        <w:t>s adjusted EBITDA margin to 18.2 percent (prior-year: 16.9</w:t>
      </w:r>
      <w:r w:rsidR="00215AA7" w:rsidRPr="00616D3A">
        <w:rPr>
          <w:color w:val="000000" w:themeColor="text1"/>
          <w:szCs w:val="22"/>
        </w:rPr>
        <w:t xml:space="preserve"> percent). </w:t>
      </w:r>
      <w:r w:rsidR="002B79F1">
        <w:rPr>
          <w:color w:val="000000" w:themeColor="text1"/>
          <w:szCs w:val="22"/>
        </w:rPr>
        <w:t>Demand</w:t>
      </w:r>
      <w:r w:rsidR="002B79F1" w:rsidRPr="00616D3A">
        <w:rPr>
          <w:color w:val="000000" w:themeColor="text1"/>
          <w:szCs w:val="22"/>
        </w:rPr>
        <w:t xml:space="preserve"> remained </w:t>
      </w:r>
      <w:r w:rsidR="002B79F1">
        <w:rPr>
          <w:color w:val="000000" w:themeColor="text1"/>
          <w:szCs w:val="22"/>
        </w:rPr>
        <w:t>high i</w:t>
      </w:r>
      <w:r w:rsidR="006D2C77" w:rsidRPr="00616D3A">
        <w:rPr>
          <w:color w:val="000000" w:themeColor="text1"/>
          <w:szCs w:val="22"/>
        </w:rPr>
        <w:t>n the amino acids</w:t>
      </w:r>
      <w:r w:rsidR="002B79F1">
        <w:rPr>
          <w:color w:val="000000" w:themeColor="text1"/>
          <w:szCs w:val="22"/>
        </w:rPr>
        <w:t xml:space="preserve"> business for animal nutrition</w:t>
      </w:r>
      <w:r w:rsidR="006D2C77" w:rsidRPr="00616D3A">
        <w:rPr>
          <w:color w:val="000000" w:themeColor="text1"/>
          <w:szCs w:val="22"/>
        </w:rPr>
        <w:t xml:space="preserve">. </w:t>
      </w:r>
      <w:r w:rsidR="002B79F1">
        <w:rPr>
          <w:color w:val="000000" w:themeColor="text1"/>
          <w:szCs w:val="22"/>
        </w:rPr>
        <w:t>The Personal Care and Health Care businesses continued to develop very well.</w:t>
      </w:r>
    </w:p>
    <w:p w:rsidR="00AA3795" w:rsidRPr="00616D3A" w:rsidRDefault="00AA3795" w:rsidP="00681567">
      <w:pPr>
        <w:rPr>
          <w:color w:val="000000" w:themeColor="text1"/>
          <w:szCs w:val="22"/>
        </w:rPr>
      </w:pPr>
    </w:p>
    <w:p w:rsidR="00215AA7" w:rsidRPr="00D6721E" w:rsidRDefault="00F427C5" w:rsidP="00681567">
      <w:pPr>
        <w:rPr>
          <w:color w:val="000000" w:themeColor="text1"/>
          <w:szCs w:val="22"/>
        </w:rPr>
      </w:pPr>
      <w:r w:rsidRPr="00616D3A">
        <w:rPr>
          <w:b/>
          <w:bCs/>
          <w:color w:val="000000" w:themeColor="text1"/>
          <w:szCs w:val="22"/>
        </w:rPr>
        <w:t>Performance Materials</w:t>
      </w:r>
      <w:r>
        <w:rPr>
          <w:b/>
          <w:bCs/>
          <w:color w:val="000000" w:themeColor="text1"/>
          <w:szCs w:val="22"/>
        </w:rPr>
        <w:t>:</w:t>
      </w:r>
      <w:r w:rsidRPr="00616D3A">
        <w:rPr>
          <w:color w:val="000000" w:themeColor="text1"/>
          <w:szCs w:val="22"/>
        </w:rPr>
        <w:t xml:space="preserve"> </w:t>
      </w:r>
      <w:r w:rsidR="00765EC7">
        <w:rPr>
          <w:color w:val="000000" w:themeColor="text1"/>
          <w:szCs w:val="22"/>
        </w:rPr>
        <w:t>Sales at</w:t>
      </w:r>
      <w:r w:rsidR="00215AA7" w:rsidRPr="00616D3A">
        <w:rPr>
          <w:color w:val="000000" w:themeColor="text1"/>
          <w:szCs w:val="22"/>
        </w:rPr>
        <w:t xml:space="preserve"> the segment reached €1.0 billion in the </w:t>
      </w:r>
      <w:r>
        <w:rPr>
          <w:color w:val="000000" w:themeColor="text1"/>
          <w:szCs w:val="22"/>
        </w:rPr>
        <w:t>third quarter, 13</w:t>
      </w:r>
      <w:r w:rsidR="00215AA7" w:rsidRPr="00616D3A">
        <w:rPr>
          <w:color w:val="000000" w:themeColor="text1"/>
          <w:szCs w:val="22"/>
        </w:rPr>
        <w:t xml:space="preserve"> percent above the previous</w:t>
      </w:r>
      <w:r>
        <w:rPr>
          <w:color w:val="000000" w:themeColor="text1"/>
          <w:szCs w:val="22"/>
        </w:rPr>
        <w:t>-</w:t>
      </w:r>
      <w:r w:rsidR="00215AA7" w:rsidRPr="00616D3A">
        <w:rPr>
          <w:color w:val="000000" w:themeColor="text1"/>
          <w:szCs w:val="22"/>
        </w:rPr>
        <w:t>year</w:t>
      </w:r>
      <w:r>
        <w:rPr>
          <w:color w:val="000000" w:themeColor="text1"/>
          <w:szCs w:val="22"/>
        </w:rPr>
        <w:t xml:space="preserve"> quarter</w:t>
      </w:r>
      <w:r w:rsidR="00215AA7" w:rsidRPr="00616D3A">
        <w:rPr>
          <w:color w:val="000000" w:themeColor="text1"/>
          <w:szCs w:val="22"/>
        </w:rPr>
        <w:t xml:space="preserve">. </w:t>
      </w:r>
      <w:r w:rsidR="008F0AEA">
        <w:rPr>
          <w:color w:val="000000" w:themeColor="text1"/>
          <w:szCs w:val="22"/>
        </w:rPr>
        <w:t xml:space="preserve">Selling prices were higher, mainly due to the passing on of increased raw-materials costs. </w:t>
      </w:r>
      <w:r w:rsidR="00341D52">
        <w:rPr>
          <w:color w:val="000000" w:themeColor="text1"/>
          <w:szCs w:val="22"/>
        </w:rPr>
        <w:t xml:space="preserve">Low water levels in the Rhine River reduced transport volumes which had a negative impact on the flow of raw materials and goods. </w:t>
      </w:r>
      <w:r w:rsidR="008F0AEA">
        <w:rPr>
          <w:color w:val="000000" w:themeColor="text1"/>
          <w:szCs w:val="22"/>
        </w:rPr>
        <w:t xml:space="preserve">The methacrylate business enjoyed </w:t>
      </w:r>
      <w:r w:rsidR="00E252ED">
        <w:rPr>
          <w:color w:val="000000" w:themeColor="text1"/>
          <w:szCs w:val="22"/>
        </w:rPr>
        <w:t xml:space="preserve">continued </w:t>
      </w:r>
      <w:r w:rsidR="008F0AEA">
        <w:rPr>
          <w:color w:val="000000" w:themeColor="text1"/>
          <w:szCs w:val="22"/>
        </w:rPr>
        <w:t xml:space="preserve">good demand, especially from the coatings and auto industries. </w:t>
      </w:r>
      <w:r w:rsidR="00215AA7" w:rsidRPr="00616D3A">
        <w:rPr>
          <w:color w:val="000000" w:themeColor="text1"/>
          <w:szCs w:val="22"/>
        </w:rPr>
        <w:t xml:space="preserve">The </w:t>
      </w:r>
      <w:r w:rsidR="008F0AEA">
        <w:rPr>
          <w:color w:val="000000" w:themeColor="text1"/>
          <w:szCs w:val="22"/>
        </w:rPr>
        <w:t xml:space="preserve">segment’s </w:t>
      </w:r>
      <w:r w:rsidR="00215AA7" w:rsidRPr="00616D3A">
        <w:rPr>
          <w:color w:val="000000" w:themeColor="text1"/>
          <w:szCs w:val="22"/>
        </w:rPr>
        <w:t xml:space="preserve">adjusted EBITDA </w:t>
      </w:r>
      <w:r w:rsidR="00765EC7">
        <w:rPr>
          <w:color w:val="000000" w:themeColor="text1"/>
          <w:szCs w:val="22"/>
        </w:rPr>
        <w:t>of</w:t>
      </w:r>
      <w:r w:rsidR="00E252ED">
        <w:rPr>
          <w:color w:val="000000" w:themeColor="text1"/>
          <w:szCs w:val="22"/>
        </w:rPr>
        <w:t xml:space="preserve"> €172</w:t>
      </w:r>
      <w:r w:rsidR="00E252ED" w:rsidRPr="00616D3A">
        <w:rPr>
          <w:color w:val="000000" w:themeColor="text1"/>
          <w:szCs w:val="22"/>
        </w:rPr>
        <w:t xml:space="preserve"> million</w:t>
      </w:r>
      <w:r w:rsidR="00E252ED">
        <w:rPr>
          <w:color w:val="000000" w:themeColor="text1"/>
          <w:szCs w:val="22"/>
        </w:rPr>
        <w:t xml:space="preserve"> </w:t>
      </w:r>
      <w:r w:rsidR="00765EC7">
        <w:rPr>
          <w:color w:val="000000" w:themeColor="text1"/>
          <w:szCs w:val="22"/>
        </w:rPr>
        <w:t xml:space="preserve">was </w:t>
      </w:r>
      <w:r w:rsidR="008F0AEA">
        <w:rPr>
          <w:color w:val="000000" w:themeColor="text1"/>
          <w:szCs w:val="22"/>
        </w:rPr>
        <w:t xml:space="preserve">on the same level as the year-ago period while </w:t>
      </w:r>
      <w:r w:rsidR="00E252ED">
        <w:rPr>
          <w:color w:val="000000" w:themeColor="text1"/>
          <w:szCs w:val="22"/>
        </w:rPr>
        <w:t xml:space="preserve">the </w:t>
      </w:r>
      <w:r w:rsidR="00215AA7" w:rsidRPr="00616D3A">
        <w:rPr>
          <w:color w:val="000000" w:themeColor="text1"/>
          <w:szCs w:val="22"/>
        </w:rPr>
        <w:t xml:space="preserve">adjusted EBITDA margin </w:t>
      </w:r>
      <w:r w:rsidR="008F0AEA">
        <w:rPr>
          <w:color w:val="000000" w:themeColor="text1"/>
          <w:szCs w:val="22"/>
        </w:rPr>
        <w:t xml:space="preserve">dropped to 16.6 percent from </w:t>
      </w:r>
      <w:r w:rsidR="008853B6">
        <w:rPr>
          <w:color w:val="000000" w:themeColor="text1"/>
          <w:szCs w:val="22"/>
        </w:rPr>
        <w:t>18.8 percent.</w:t>
      </w:r>
    </w:p>
    <w:p w:rsidR="004F1918" w:rsidRDefault="004F1918" w:rsidP="00CD1EE7"/>
    <w:p w:rsidR="00EE1117" w:rsidRDefault="00EE1117" w:rsidP="00EE1117">
      <w:pPr>
        <w:spacing w:line="240" w:lineRule="auto"/>
      </w:pPr>
    </w:p>
    <w:p w:rsidR="00EE1117" w:rsidRDefault="00EE1117" w:rsidP="00EE1117">
      <w:pPr>
        <w:spacing w:line="240" w:lineRule="auto"/>
      </w:pPr>
    </w:p>
    <w:p w:rsidR="00EE1117" w:rsidRDefault="00EE1117" w:rsidP="00EE1117">
      <w:pPr>
        <w:spacing w:line="240" w:lineRule="auto"/>
      </w:pPr>
    </w:p>
    <w:p w:rsidR="003874D3" w:rsidRDefault="003874D3" w:rsidP="00EE1117">
      <w:pPr>
        <w:spacing w:line="240" w:lineRule="auto"/>
      </w:pPr>
    </w:p>
    <w:p w:rsidR="00EE1117" w:rsidRDefault="00EE1117" w:rsidP="00EE1117">
      <w:pPr>
        <w:spacing w:line="240" w:lineRule="auto"/>
      </w:pPr>
    </w:p>
    <w:tbl>
      <w:tblPr>
        <w:tblpPr w:leftFromText="141" w:rightFromText="141" w:horzAnchor="margin" w:tblpY="-1065"/>
        <w:tblW w:w="9760" w:type="dxa"/>
        <w:tblCellMar>
          <w:left w:w="70" w:type="dxa"/>
          <w:right w:w="70" w:type="dxa"/>
        </w:tblCellMar>
        <w:tblLook w:val="04A0" w:firstRow="1" w:lastRow="0" w:firstColumn="1" w:lastColumn="0" w:noHBand="0" w:noVBand="1"/>
      </w:tblPr>
      <w:tblGrid>
        <w:gridCol w:w="3970"/>
        <w:gridCol w:w="965"/>
        <w:gridCol w:w="965"/>
        <w:gridCol w:w="965"/>
        <w:gridCol w:w="965"/>
        <w:gridCol w:w="965"/>
        <w:gridCol w:w="965"/>
      </w:tblGrid>
      <w:tr w:rsidR="003874D3" w:rsidRPr="003874D3" w:rsidTr="003874D3">
        <w:trPr>
          <w:trHeight w:val="259"/>
        </w:trPr>
        <w:tc>
          <w:tcPr>
            <w:tcW w:w="3970"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b/>
                <w:bCs/>
                <w:sz w:val="18"/>
                <w:szCs w:val="18"/>
                <w:lang w:val="en-US"/>
              </w:rPr>
            </w:pPr>
            <w:r w:rsidRPr="003874D3">
              <w:rPr>
                <w:rFonts w:cs="Lucida Sans Unicode"/>
                <w:b/>
                <w:bCs/>
                <w:sz w:val="18"/>
                <w:szCs w:val="18"/>
                <w:lang w:val="en-US"/>
              </w:rPr>
              <w:lastRenderedPageBreak/>
              <w:t>Evonik Group: Excerpt from the income statement</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en-US"/>
              </w:rPr>
            </w:pPr>
            <w:r w:rsidRPr="003874D3">
              <w:rPr>
                <w:rFonts w:cs="Lucida Sans Unicode"/>
                <w:sz w:val="16"/>
                <w:szCs w:val="16"/>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en-US"/>
              </w:rPr>
            </w:pPr>
            <w:r w:rsidRPr="003874D3">
              <w:rPr>
                <w:rFonts w:cs="Lucida Sans Unicode"/>
                <w:sz w:val="16"/>
                <w:szCs w:val="16"/>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en-US"/>
              </w:rPr>
            </w:pPr>
            <w:r w:rsidRPr="003874D3">
              <w:rPr>
                <w:rFonts w:cs="Lucida Sans Unicode"/>
                <w:sz w:val="16"/>
                <w:szCs w:val="16"/>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en-US"/>
              </w:rPr>
            </w:pPr>
            <w:r w:rsidRPr="003874D3">
              <w:rPr>
                <w:rFonts w:cs="Lucida Sans Unicode"/>
                <w:sz w:val="16"/>
                <w:szCs w:val="16"/>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en-US"/>
              </w:rPr>
            </w:pPr>
            <w:r w:rsidRPr="003874D3">
              <w:rPr>
                <w:rFonts w:cs="Lucida Sans Unicode"/>
                <w:sz w:val="16"/>
                <w:szCs w:val="16"/>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en-US"/>
              </w:rPr>
            </w:pPr>
            <w:r w:rsidRPr="003874D3">
              <w:rPr>
                <w:rFonts w:cs="Lucida Sans Unicode"/>
                <w:sz w:val="16"/>
                <w:szCs w:val="16"/>
                <w:lang w:val="en-US"/>
              </w:rPr>
              <w:t> </w:t>
            </w:r>
          </w:p>
        </w:tc>
      </w:tr>
      <w:tr w:rsidR="003874D3" w:rsidRPr="003874D3" w:rsidTr="003874D3">
        <w:trPr>
          <w:trHeight w:val="86"/>
        </w:trPr>
        <w:tc>
          <w:tcPr>
            <w:tcW w:w="3970"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en-US"/>
              </w:rPr>
            </w:pPr>
            <w:r w:rsidRPr="003874D3">
              <w:rPr>
                <w:rFonts w:cs="Lucida Sans Unicode"/>
                <w:sz w:val="2"/>
                <w:szCs w:val="2"/>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en-US"/>
              </w:rPr>
            </w:pPr>
            <w:r w:rsidRPr="003874D3">
              <w:rPr>
                <w:rFonts w:cs="Lucida Sans Unicode"/>
                <w:sz w:val="2"/>
                <w:szCs w:val="2"/>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en-US"/>
              </w:rPr>
            </w:pPr>
            <w:r w:rsidRPr="003874D3">
              <w:rPr>
                <w:rFonts w:cs="Lucida Sans Unicode"/>
                <w:sz w:val="2"/>
                <w:szCs w:val="2"/>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en-US"/>
              </w:rPr>
            </w:pPr>
            <w:r w:rsidRPr="003874D3">
              <w:rPr>
                <w:rFonts w:cs="Lucida Sans Unicode"/>
                <w:sz w:val="2"/>
                <w:szCs w:val="2"/>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en-US"/>
              </w:rPr>
            </w:pPr>
            <w:r w:rsidRPr="003874D3">
              <w:rPr>
                <w:rFonts w:cs="Lucida Sans Unicode"/>
                <w:sz w:val="2"/>
                <w:szCs w:val="2"/>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en-US"/>
              </w:rPr>
            </w:pPr>
            <w:r w:rsidRPr="003874D3">
              <w:rPr>
                <w:rFonts w:cs="Lucida Sans Unicode"/>
                <w:sz w:val="2"/>
                <w:szCs w:val="2"/>
                <w:lang w:val="en-US"/>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en-US"/>
              </w:rPr>
            </w:pPr>
            <w:r w:rsidRPr="003874D3">
              <w:rPr>
                <w:rFonts w:cs="Lucida Sans Unicode"/>
                <w:sz w:val="2"/>
                <w:szCs w:val="2"/>
                <w:lang w:val="en-US"/>
              </w:rPr>
              <w:t> </w:t>
            </w:r>
          </w:p>
        </w:tc>
      </w:tr>
      <w:tr w:rsidR="003874D3" w:rsidRPr="003874D3" w:rsidTr="003874D3">
        <w:trPr>
          <w:trHeight w:val="519"/>
        </w:trPr>
        <w:tc>
          <w:tcPr>
            <w:tcW w:w="39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xml:space="preserve">(in € </w:t>
            </w:r>
            <w:proofErr w:type="spellStart"/>
            <w:r w:rsidRPr="003874D3">
              <w:rPr>
                <w:rFonts w:cs="Lucida Sans Unicode"/>
                <w:sz w:val="18"/>
                <w:szCs w:val="18"/>
                <w:lang w:val="de-DE"/>
              </w:rPr>
              <w:t>million</w:t>
            </w:r>
            <w:proofErr w:type="spellEnd"/>
            <w:r w:rsidRPr="003874D3">
              <w:rPr>
                <w:rFonts w:cs="Lucida Sans Unicode"/>
                <w:sz w:val="18"/>
                <w:szCs w:val="18"/>
                <w:lang w:val="de-DE"/>
              </w:rPr>
              <w:t>)</w:t>
            </w:r>
          </w:p>
        </w:tc>
        <w:tc>
          <w:tcPr>
            <w:tcW w:w="965" w:type="dxa"/>
            <w:tcBorders>
              <w:top w:val="single" w:sz="4" w:space="0" w:color="auto"/>
              <w:left w:val="nil"/>
              <w:bottom w:val="single" w:sz="4" w:space="0" w:color="auto"/>
              <w:right w:val="single" w:sz="4" w:space="0" w:color="auto"/>
            </w:tcBorders>
            <w:shd w:val="clear" w:color="000000" w:fill="EAE6DE"/>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Q3</w:t>
            </w:r>
            <w:r w:rsidRPr="003874D3">
              <w:rPr>
                <w:rFonts w:cs="Lucida Sans Unicode"/>
                <w:b/>
                <w:bCs/>
                <w:sz w:val="18"/>
                <w:szCs w:val="18"/>
                <w:lang w:val="de-DE"/>
              </w:rPr>
              <w:br/>
              <w:t>2018</w:t>
            </w:r>
          </w:p>
        </w:tc>
        <w:tc>
          <w:tcPr>
            <w:tcW w:w="965" w:type="dxa"/>
            <w:tcBorders>
              <w:top w:val="single" w:sz="4" w:space="0" w:color="auto"/>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Q3</w:t>
            </w:r>
            <w:r w:rsidRPr="003874D3">
              <w:rPr>
                <w:rFonts w:cs="Lucida Sans Unicode"/>
                <w:b/>
                <w:bCs/>
                <w:sz w:val="18"/>
                <w:szCs w:val="18"/>
                <w:lang w:val="de-DE"/>
              </w:rPr>
              <w:br/>
              <w:t>2017</w:t>
            </w:r>
          </w:p>
        </w:tc>
        <w:tc>
          <w:tcPr>
            <w:tcW w:w="965" w:type="dxa"/>
            <w:tcBorders>
              <w:top w:val="single" w:sz="4" w:space="0" w:color="auto"/>
              <w:left w:val="nil"/>
              <w:bottom w:val="single" w:sz="4" w:space="0" w:color="auto"/>
              <w:right w:val="single" w:sz="4" w:space="0" w:color="auto"/>
            </w:tcBorders>
            <w:shd w:val="clear" w:color="000000" w:fill="FFFFFF"/>
            <w:vAlign w:val="bottom"/>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Change</w:t>
            </w:r>
            <w:r w:rsidRPr="003874D3">
              <w:rPr>
                <w:rFonts w:cs="Lucida Sans Unicode"/>
                <w:b/>
                <w:bCs/>
                <w:sz w:val="18"/>
                <w:szCs w:val="18"/>
                <w:lang w:val="de-DE"/>
              </w:rPr>
              <w:br/>
              <w:t>in %</w:t>
            </w:r>
          </w:p>
        </w:tc>
        <w:tc>
          <w:tcPr>
            <w:tcW w:w="965" w:type="dxa"/>
            <w:tcBorders>
              <w:top w:val="single" w:sz="4" w:space="0" w:color="auto"/>
              <w:left w:val="nil"/>
              <w:bottom w:val="single" w:sz="4" w:space="0" w:color="auto"/>
              <w:right w:val="single" w:sz="4" w:space="0" w:color="auto"/>
            </w:tcBorders>
            <w:shd w:val="clear" w:color="000000" w:fill="EAE6DE"/>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1-9</w:t>
            </w:r>
            <w:r w:rsidRPr="003874D3">
              <w:rPr>
                <w:rFonts w:cs="Lucida Sans Unicode"/>
                <w:b/>
                <w:bCs/>
                <w:sz w:val="18"/>
                <w:szCs w:val="18"/>
                <w:lang w:val="de-DE"/>
              </w:rPr>
              <w:br/>
              <w:t>2018</w:t>
            </w:r>
          </w:p>
        </w:tc>
        <w:tc>
          <w:tcPr>
            <w:tcW w:w="965" w:type="dxa"/>
            <w:tcBorders>
              <w:top w:val="single" w:sz="4" w:space="0" w:color="auto"/>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1-9</w:t>
            </w:r>
            <w:r w:rsidRPr="003874D3">
              <w:rPr>
                <w:rFonts w:cs="Lucida Sans Unicode"/>
                <w:b/>
                <w:bCs/>
                <w:sz w:val="18"/>
                <w:szCs w:val="18"/>
                <w:lang w:val="de-DE"/>
              </w:rPr>
              <w:br/>
              <w:t>2017</w:t>
            </w:r>
          </w:p>
        </w:tc>
        <w:tc>
          <w:tcPr>
            <w:tcW w:w="965" w:type="dxa"/>
            <w:tcBorders>
              <w:top w:val="single" w:sz="4" w:space="0" w:color="auto"/>
              <w:left w:val="nil"/>
              <w:bottom w:val="single" w:sz="4" w:space="0" w:color="auto"/>
              <w:right w:val="single" w:sz="4" w:space="0" w:color="auto"/>
            </w:tcBorders>
            <w:shd w:val="clear" w:color="000000" w:fill="FFFFFF"/>
            <w:vAlign w:val="bottom"/>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Change</w:t>
            </w:r>
            <w:r w:rsidRPr="003874D3">
              <w:rPr>
                <w:rFonts w:cs="Lucida Sans Unicode"/>
                <w:b/>
                <w:bCs/>
                <w:sz w:val="18"/>
                <w:szCs w:val="18"/>
                <w:lang w:val="de-DE"/>
              </w:rPr>
              <w:br/>
              <w:t>in %</w:t>
            </w:r>
          </w:p>
        </w:tc>
      </w:tr>
      <w:tr w:rsidR="003874D3" w:rsidRPr="003874D3" w:rsidTr="003874D3">
        <w:trPr>
          <w:trHeight w:val="28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proofErr w:type="spellStart"/>
            <w:r w:rsidRPr="003874D3">
              <w:rPr>
                <w:rFonts w:cs="Lucida Sans Unicode"/>
                <w:sz w:val="18"/>
                <w:szCs w:val="18"/>
                <w:lang w:val="de-DE"/>
              </w:rPr>
              <w:t>Sales</w:t>
            </w:r>
            <w:proofErr w:type="spellEnd"/>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3,794</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3,556</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7%</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11,343</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10,810</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5%</w:t>
            </w:r>
          </w:p>
        </w:tc>
      </w:tr>
      <w:tr w:rsidR="003874D3" w:rsidRPr="003874D3" w:rsidTr="003874D3">
        <w:trPr>
          <w:trHeight w:val="28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proofErr w:type="spellStart"/>
            <w:r w:rsidRPr="003874D3">
              <w:rPr>
                <w:rFonts w:cs="Lucida Sans Unicode"/>
                <w:sz w:val="18"/>
                <w:szCs w:val="18"/>
                <w:lang w:val="de-DE"/>
              </w:rPr>
              <w:t>Adjusted</w:t>
            </w:r>
            <w:proofErr w:type="spellEnd"/>
            <w:r w:rsidRPr="003874D3">
              <w:rPr>
                <w:rFonts w:cs="Lucida Sans Unicode"/>
                <w:sz w:val="18"/>
                <w:szCs w:val="18"/>
                <w:lang w:val="de-DE"/>
              </w:rPr>
              <w:t xml:space="preserve"> EBITDA</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692</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640</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8%</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2,114</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1,874</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13%</w:t>
            </w:r>
          </w:p>
        </w:tc>
      </w:tr>
      <w:tr w:rsidR="003874D3" w:rsidRPr="003874D3" w:rsidTr="003874D3">
        <w:trPr>
          <w:trHeight w:val="28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proofErr w:type="spellStart"/>
            <w:r w:rsidRPr="003874D3">
              <w:rPr>
                <w:rFonts w:cs="Lucida Sans Unicode"/>
                <w:sz w:val="18"/>
                <w:szCs w:val="18"/>
                <w:lang w:val="de-DE"/>
              </w:rPr>
              <w:t>Adjusted</w:t>
            </w:r>
            <w:proofErr w:type="spellEnd"/>
            <w:r w:rsidRPr="003874D3">
              <w:rPr>
                <w:rFonts w:cs="Lucida Sans Unicode"/>
                <w:sz w:val="18"/>
                <w:szCs w:val="18"/>
                <w:lang w:val="de-DE"/>
              </w:rPr>
              <w:t xml:space="preserve"> EBIT</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468</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423</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11%</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1,462</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1,245</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17%</w:t>
            </w:r>
          </w:p>
        </w:tc>
      </w:tr>
      <w:tr w:rsidR="003874D3" w:rsidRPr="003874D3" w:rsidTr="003874D3">
        <w:trPr>
          <w:trHeight w:val="28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proofErr w:type="spellStart"/>
            <w:r w:rsidRPr="003874D3">
              <w:rPr>
                <w:rFonts w:cs="Lucida Sans Unicode"/>
                <w:sz w:val="18"/>
                <w:szCs w:val="18"/>
                <w:lang w:val="de-DE"/>
              </w:rPr>
              <w:t>Adjustments</w:t>
            </w:r>
            <w:proofErr w:type="spellEnd"/>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-19</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-31</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-63</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-198</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r>
      <w:tr w:rsidR="003874D3" w:rsidRPr="003874D3" w:rsidTr="003874D3">
        <w:trPr>
          <w:trHeight w:val="28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xml:space="preserve">Financial </w:t>
            </w:r>
            <w:proofErr w:type="spellStart"/>
            <w:r w:rsidRPr="003874D3">
              <w:rPr>
                <w:rFonts w:cs="Lucida Sans Unicode"/>
                <w:sz w:val="18"/>
                <w:szCs w:val="18"/>
                <w:lang w:val="de-DE"/>
              </w:rPr>
              <w:t>result</w:t>
            </w:r>
            <w:proofErr w:type="spellEnd"/>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-42</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-62</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-141</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-153</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r>
      <w:tr w:rsidR="003874D3" w:rsidRPr="003874D3" w:rsidTr="003874D3">
        <w:trPr>
          <w:trHeight w:val="28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en-US"/>
              </w:rPr>
            </w:pPr>
            <w:r w:rsidRPr="003874D3">
              <w:rPr>
                <w:rFonts w:cs="Lucida Sans Unicode"/>
                <w:sz w:val="18"/>
                <w:szCs w:val="18"/>
                <w:lang w:val="en-US"/>
              </w:rPr>
              <w:t>Income before income taxes, continuing operations</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407</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330</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23%</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1,258</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894</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41%</w:t>
            </w:r>
          </w:p>
        </w:tc>
      </w:tr>
      <w:tr w:rsidR="003874D3" w:rsidRPr="003874D3" w:rsidTr="003874D3">
        <w:trPr>
          <w:trHeight w:val="28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xml:space="preserve">Income </w:t>
            </w:r>
            <w:proofErr w:type="spellStart"/>
            <w:r w:rsidRPr="003874D3">
              <w:rPr>
                <w:rFonts w:cs="Lucida Sans Unicode"/>
                <w:sz w:val="18"/>
                <w:szCs w:val="18"/>
                <w:lang w:val="de-DE"/>
              </w:rPr>
              <w:t>taxes</w:t>
            </w:r>
            <w:proofErr w:type="spellEnd"/>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-76</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-101</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-319</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-278</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r>
      <w:tr w:rsidR="003874D3" w:rsidRPr="003874D3" w:rsidTr="003874D3">
        <w:trPr>
          <w:trHeight w:val="28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en-US"/>
              </w:rPr>
            </w:pPr>
            <w:r w:rsidRPr="003874D3">
              <w:rPr>
                <w:rFonts w:cs="Lucida Sans Unicode"/>
                <w:sz w:val="18"/>
                <w:szCs w:val="18"/>
                <w:lang w:val="en-US"/>
              </w:rPr>
              <w:t>Income after taxes, continuing operations</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331</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229</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45%</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939</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616</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52%</w:t>
            </w:r>
          </w:p>
        </w:tc>
      </w:tr>
      <w:tr w:rsidR="003874D3" w:rsidRPr="003874D3" w:rsidTr="003874D3">
        <w:trPr>
          <w:trHeight w:val="244"/>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en-US"/>
              </w:rPr>
            </w:pPr>
            <w:r w:rsidRPr="003874D3">
              <w:rPr>
                <w:rFonts w:cs="Lucida Sans Unicode"/>
                <w:sz w:val="18"/>
                <w:szCs w:val="18"/>
                <w:lang w:val="en-US"/>
              </w:rPr>
              <w:t>Income after taxes, discontinued operations</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2</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r>
      <w:tr w:rsidR="003874D3" w:rsidRPr="003874D3" w:rsidTr="003874D3">
        <w:trPr>
          <w:trHeight w:val="259"/>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xml:space="preserve">Income after </w:t>
            </w:r>
            <w:proofErr w:type="spellStart"/>
            <w:r w:rsidRPr="003874D3">
              <w:rPr>
                <w:rFonts w:cs="Lucida Sans Unicode"/>
                <w:sz w:val="18"/>
                <w:szCs w:val="18"/>
                <w:lang w:val="de-DE"/>
              </w:rPr>
              <w:t>taxes</w:t>
            </w:r>
            <w:proofErr w:type="spellEnd"/>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334</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231</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45%</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943</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620</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52%</w:t>
            </w:r>
          </w:p>
        </w:tc>
      </w:tr>
      <w:tr w:rsidR="003874D3" w:rsidRPr="003874D3" w:rsidTr="003874D3">
        <w:trPr>
          <w:trHeight w:val="259"/>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en-US"/>
              </w:rPr>
            </w:pPr>
            <w:r w:rsidRPr="003874D3">
              <w:rPr>
                <w:rFonts w:cs="Lucida Sans Unicode"/>
                <w:sz w:val="18"/>
                <w:szCs w:val="18"/>
                <w:lang w:val="en-US"/>
              </w:rPr>
              <w:t>thereof attributable to non-controlling interests</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5</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15</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14</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r>
      <w:tr w:rsidR="003874D3" w:rsidRPr="003874D3" w:rsidTr="003874D3">
        <w:trPr>
          <w:trHeight w:val="259"/>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b/>
                <w:bCs/>
                <w:sz w:val="18"/>
                <w:szCs w:val="18"/>
                <w:lang w:val="de-DE"/>
              </w:rPr>
            </w:pPr>
            <w:r w:rsidRPr="003874D3">
              <w:rPr>
                <w:rFonts w:cs="Lucida Sans Unicode"/>
                <w:b/>
                <w:bCs/>
                <w:sz w:val="18"/>
                <w:szCs w:val="18"/>
                <w:lang w:val="de-DE"/>
              </w:rPr>
              <w:t>Net Income</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329</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227</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45%</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928</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606</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53%</w:t>
            </w:r>
          </w:p>
        </w:tc>
      </w:tr>
      <w:tr w:rsidR="003874D3" w:rsidRPr="003874D3" w:rsidTr="003874D3">
        <w:trPr>
          <w:trHeight w:val="259"/>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b/>
                <w:bCs/>
                <w:sz w:val="18"/>
                <w:szCs w:val="18"/>
                <w:lang w:val="de-DE"/>
              </w:rPr>
            </w:pPr>
            <w:proofErr w:type="spellStart"/>
            <w:r w:rsidRPr="003874D3">
              <w:rPr>
                <w:rFonts w:cs="Lucida Sans Unicode"/>
                <w:b/>
                <w:bCs/>
                <w:sz w:val="18"/>
                <w:szCs w:val="18"/>
                <w:lang w:val="de-DE"/>
              </w:rPr>
              <w:t>Adjusted</w:t>
            </w:r>
            <w:proofErr w:type="spellEnd"/>
            <w:r w:rsidRPr="003874D3">
              <w:rPr>
                <w:rFonts w:cs="Lucida Sans Unicode"/>
                <w:b/>
                <w:bCs/>
                <w:sz w:val="18"/>
                <w:szCs w:val="18"/>
                <w:lang w:val="de-DE"/>
              </w:rPr>
              <w:t xml:space="preserve"> </w:t>
            </w:r>
            <w:proofErr w:type="spellStart"/>
            <w:r w:rsidRPr="003874D3">
              <w:rPr>
                <w:rFonts w:cs="Lucida Sans Unicode"/>
                <w:b/>
                <w:bCs/>
                <w:sz w:val="18"/>
                <w:szCs w:val="18"/>
                <w:lang w:val="de-DE"/>
              </w:rPr>
              <w:t>net</w:t>
            </w:r>
            <w:proofErr w:type="spellEnd"/>
            <w:r w:rsidRPr="003874D3">
              <w:rPr>
                <w:rFonts w:cs="Lucida Sans Unicode"/>
                <w:b/>
                <w:bCs/>
                <w:sz w:val="18"/>
                <w:szCs w:val="18"/>
                <w:lang w:val="de-DE"/>
              </w:rPr>
              <w:t xml:space="preserve"> </w:t>
            </w:r>
            <w:proofErr w:type="spellStart"/>
            <w:r w:rsidRPr="003874D3">
              <w:rPr>
                <w:rFonts w:cs="Lucida Sans Unicode"/>
                <w:b/>
                <w:bCs/>
                <w:sz w:val="18"/>
                <w:szCs w:val="18"/>
                <w:lang w:val="de-DE"/>
              </w:rPr>
              <w:t>income</w:t>
            </w:r>
            <w:proofErr w:type="spellEnd"/>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370</w:t>
            </w:r>
          </w:p>
        </w:tc>
        <w:tc>
          <w:tcPr>
            <w:tcW w:w="965" w:type="dxa"/>
            <w:tcBorders>
              <w:top w:val="nil"/>
              <w:left w:val="nil"/>
              <w:bottom w:val="single" w:sz="4" w:space="0" w:color="auto"/>
              <w:right w:val="single" w:sz="4" w:space="0" w:color="auto"/>
            </w:tcBorders>
            <w:shd w:val="clear" w:color="auto" w:fill="auto"/>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275</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35%</w:t>
            </w:r>
          </w:p>
        </w:tc>
        <w:tc>
          <w:tcPr>
            <w:tcW w:w="965"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1,057</w:t>
            </w:r>
          </w:p>
        </w:tc>
        <w:tc>
          <w:tcPr>
            <w:tcW w:w="965" w:type="dxa"/>
            <w:tcBorders>
              <w:top w:val="nil"/>
              <w:left w:val="nil"/>
              <w:bottom w:val="single" w:sz="4" w:space="0" w:color="auto"/>
              <w:right w:val="single" w:sz="4" w:space="0" w:color="auto"/>
            </w:tcBorders>
            <w:shd w:val="clear" w:color="auto" w:fill="auto"/>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816</w:t>
            </w:r>
          </w:p>
        </w:tc>
        <w:tc>
          <w:tcPr>
            <w:tcW w:w="965"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30%</w:t>
            </w:r>
          </w:p>
        </w:tc>
      </w:tr>
      <w:tr w:rsidR="003874D3" w:rsidRPr="003874D3" w:rsidTr="003874D3">
        <w:trPr>
          <w:trHeight w:val="244"/>
        </w:trPr>
        <w:tc>
          <w:tcPr>
            <w:tcW w:w="3970"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Prior-</w:t>
            </w:r>
            <w:proofErr w:type="spellStart"/>
            <w:r w:rsidRPr="003874D3">
              <w:rPr>
                <w:rFonts w:cs="Lucida Sans Unicode"/>
                <w:sz w:val="16"/>
                <w:szCs w:val="16"/>
                <w:lang w:val="de-DE"/>
              </w:rPr>
              <w:t>year</w:t>
            </w:r>
            <w:proofErr w:type="spellEnd"/>
            <w:r w:rsidRPr="003874D3">
              <w:rPr>
                <w:rFonts w:cs="Lucida Sans Unicode"/>
                <w:sz w:val="16"/>
                <w:szCs w:val="16"/>
                <w:lang w:val="de-DE"/>
              </w:rPr>
              <w:t xml:space="preserve"> </w:t>
            </w:r>
            <w:proofErr w:type="spellStart"/>
            <w:r w:rsidRPr="003874D3">
              <w:rPr>
                <w:rFonts w:cs="Lucida Sans Unicode"/>
                <w:sz w:val="16"/>
                <w:szCs w:val="16"/>
                <w:lang w:val="de-DE"/>
              </w:rPr>
              <w:t>figures</w:t>
            </w:r>
            <w:proofErr w:type="spellEnd"/>
            <w:r w:rsidRPr="003874D3">
              <w:rPr>
                <w:rFonts w:cs="Lucida Sans Unicode"/>
                <w:sz w:val="16"/>
                <w:szCs w:val="16"/>
                <w:lang w:val="de-DE"/>
              </w:rPr>
              <w:t xml:space="preserve"> </w:t>
            </w:r>
            <w:proofErr w:type="spellStart"/>
            <w:r w:rsidRPr="003874D3">
              <w:rPr>
                <w:rFonts w:cs="Lucida Sans Unicode"/>
                <w:sz w:val="16"/>
                <w:szCs w:val="16"/>
                <w:lang w:val="de-DE"/>
              </w:rPr>
              <w:t>restated</w:t>
            </w:r>
            <w:proofErr w:type="spellEnd"/>
            <w:r w:rsidRPr="003874D3">
              <w:rPr>
                <w:rFonts w:cs="Lucida Sans Unicode"/>
                <w:sz w:val="16"/>
                <w:szCs w:val="16"/>
                <w:lang w:val="de-DE"/>
              </w:rPr>
              <w:t>.</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5"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r>
    </w:tbl>
    <w:p w:rsidR="003874D3" w:rsidRDefault="003874D3" w:rsidP="00EE1117">
      <w:pPr>
        <w:spacing w:line="240" w:lineRule="auto"/>
      </w:pPr>
    </w:p>
    <w:p w:rsidR="003874D3" w:rsidRDefault="003874D3" w:rsidP="00EE1117">
      <w:pPr>
        <w:spacing w:line="240" w:lineRule="auto"/>
      </w:pPr>
    </w:p>
    <w:tbl>
      <w:tblPr>
        <w:tblW w:w="9779" w:type="dxa"/>
        <w:tblCellMar>
          <w:left w:w="70" w:type="dxa"/>
          <w:right w:w="70" w:type="dxa"/>
        </w:tblCellMar>
        <w:tblLook w:val="04A0" w:firstRow="1" w:lastRow="0" w:firstColumn="1" w:lastColumn="0" w:noHBand="0" w:noVBand="1"/>
      </w:tblPr>
      <w:tblGrid>
        <w:gridCol w:w="3977"/>
        <w:gridCol w:w="966"/>
        <w:gridCol w:w="966"/>
        <w:gridCol w:w="969"/>
        <w:gridCol w:w="966"/>
        <w:gridCol w:w="966"/>
        <w:gridCol w:w="969"/>
      </w:tblGrid>
      <w:tr w:rsidR="003874D3" w:rsidRPr="003874D3" w:rsidTr="003874D3">
        <w:trPr>
          <w:trHeight w:val="218"/>
        </w:trPr>
        <w:tc>
          <w:tcPr>
            <w:tcW w:w="3977" w:type="dxa"/>
            <w:tcBorders>
              <w:top w:val="nil"/>
              <w:left w:val="nil"/>
              <w:bottom w:val="nil"/>
              <w:right w:val="nil"/>
            </w:tcBorders>
            <w:shd w:val="clear" w:color="000000" w:fill="FFFFFF"/>
            <w:noWrap/>
            <w:vAlign w:val="center"/>
            <w:hideMark/>
          </w:tcPr>
          <w:p w:rsidR="003874D3" w:rsidRPr="003874D3" w:rsidRDefault="003874D3" w:rsidP="003874D3">
            <w:pPr>
              <w:spacing w:line="240" w:lineRule="auto"/>
              <w:rPr>
                <w:rFonts w:cs="Lucida Sans Unicode"/>
                <w:b/>
                <w:bCs/>
                <w:sz w:val="20"/>
                <w:szCs w:val="20"/>
                <w:lang w:val="de-DE"/>
              </w:rPr>
            </w:pPr>
            <w:r w:rsidRPr="003874D3">
              <w:rPr>
                <w:rFonts w:cs="Lucida Sans Unicode"/>
                <w:b/>
                <w:bCs/>
                <w:sz w:val="20"/>
                <w:szCs w:val="20"/>
                <w:lang w:val="de-DE"/>
              </w:rPr>
              <w:t>Segment performance</w:t>
            </w:r>
            <w:bookmarkStart w:id="0" w:name="_GoBack"/>
            <w:bookmarkEnd w:id="0"/>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7"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7"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r>
      <w:tr w:rsidR="003874D3" w:rsidRPr="003874D3" w:rsidTr="003874D3">
        <w:trPr>
          <w:trHeight w:val="102"/>
        </w:trPr>
        <w:tc>
          <w:tcPr>
            <w:tcW w:w="3977"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b/>
                <w:bCs/>
                <w:sz w:val="20"/>
                <w:szCs w:val="20"/>
                <w:lang w:val="de-DE"/>
              </w:rPr>
            </w:pPr>
            <w:r w:rsidRPr="003874D3">
              <w:rPr>
                <w:rFonts w:cs="Lucida Sans Unicode"/>
                <w:b/>
                <w:bCs/>
                <w:sz w:val="20"/>
                <w:szCs w:val="20"/>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7"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967"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r>
      <w:tr w:rsidR="003874D3" w:rsidRPr="003874D3" w:rsidTr="003874D3">
        <w:trPr>
          <w:trHeight w:val="231"/>
        </w:trPr>
        <w:tc>
          <w:tcPr>
            <w:tcW w:w="3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2"/>
                <w:szCs w:val="2"/>
                <w:lang w:val="de-DE"/>
              </w:rPr>
            </w:pPr>
            <w:r w:rsidRPr="003874D3">
              <w:rPr>
                <w:rFonts w:cs="Lucida Sans Unicode"/>
                <w:sz w:val="2"/>
                <w:szCs w:val="2"/>
                <w:lang w:val="de-DE"/>
              </w:rPr>
              <w:t> </w:t>
            </w:r>
          </w:p>
        </w:tc>
        <w:tc>
          <w:tcPr>
            <w:tcW w:w="2901" w:type="dxa"/>
            <w:gridSpan w:val="3"/>
            <w:tcBorders>
              <w:top w:val="single" w:sz="4" w:space="0" w:color="auto"/>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rPr>
                <w:rFonts w:cs="Lucida Sans Unicode"/>
                <w:b/>
                <w:bCs/>
                <w:sz w:val="18"/>
                <w:szCs w:val="18"/>
                <w:lang w:val="de-DE"/>
              </w:rPr>
            </w:pPr>
            <w:proofErr w:type="spellStart"/>
            <w:r w:rsidRPr="003874D3">
              <w:rPr>
                <w:rFonts w:cs="Lucida Sans Unicode"/>
                <w:b/>
                <w:bCs/>
                <w:sz w:val="18"/>
                <w:szCs w:val="18"/>
                <w:lang w:val="de-DE"/>
              </w:rPr>
              <w:t>Sales</w:t>
            </w:r>
            <w:proofErr w:type="spellEnd"/>
          </w:p>
        </w:tc>
        <w:tc>
          <w:tcPr>
            <w:tcW w:w="2901" w:type="dxa"/>
            <w:gridSpan w:val="3"/>
            <w:tcBorders>
              <w:top w:val="single" w:sz="4" w:space="0" w:color="auto"/>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rPr>
                <w:rFonts w:cs="Lucida Sans Unicode"/>
                <w:b/>
                <w:bCs/>
                <w:sz w:val="18"/>
                <w:szCs w:val="18"/>
                <w:lang w:val="de-DE"/>
              </w:rPr>
            </w:pPr>
            <w:proofErr w:type="spellStart"/>
            <w:r w:rsidRPr="003874D3">
              <w:rPr>
                <w:rFonts w:cs="Lucida Sans Unicode"/>
                <w:b/>
                <w:bCs/>
                <w:sz w:val="18"/>
                <w:szCs w:val="18"/>
                <w:lang w:val="de-DE"/>
              </w:rPr>
              <w:t>Adjusted</w:t>
            </w:r>
            <w:proofErr w:type="spellEnd"/>
            <w:r w:rsidRPr="003874D3">
              <w:rPr>
                <w:rFonts w:cs="Lucida Sans Unicode"/>
                <w:b/>
                <w:bCs/>
                <w:sz w:val="18"/>
                <w:szCs w:val="18"/>
                <w:lang w:val="de-DE"/>
              </w:rPr>
              <w:t xml:space="preserve"> EBITDA</w:t>
            </w:r>
          </w:p>
        </w:tc>
      </w:tr>
      <w:tr w:rsidR="003874D3" w:rsidRPr="003874D3" w:rsidTr="003874D3">
        <w:trPr>
          <w:trHeight w:val="463"/>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xml:space="preserve">(in € </w:t>
            </w:r>
            <w:proofErr w:type="spellStart"/>
            <w:r w:rsidRPr="003874D3">
              <w:rPr>
                <w:rFonts w:cs="Lucida Sans Unicode"/>
                <w:sz w:val="18"/>
                <w:szCs w:val="18"/>
                <w:lang w:val="de-DE"/>
              </w:rPr>
              <w:t>million</w:t>
            </w:r>
            <w:proofErr w:type="spellEnd"/>
            <w:r w:rsidRPr="003874D3">
              <w:rPr>
                <w:rFonts w:cs="Lucida Sans Unicode"/>
                <w:sz w:val="18"/>
                <w:szCs w:val="18"/>
                <w:lang w:val="de-DE"/>
              </w:rPr>
              <w:t>)</w:t>
            </w:r>
          </w:p>
        </w:tc>
        <w:tc>
          <w:tcPr>
            <w:tcW w:w="966" w:type="dxa"/>
            <w:tcBorders>
              <w:top w:val="nil"/>
              <w:left w:val="nil"/>
              <w:bottom w:val="single" w:sz="4" w:space="0" w:color="auto"/>
              <w:right w:val="single" w:sz="4" w:space="0" w:color="auto"/>
            </w:tcBorders>
            <w:shd w:val="clear" w:color="000000" w:fill="EAE6DE"/>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Q3       2018</w:t>
            </w:r>
          </w:p>
        </w:tc>
        <w:tc>
          <w:tcPr>
            <w:tcW w:w="966" w:type="dxa"/>
            <w:tcBorders>
              <w:top w:val="nil"/>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Q3       2017</w:t>
            </w:r>
          </w:p>
        </w:tc>
        <w:tc>
          <w:tcPr>
            <w:tcW w:w="967" w:type="dxa"/>
            <w:tcBorders>
              <w:top w:val="nil"/>
              <w:left w:val="nil"/>
              <w:bottom w:val="single" w:sz="4" w:space="0" w:color="auto"/>
              <w:right w:val="single" w:sz="4" w:space="0" w:color="auto"/>
            </w:tcBorders>
            <w:shd w:val="clear" w:color="000000" w:fill="FFFFFF"/>
            <w:vAlign w:val="bottom"/>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Change</w:t>
            </w:r>
            <w:r w:rsidRPr="003874D3">
              <w:rPr>
                <w:rFonts w:cs="Lucida Sans Unicode"/>
                <w:b/>
                <w:bCs/>
                <w:sz w:val="18"/>
                <w:szCs w:val="18"/>
                <w:lang w:val="de-DE"/>
              </w:rPr>
              <w:br/>
              <w:t>in %</w:t>
            </w:r>
          </w:p>
        </w:tc>
        <w:tc>
          <w:tcPr>
            <w:tcW w:w="966" w:type="dxa"/>
            <w:tcBorders>
              <w:top w:val="nil"/>
              <w:left w:val="nil"/>
              <w:bottom w:val="single" w:sz="4" w:space="0" w:color="auto"/>
              <w:right w:val="single" w:sz="4" w:space="0" w:color="auto"/>
            </w:tcBorders>
            <w:shd w:val="clear" w:color="000000" w:fill="EAE6DE"/>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Q3       2018</w:t>
            </w:r>
          </w:p>
        </w:tc>
        <w:tc>
          <w:tcPr>
            <w:tcW w:w="966" w:type="dxa"/>
            <w:tcBorders>
              <w:top w:val="nil"/>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Q3       2017</w:t>
            </w:r>
          </w:p>
        </w:tc>
        <w:tc>
          <w:tcPr>
            <w:tcW w:w="967" w:type="dxa"/>
            <w:tcBorders>
              <w:top w:val="nil"/>
              <w:left w:val="nil"/>
              <w:bottom w:val="single" w:sz="4" w:space="0" w:color="auto"/>
              <w:right w:val="single" w:sz="4" w:space="0" w:color="auto"/>
            </w:tcBorders>
            <w:shd w:val="clear" w:color="000000" w:fill="FFFFFF"/>
            <w:vAlign w:val="bottom"/>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Change</w:t>
            </w:r>
            <w:r w:rsidRPr="003874D3">
              <w:rPr>
                <w:rFonts w:cs="Lucida Sans Unicode"/>
                <w:b/>
                <w:bCs/>
                <w:sz w:val="18"/>
                <w:szCs w:val="18"/>
                <w:lang w:val="de-DE"/>
              </w:rPr>
              <w:br/>
              <w:t>in %</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Nutrition &amp; Care</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1,167</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1,110</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5%</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212</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188</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13%</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Resource Efficiency</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1,426</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1,358</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5%</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338</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311</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9%</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Performance Materials</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1,034</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913</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13%</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172</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172</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0%</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Services</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164</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172</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-5%</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49</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49</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0%</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xml:space="preserve">Other </w:t>
            </w:r>
            <w:proofErr w:type="spellStart"/>
            <w:r w:rsidRPr="003874D3">
              <w:rPr>
                <w:rFonts w:cs="Lucida Sans Unicode"/>
                <w:sz w:val="18"/>
                <w:szCs w:val="18"/>
                <w:lang w:val="de-DE"/>
              </w:rPr>
              <w:t>operations</w:t>
            </w:r>
            <w:proofErr w:type="spellEnd"/>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-79</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-80</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b/>
                <w:bCs/>
                <w:sz w:val="18"/>
                <w:szCs w:val="18"/>
                <w:lang w:val="de-DE"/>
              </w:rPr>
            </w:pPr>
            <w:r w:rsidRPr="003874D3">
              <w:rPr>
                <w:rFonts w:cs="Lucida Sans Unicode"/>
                <w:b/>
                <w:bCs/>
                <w:sz w:val="18"/>
                <w:szCs w:val="18"/>
                <w:lang w:val="de-DE"/>
              </w:rPr>
              <w:t>Group</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3,794</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3,556</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7%</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692</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640</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8%</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sz w:val="18"/>
                <w:szCs w:val="18"/>
                <w:lang w:val="de-DE"/>
              </w:rPr>
            </w:pPr>
            <w:r w:rsidRPr="003874D3">
              <w:rPr>
                <w:rFonts w:cs="Lucida Sans Unicode"/>
                <w:sz w:val="18"/>
                <w:szCs w:val="18"/>
                <w:lang w:val="de-DE"/>
              </w:rPr>
              <w:t> </w:t>
            </w:r>
          </w:p>
        </w:tc>
        <w:tc>
          <w:tcPr>
            <w:tcW w:w="2901" w:type="dxa"/>
            <w:gridSpan w:val="3"/>
            <w:tcBorders>
              <w:top w:val="single" w:sz="4" w:space="0" w:color="auto"/>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outlineLvl w:val="0"/>
              <w:rPr>
                <w:rFonts w:cs="Lucida Sans Unicode"/>
                <w:b/>
                <w:bCs/>
                <w:sz w:val="18"/>
                <w:szCs w:val="18"/>
                <w:lang w:val="de-DE"/>
              </w:rPr>
            </w:pPr>
            <w:proofErr w:type="spellStart"/>
            <w:r w:rsidRPr="003874D3">
              <w:rPr>
                <w:rFonts w:cs="Lucida Sans Unicode"/>
                <w:b/>
                <w:bCs/>
                <w:sz w:val="18"/>
                <w:szCs w:val="18"/>
                <w:lang w:val="de-DE"/>
              </w:rPr>
              <w:t>Sales</w:t>
            </w:r>
            <w:proofErr w:type="spellEnd"/>
          </w:p>
        </w:tc>
        <w:tc>
          <w:tcPr>
            <w:tcW w:w="2901" w:type="dxa"/>
            <w:gridSpan w:val="3"/>
            <w:tcBorders>
              <w:top w:val="single" w:sz="4" w:space="0" w:color="auto"/>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outlineLvl w:val="0"/>
              <w:rPr>
                <w:rFonts w:cs="Lucida Sans Unicode"/>
                <w:b/>
                <w:bCs/>
                <w:sz w:val="18"/>
                <w:szCs w:val="18"/>
                <w:lang w:val="de-DE"/>
              </w:rPr>
            </w:pPr>
            <w:proofErr w:type="spellStart"/>
            <w:r w:rsidRPr="003874D3">
              <w:rPr>
                <w:rFonts w:cs="Lucida Sans Unicode"/>
                <w:b/>
                <w:bCs/>
                <w:sz w:val="18"/>
                <w:szCs w:val="18"/>
                <w:lang w:val="de-DE"/>
              </w:rPr>
              <w:t>Adjusted</w:t>
            </w:r>
            <w:proofErr w:type="spellEnd"/>
            <w:r w:rsidRPr="003874D3">
              <w:rPr>
                <w:rFonts w:cs="Lucida Sans Unicode"/>
                <w:b/>
                <w:bCs/>
                <w:sz w:val="18"/>
                <w:szCs w:val="18"/>
                <w:lang w:val="de-DE"/>
              </w:rPr>
              <w:t xml:space="preserve"> EBITDA</w:t>
            </w:r>
          </w:p>
        </w:tc>
      </w:tr>
      <w:tr w:rsidR="003874D3" w:rsidRPr="003874D3" w:rsidTr="003874D3">
        <w:trPr>
          <w:trHeight w:val="463"/>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sz w:val="18"/>
                <w:szCs w:val="18"/>
                <w:lang w:val="de-DE"/>
              </w:rPr>
            </w:pPr>
            <w:r w:rsidRPr="003874D3">
              <w:rPr>
                <w:rFonts w:cs="Lucida Sans Unicode"/>
                <w:sz w:val="18"/>
                <w:szCs w:val="18"/>
                <w:lang w:val="de-DE"/>
              </w:rPr>
              <w:t> </w:t>
            </w:r>
          </w:p>
        </w:tc>
        <w:tc>
          <w:tcPr>
            <w:tcW w:w="966" w:type="dxa"/>
            <w:tcBorders>
              <w:top w:val="nil"/>
              <w:left w:val="nil"/>
              <w:bottom w:val="single" w:sz="4" w:space="0" w:color="auto"/>
              <w:right w:val="single" w:sz="4" w:space="0" w:color="auto"/>
            </w:tcBorders>
            <w:shd w:val="clear" w:color="000000" w:fill="EAE6DE"/>
            <w:vAlign w:val="center"/>
            <w:hideMark/>
          </w:tcPr>
          <w:p w:rsidR="003874D3" w:rsidRPr="003874D3" w:rsidRDefault="003874D3" w:rsidP="003874D3">
            <w:pPr>
              <w:spacing w:line="240" w:lineRule="auto"/>
              <w:jc w:val="center"/>
              <w:outlineLvl w:val="0"/>
              <w:rPr>
                <w:rFonts w:cs="Lucida Sans Unicode"/>
                <w:b/>
                <w:bCs/>
                <w:sz w:val="18"/>
                <w:szCs w:val="18"/>
                <w:lang w:val="de-DE"/>
              </w:rPr>
            </w:pPr>
            <w:r w:rsidRPr="003874D3">
              <w:rPr>
                <w:rFonts w:cs="Lucida Sans Unicode"/>
                <w:b/>
                <w:bCs/>
                <w:sz w:val="18"/>
                <w:szCs w:val="18"/>
                <w:lang w:val="de-DE"/>
              </w:rPr>
              <w:t>1-9      2018</w:t>
            </w:r>
          </w:p>
        </w:tc>
        <w:tc>
          <w:tcPr>
            <w:tcW w:w="966" w:type="dxa"/>
            <w:tcBorders>
              <w:top w:val="nil"/>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outlineLvl w:val="0"/>
              <w:rPr>
                <w:rFonts w:cs="Lucida Sans Unicode"/>
                <w:b/>
                <w:bCs/>
                <w:sz w:val="18"/>
                <w:szCs w:val="18"/>
                <w:lang w:val="de-DE"/>
              </w:rPr>
            </w:pPr>
            <w:r w:rsidRPr="003874D3">
              <w:rPr>
                <w:rFonts w:cs="Lucida Sans Unicode"/>
                <w:b/>
                <w:bCs/>
                <w:sz w:val="18"/>
                <w:szCs w:val="18"/>
                <w:lang w:val="de-DE"/>
              </w:rPr>
              <w:t>1-9      2017</w:t>
            </w:r>
          </w:p>
        </w:tc>
        <w:tc>
          <w:tcPr>
            <w:tcW w:w="967" w:type="dxa"/>
            <w:tcBorders>
              <w:top w:val="nil"/>
              <w:left w:val="nil"/>
              <w:bottom w:val="single" w:sz="4" w:space="0" w:color="auto"/>
              <w:right w:val="single" w:sz="4" w:space="0" w:color="auto"/>
            </w:tcBorders>
            <w:shd w:val="clear" w:color="000000" w:fill="FFFFFF"/>
            <w:vAlign w:val="bottom"/>
            <w:hideMark/>
          </w:tcPr>
          <w:p w:rsidR="003874D3" w:rsidRPr="003874D3" w:rsidRDefault="003874D3" w:rsidP="003874D3">
            <w:pPr>
              <w:spacing w:line="240" w:lineRule="auto"/>
              <w:jc w:val="center"/>
              <w:outlineLvl w:val="0"/>
              <w:rPr>
                <w:rFonts w:cs="Lucida Sans Unicode"/>
                <w:b/>
                <w:bCs/>
                <w:sz w:val="18"/>
                <w:szCs w:val="18"/>
                <w:lang w:val="de-DE"/>
              </w:rPr>
            </w:pPr>
            <w:r w:rsidRPr="003874D3">
              <w:rPr>
                <w:rFonts w:cs="Lucida Sans Unicode"/>
                <w:b/>
                <w:bCs/>
                <w:sz w:val="18"/>
                <w:szCs w:val="18"/>
                <w:lang w:val="de-DE"/>
              </w:rPr>
              <w:t>Change</w:t>
            </w:r>
            <w:r w:rsidRPr="003874D3">
              <w:rPr>
                <w:rFonts w:cs="Lucida Sans Unicode"/>
                <w:b/>
                <w:bCs/>
                <w:sz w:val="18"/>
                <w:szCs w:val="18"/>
                <w:lang w:val="de-DE"/>
              </w:rPr>
              <w:br/>
              <w:t>in %</w:t>
            </w:r>
          </w:p>
        </w:tc>
        <w:tc>
          <w:tcPr>
            <w:tcW w:w="966" w:type="dxa"/>
            <w:tcBorders>
              <w:top w:val="nil"/>
              <w:left w:val="nil"/>
              <w:bottom w:val="single" w:sz="4" w:space="0" w:color="auto"/>
              <w:right w:val="single" w:sz="4" w:space="0" w:color="auto"/>
            </w:tcBorders>
            <w:shd w:val="clear" w:color="000000" w:fill="EAE6DE"/>
            <w:vAlign w:val="center"/>
            <w:hideMark/>
          </w:tcPr>
          <w:p w:rsidR="003874D3" w:rsidRPr="003874D3" w:rsidRDefault="003874D3" w:rsidP="003874D3">
            <w:pPr>
              <w:spacing w:line="240" w:lineRule="auto"/>
              <w:jc w:val="center"/>
              <w:outlineLvl w:val="0"/>
              <w:rPr>
                <w:rFonts w:cs="Lucida Sans Unicode"/>
                <w:b/>
                <w:bCs/>
                <w:sz w:val="18"/>
                <w:szCs w:val="18"/>
                <w:lang w:val="de-DE"/>
              </w:rPr>
            </w:pPr>
            <w:r w:rsidRPr="003874D3">
              <w:rPr>
                <w:rFonts w:cs="Lucida Sans Unicode"/>
                <w:b/>
                <w:bCs/>
                <w:sz w:val="18"/>
                <w:szCs w:val="18"/>
                <w:lang w:val="de-DE"/>
              </w:rPr>
              <w:t>1-9      2018</w:t>
            </w:r>
          </w:p>
        </w:tc>
        <w:tc>
          <w:tcPr>
            <w:tcW w:w="966" w:type="dxa"/>
            <w:tcBorders>
              <w:top w:val="nil"/>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outlineLvl w:val="0"/>
              <w:rPr>
                <w:rFonts w:cs="Lucida Sans Unicode"/>
                <w:b/>
                <w:bCs/>
                <w:sz w:val="18"/>
                <w:szCs w:val="18"/>
                <w:lang w:val="de-DE"/>
              </w:rPr>
            </w:pPr>
            <w:r w:rsidRPr="003874D3">
              <w:rPr>
                <w:rFonts w:cs="Lucida Sans Unicode"/>
                <w:b/>
                <w:bCs/>
                <w:sz w:val="18"/>
                <w:szCs w:val="18"/>
                <w:lang w:val="de-DE"/>
              </w:rPr>
              <w:t>1-9      2017</w:t>
            </w:r>
          </w:p>
        </w:tc>
        <w:tc>
          <w:tcPr>
            <w:tcW w:w="967" w:type="dxa"/>
            <w:tcBorders>
              <w:top w:val="nil"/>
              <w:left w:val="nil"/>
              <w:bottom w:val="single" w:sz="4" w:space="0" w:color="auto"/>
              <w:right w:val="single" w:sz="4" w:space="0" w:color="auto"/>
            </w:tcBorders>
            <w:shd w:val="clear" w:color="000000" w:fill="FFFFFF"/>
            <w:vAlign w:val="bottom"/>
            <w:hideMark/>
          </w:tcPr>
          <w:p w:rsidR="003874D3" w:rsidRPr="003874D3" w:rsidRDefault="003874D3" w:rsidP="003874D3">
            <w:pPr>
              <w:spacing w:line="240" w:lineRule="auto"/>
              <w:jc w:val="center"/>
              <w:outlineLvl w:val="0"/>
              <w:rPr>
                <w:rFonts w:cs="Lucida Sans Unicode"/>
                <w:b/>
                <w:bCs/>
                <w:sz w:val="18"/>
                <w:szCs w:val="18"/>
                <w:lang w:val="de-DE"/>
              </w:rPr>
            </w:pPr>
            <w:r w:rsidRPr="003874D3">
              <w:rPr>
                <w:rFonts w:cs="Lucida Sans Unicode"/>
                <w:b/>
                <w:bCs/>
                <w:sz w:val="18"/>
                <w:szCs w:val="18"/>
                <w:lang w:val="de-DE"/>
              </w:rPr>
              <w:t>Change</w:t>
            </w:r>
            <w:r w:rsidRPr="003874D3">
              <w:rPr>
                <w:rFonts w:cs="Lucida Sans Unicode"/>
                <w:b/>
                <w:bCs/>
                <w:sz w:val="18"/>
                <w:szCs w:val="18"/>
                <w:lang w:val="de-DE"/>
              </w:rPr>
              <w:br/>
              <w:t>in %</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sz w:val="18"/>
                <w:szCs w:val="18"/>
                <w:lang w:val="de-DE"/>
              </w:rPr>
            </w:pPr>
            <w:r w:rsidRPr="003874D3">
              <w:rPr>
                <w:rFonts w:cs="Lucida Sans Unicode"/>
                <w:sz w:val="18"/>
                <w:szCs w:val="18"/>
                <w:lang w:val="de-DE"/>
              </w:rPr>
              <w:t>Nutrition &amp; Care</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3,474</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3,393</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2%</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643</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575</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12%</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sz w:val="18"/>
                <w:szCs w:val="18"/>
                <w:lang w:val="de-DE"/>
              </w:rPr>
            </w:pPr>
            <w:r w:rsidRPr="003874D3">
              <w:rPr>
                <w:rFonts w:cs="Lucida Sans Unicode"/>
                <w:sz w:val="18"/>
                <w:szCs w:val="18"/>
                <w:lang w:val="de-DE"/>
              </w:rPr>
              <w:t>Resource Efficiency</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4,305</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4,085</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5%</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1,029</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926</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11%</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sz w:val="18"/>
                <w:szCs w:val="18"/>
                <w:lang w:val="de-DE"/>
              </w:rPr>
            </w:pPr>
            <w:r w:rsidRPr="003874D3">
              <w:rPr>
                <w:rFonts w:cs="Lucida Sans Unicode"/>
                <w:sz w:val="18"/>
                <w:szCs w:val="18"/>
                <w:lang w:val="de-DE"/>
              </w:rPr>
              <w:t>Performance Materials</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3,054</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2,781</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10%</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546</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497</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10%</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sz w:val="18"/>
                <w:szCs w:val="18"/>
                <w:lang w:val="de-DE"/>
              </w:rPr>
            </w:pPr>
            <w:r w:rsidRPr="003874D3">
              <w:rPr>
                <w:rFonts w:cs="Lucida Sans Unicode"/>
                <w:sz w:val="18"/>
                <w:szCs w:val="18"/>
                <w:lang w:val="de-DE"/>
              </w:rPr>
              <w:t>Services</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499</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539</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-7%</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133</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130</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2%</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sz w:val="18"/>
                <w:szCs w:val="18"/>
                <w:lang w:val="de-DE"/>
              </w:rPr>
            </w:pPr>
            <w:r w:rsidRPr="003874D3">
              <w:rPr>
                <w:rFonts w:cs="Lucida Sans Unicode"/>
                <w:sz w:val="18"/>
                <w:szCs w:val="18"/>
                <w:lang w:val="de-DE"/>
              </w:rPr>
              <w:t xml:space="preserve">Other </w:t>
            </w:r>
            <w:proofErr w:type="spellStart"/>
            <w:r w:rsidRPr="003874D3">
              <w:rPr>
                <w:rFonts w:cs="Lucida Sans Unicode"/>
                <w:sz w:val="18"/>
                <w:szCs w:val="18"/>
                <w:lang w:val="de-DE"/>
              </w:rPr>
              <w:t>operations</w:t>
            </w:r>
            <w:proofErr w:type="spellEnd"/>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11</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12</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sz w:val="18"/>
                <w:szCs w:val="18"/>
                <w:lang w:val="de-DE"/>
              </w:rPr>
            </w:pPr>
            <w:r w:rsidRPr="003874D3">
              <w:rPr>
                <w:rFonts w:cs="Lucida Sans Unicode"/>
                <w:sz w:val="18"/>
                <w:szCs w:val="18"/>
                <w:lang w:val="de-DE"/>
              </w:rPr>
              <w:t> </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-237</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-254</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sz w:val="18"/>
                <w:szCs w:val="18"/>
                <w:lang w:val="de-DE"/>
              </w:rPr>
            </w:pPr>
            <w:r w:rsidRPr="003874D3">
              <w:rPr>
                <w:rFonts w:cs="Lucida Sans Unicode"/>
                <w:sz w:val="18"/>
                <w:szCs w:val="18"/>
                <w:lang w:val="de-DE"/>
              </w:rPr>
              <w:t> </w:t>
            </w:r>
          </w:p>
        </w:tc>
      </w:tr>
      <w:tr w:rsidR="003874D3" w:rsidRPr="003874D3" w:rsidTr="003874D3">
        <w:trPr>
          <w:trHeight w:val="231"/>
        </w:trPr>
        <w:tc>
          <w:tcPr>
            <w:tcW w:w="3977"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outlineLvl w:val="0"/>
              <w:rPr>
                <w:rFonts w:cs="Lucida Sans Unicode"/>
                <w:b/>
                <w:bCs/>
                <w:sz w:val="18"/>
                <w:szCs w:val="18"/>
                <w:lang w:val="de-DE"/>
              </w:rPr>
            </w:pPr>
            <w:r w:rsidRPr="003874D3">
              <w:rPr>
                <w:rFonts w:cs="Lucida Sans Unicode"/>
                <w:b/>
                <w:bCs/>
                <w:sz w:val="18"/>
                <w:szCs w:val="18"/>
                <w:lang w:val="de-DE"/>
              </w:rPr>
              <w:t>Group</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11,343</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10,810</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5%</w:t>
            </w:r>
          </w:p>
        </w:tc>
        <w:tc>
          <w:tcPr>
            <w:tcW w:w="96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2,114</w:t>
            </w:r>
          </w:p>
        </w:tc>
        <w:tc>
          <w:tcPr>
            <w:tcW w:w="96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1,874</w:t>
            </w:r>
          </w:p>
        </w:tc>
        <w:tc>
          <w:tcPr>
            <w:tcW w:w="967"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outlineLvl w:val="0"/>
              <w:rPr>
                <w:rFonts w:cs="Lucida Sans Unicode"/>
                <w:sz w:val="18"/>
                <w:szCs w:val="18"/>
                <w:lang w:val="de-DE"/>
              </w:rPr>
            </w:pPr>
            <w:r w:rsidRPr="003874D3">
              <w:rPr>
                <w:rFonts w:cs="Lucida Sans Unicode"/>
                <w:sz w:val="18"/>
                <w:szCs w:val="18"/>
                <w:lang w:val="de-DE"/>
              </w:rPr>
              <w:t>13%</w:t>
            </w:r>
          </w:p>
        </w:tc>
      </w:tr>
      <w:tr w:rsidR="003874D3" w:rsidRPr="003874D3" w:rsidTr="003874D3">
        <w:trPr>
          <w:trHeight w:val="218"/>
        </w:trPr>
        <w:tc>
          <w:tcPr>
            <w:tcW w:w="3977"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outlineLvl w:val="0"/>
              <w:rPr>
                <w:rFonts w:cs="Lucida Sans Unicode"/>
                <w:sz w:val="16"/>
                <w:szCs w:val="16"/>
                <w:lang w:val="de-DE"/>
              </w:rPr>
            </w:pPr>
            <w:r w:rsidRPr="003874D3">
              <w:rPr>
                <w:rFonts w:cs="Lucida Sans Unicode"/>
                <w:sz w:val="16"/>
                <w:szCs w:val="16"/>
                <w:lang w:val="de-DE"/>
              </w:rPr>
              <w:t>Prior-</w:t>
            </w:r>
            <w:proofErr w:type="spellStart"/>
            <w:r w:rsidRPr="003874D3">
              <w:rPr>
                <w:rFonts w:cs="Lucida Sans Unicode"/>
                <w:sz w:val="16"/>
                <w:szCs w:val="16"/>
                <w:lang w:val="de-DE"/>
              </w:rPr>
              <w:t>year</w:t>
            </w:r>
            <w:proofErr w:type="spellEnd"/>
            <w:r w:rsidRPr="003874D3">
              <w:rPr>
                <w:rFonts w:cs="Lucida Sans Unicode"/>
                <w:sz w:val="16"/>
                <w:szCs w:val="16"/>
                <w:lang w:val="de-DE"/>
              </w:rPr>
              <w:t xml:space="preserve"> </w:t>
            </w:r>
            <w:proofErr w:type="spellStart"/>
            <w:r w:rsidRPr="003874D3">
              <w:rPr>
                <w:rFonts w:cs="Lucida Sans Unicode"/>
                <w:sz w:val="16"/>
                <w:szCs w:val="16"/>
                <w:lang w:val="de-DE"/>
              </w:rPr>
              <w:t>figures</w:t>
            </w:r>
            <w:proofErr w:type="spellEnd"/>
            <w:r w:rsidRPr="003874D3">
              <w:rPr>
                <w:rFonts w:cs="Lucida Sans Unicode"/>
                <w:sz w:val="16"/>
                <w:szCs w:val="16"/>
                <w:lang w:val="de-DE"/>
              </w:rPr>
              <w:t xml:space="preserve"> </w:t>
            </w:r>
            <w:proofErr w:type="spellStart"/>
            <w:r w:rsidRPr="003874D3">
              <w:rPr>
                <w:rFonts w:cs="Lucida Sans Unicode"/>
                <w:sz w:val="16"/>
                <w:szCs w:val="16"/>
                <w:lang w:val="de-DE"/>
              </w:rPr>
              <w:t>restated</w:t>
            </w:r>
            <w:proofErr w:type="spellEnd"/>
            <w:r w:rsidRPr="003874D3">
              <w:rPr>
                <w:rFonts w:cs="Lucida Sans Unicode"/>
                <w:sz w:val="16"/>
                <w:szCs w:val="16"/>
                <w:lang w:val="de-DE"/>
              </w:rPr>
              <w:t>.</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outlineLvl w:val="0"/>
              <w:rPr>
                <w:rFonts w:cs="Lucida Sans Unicode"/>
                <w:sz w:val="16"/>
                <w:szCs w:val="16"/>
                <w:lang w:val="de-DE"/>
              </w:rPr>
            </w:pPr>
            <w:r w:rsidRPr="003874D3">
              <w:rPr>
                <w:rFonts w:cs="Lucida Sans Unicode"/>
                <w:sz w:val="16"/>
                <w:szCs w:val="16"/>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outlineLvl w:val="0"/>
              <w:rPr>
                <w:rFonts w:cs="Lucida Sans Unicode"/>
                <w:sz w:val="16"/>
                <w:szCs w:val="16"/>
                <w:lang w:val="de-DE"/>
              </w:rPr>
            </w:pPr>
            <w:r w:rsidRPr="003874D3">
              <w:rPr>
                <w:rFonts w:cs="Lucida Sans Unicode"/>
                <w:sz w:val="16"/>
                <w:szCs w:val="16"/>
                <w:lang w:val="de-DE"/>
              </w:rPr>
              <w:t> </w:t>
            </w:r>
          </w:p>
        </w:tc>
        <w:tc>
          <w:tcPr>
            <w:tcW w:w="967"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outlineLvl w:val="0"/>
              <w:rPr>
                <w:rFonts w:cs="Lucida Sans Unicode"/>
                <w:sz w:val="16"/>
                <w:szCs w:val="16"/>
                <w:lang w:val="de-DE"/>
              </w:rPr>
            </w:pPr>
            <w:r w:rsidRPr="003874D3">
              <w:rPr>
                <w:rFonts w:cs="Lucida Sans Unicode"/>
                <w:sz w:val="16"/>
                <w:szCs w:val="16"/>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outlineLvl w:val="0"/>
              <w:rPr>
                <w:rFonts w:cs="Lucida Sans Unicode"/>
                <w:sz w:val="16"/>
                <w:szCs w:val="16"/>
                <w:lang w:val="de-DE"/>
              </w:rPr>
            </w:pPr>
            <w:r w:rsidRPr="003874D3">
              <w:rPr>
                <w:rFonts w:cs="Lucida Sans Unicode"/>
                <w:sz w:val="16"/>
                <w:szCs w:val="16"/>
                <w:lang w:val="de-DE"/>
              </w:rPr>
              <w:t> </w:t>
            </w:r>
          </w:p>
        </w:tc>
        <w:tc>
          <w:tcPr>
            <w:tcW w:w="96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outlineLvl w:val="0"/>
              <w:rPr>
                <w:rFonts w:cs="Lucida Sans Unicode"/>
                <w:sz w:val="16"/>
                <w:szCs w:val="16"/>
                <w:lang w:val="de-DE"/>
              </w:rPr>
            </w:pPr>
            <w:r w:rsidRPr="003874D3">
              <w:rPr>
                <w:rFonts w:cs="Lucida Sans Unicode"/>
                <w:sz w:val="16"/>
                <w:szCs w:val="16"/>
                <w:lang w:val="de-DE"/>
              </w:rPr>
              <w:t> </w:t>
            </w:r>
          </w:p>
        </w:tc>
        <w:tc>
          <w:tcPr>
            <w:tcW w:w="967"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outlineLvl w:val="0"/>
              <w:rPr>
                <w:rFonts w:cs="Lucida Sans Unicode"/>
                <w:sz w:val="16"/>
                <w:szCs w:val="16"/>
                <w:lang w:val="de-DE"/>
              </w:rPr>
            </w:pPr>
            <w:r w:rsidRPr="003874D3">
              <w:rPr>
                <w:rFonts w:cs="Lucida Sans Unicode"/>
                <w:sz w:val="16"/>
                <w:szCs w:val="16"/>
                <w:lang w:val="de-DE"/>
              </w:rPr>
              <w:t> </w:t>
            </w:r>
          </w:p>
        </w:tc>
      </w:tr>
    </w:tbl>
    <w:p w:rsidR="003874D3" w:rsidRDefault="003874D3" w:rsidP="00EE1117">
      <w:pPr>
        <w:spacing w:line="240" w:lineRule="auto"/>
      </w:pPr>
    </w:p>
    <w:tbl>
      <w:tblPr>
        <w:tblW w:w="8288" w:type="dxa"/>
        <w:tblCellMar>
          <w:left w:w="70" w:type="dxa"/>
          <w:right w:w="70" w:type="dxa"/>
        </w:tblCellMar>
        <w:tblLook w:val="04A0" w:firstRow="1" w:lastRow="0" w:firstColumn="1" w:lastColumn="0" w:noHBand="0" w:noVBand="1"/>
      </w:tblPr>
      <w:tblGrid>
        <w:gridCol w:w="5576"/>
        <w:gridCol w:w="1356"/>
        <w:gridCol w:w="1356"/>
      </w:tblGrid>
      <w:tr w:rsidR="003874D3" w:rsidRPr="003874D3" w:rsidTr="003874D3">
        <w:trPr>
          <w:trHeight w:val="270"/>
        </w:trPr>
        <w:tc>
          <w:tcPr>
            <w:tcW w:w="557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b/>
                <w:bCs/>
                <w:sz w:val="18"/>
                <w:szCs w:val="18"/>
                <w:lang w:val="de-DE"/>
              </w:rPr>
            </w:pPr>
            <w:proofErr w:type="spellStart"/>
            <w:r w:rsidRPr="003874D3">
              <w:rPr>
                <w:rFonts w:cs="Lucida Sans Unicode"/>
                <w:b/>
                <w:bCs/>
                <w:sz w:val="18"/>
                <w:szCs w:val="18"/>
                <w:lang w:val="de-DE"/>
              </w:rPr>
              <w:lastRenderedPageBreak/>
              <w:t>Employees</w:t>
            </w:r>
            <w:proofErr w:type="spellEnd"/>
            <w:r w:rsidRPr="003874D3">
              <w:rPr>
                <w:rFonts w:cs="Lucida Sans Unicode"/>
                <w:b/>
                <w:bCs/>
                <w:sz w:val="18"/>
                <w:szCs w:val="18"/>
                <w:lang w:val="de-DE"/>
              </w:rPr>
              <w:t xml:space="preserve"> by </w:t>
            </w:r>
            <w:proofErr w:type="spellStart"/>
            <w:r w:rsidRPr="003874D3">
              <w:rPr>
                <w:rFonts w:cs="Lucida Sans Unicode"/>
                <w:b/>
                <w:bCs/>
                <w:sz w:val="18"/>
                <w:szCs w:val="18"/>
                <w:lang w:val="de-DE"/>
              </w:rPr>
              <w:t>segment</w:t>
            </w:r>
            <w:proofErr w:type="spellEnd"/>
          </w:p>
        </w:tc>
        <w:tc>
          <w:tcPr>
            <w:tcW w:w="135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c>
          <w:tcPr>
            <w:tcW w:w="135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16"/>
                <w:szCs w:val="16"/>
                <w:lang w:val="de-DE"/>
              </w:rPr>
            </w:pPr>
            <w:r w:rsidRPr="003874D3">
              <w:rPr>
                <w:rFonts w:cs="Lucida Sans Unicode"/>
                <w:sz w:val="16"/>
                <w:szCs w:val="16"/>
                <w:lang w:val="de-DE"/>
              </w:rPr>
              <w:t> </w:t>
            </w:r>
          </w:p>
        </w:tc>
      </w:tr>
      <w:tr w:rsidR="003874D3" w:rsidRPr="003874D3" w:rsidTr="003874D3">
        <w:trPr>
          <w:trHeight w:val="255"/>
        </w:trPr>
        <w:tc>
          <w:tcPr>
            <w:tcW w:w="557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de-DE"/>
              </w:rPr>
            </w:pPr>
            <w:r w:rsidRPr="003874D3">
              <w:rPr>
                <w:rFonts w:cs="Lucida Sans Unicode"/>
                <w:sz w:val="2"/>
                <w:szCs w:val="2"/>
                <w:lang w:val="de-DE"/>
              </w:rPr>
              <w:t> </w:t>
            </w:r>
          </w:p>
        </w:tc>
        <w:tc>
          <w:tcPr>
            <w:tcW w:w="135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de-DE"/>
              </w:rPr>
            </w:pPr>
            <w:r w:rsidRPr="003874D3">
              <w:rPr>
                <w:rFonts w:cs="Lucida Sans Unicode"/>
                <w:sz w:val="2"/>
                <w:szCs w:val="2"/>
                <w:lang w:val="de-DE"/>
              </w:rPr>
              <w:t> </w:t>
            </w:r>
          </w:p>
        </w:tc>
        <w:tc>
          <w:tcPr>
            <w:tcW w:w="1356" w:type="dxa"/>
            <w:tcBorders>
              <w:top w:val="nil"/>
              <w:left w:val="nil"/>
              <w:bottom w:val="nil"/>
              <w:right w:val="nil"/>
            </w:tcBorders>
            <w:shd w:val="clear" w:color="000000" w:fill="FFFFFF"/>
            <w:noWrap/>
            <w:vAlign w:val="bottom"/>
            <w:hideMark/>
          </w:tcPr>
          <w:p w:rsidR="003874D3" w:rsidRPr="003874D3" w:rsidRDefault="003874D3" w:rsidP="003874D3">
            <w:pPr>
              <w:spacing w:line="240" w:lineRule="auto"/>
              <w:rPr>
                <w:rFonts w:cs="Lucida Sans Unicode"/>
                <w:sz w:val="2"/>
                <w:szCs w:val="2"/>
                <w:lang w:val="de-DE"/>
              </w:rPr>
            </w:pPr>
            <w:r w:rsidRPr="003874D3">
              <w:rPr>
                <w:rFonts w:cs="Lucida Sans Unicode"/>
                <w:sz w:val="2"/>
                <w:szCs w:val="2"/>
                <w:lang w:val="de-DE"/>
              </w:rPr>
              <w:t> </w:t>
            </w:r>
          </w:p>
        </w:tc>
      </w:tr>
      <w:tr w:rsidR="003874D3" w:rsidRPr="003874D3" w:rsidTr="003874D3">
        <w:trPr>
          <w:trHeight w:val="270"/>
        </w:trPr>
        <w:tc>
          <w:tcPr>
            <w:tcW w:w="55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w:t>
            </w:r>
          </w:p>
        </w:tc>
        <w:tc>
          <w:tcPr>
            <w:tcW w:w="1356" w:type="dxa"/>
            <w:tcBorders>
              <w:top w:val="single" w:sz="4" w:space="0" w:color="auto"/>
              <w:left w:val="nil"/>
              <w:bottom w:val="single" w:sz="4" w:space="0" w:color="auto"/>
              <w:right w:val="single" w:sz="4" w:space="0" w:color="auto"/>
            </w:tcBorders>
            <w:shd w:val="clear" w:color="000000" w:fill="EAE6DE"/>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30.09.2018</w:t>
            </w:r>
          </w:p>
        </w:tc>
        <w:tc>
          <w:tcPr>
            <w:tcW w:w="1356" w:type="dxa"/>
            <w:tcBorders>
              <w:top w:val="single" w:sz="4" w:space="0" w:color="auto"/>
              <w:left w:val="nil"/>
              <w:bottom w:val="single" w:sz="4" w:space="0" w:color="auto"/>
              <w:right w:val="single" w:sz="4" w:space="0" w:color="auto"/>
            </w:tcBorders>
            <w:shd w:val="clear" w:color="000000" w:fill="FFFFFF"/>
            <w:vAlign w:val="center"/>
            <w:hideMark/>
          </w:tcPr>
          <w:p w:rsidR="003874D3" w:rsidRPr="003874D3" w:rsidRDefault="003874D3" w:rsidP="003874D3">
            <w:pPr>
              <w:spacing w:line="240" w:lineRule="auto"/>
              <w:jc w:val="center"/>
              <w:rPr>
                <w:rFonts w:cs="Lucida Sans Unicode"/>
                <w:b/>
                <w:bCs/>
                <w:sz w:val="18"/>
                <w:szCs w:val="18"/>
                <w:lang w:val="de-DE"/>
              </w:rPr>
            </w:pPr>
            <w:r w:rsidRPr="003874D3">
              <w:rPr>
                <w:rFonts w:cs="Lucida Sans Unicode"/>
                <w:b/>
                <w:bCs/>
                <w:sz w:val="18"/>
                <w:szCs w:val="18"/>
                <w:lang w:val="de-DE"/>
              </w:rPr>
              <w:t>31.12.2017</w:t>
            </w:r>
          </w:p>
        </w:tc>
      </w:tr>
      <w:tr w:rsidR="003874D3" w:rsidRPr="003874D3" w:rsidTr="003874D3">
        <w:trPr>
          <w:trHeight w:val="270"/>
        </w:trPr>
        <w:tc>
          <w:tcPr>
            <w:tcW w:w="5576"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Nutrition &amp; Care</w:t>
            </w:r>
          </w:p>
        </w:tc>
        <w:tc>
          <w:tcPr>
            <w:tcW w:w="135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8,237</w:t>
            </w:r>
          </w:p>
        </w:tc>
        <w:tc>
          <w:tcPr>
            <w:tcW w:w="135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8,257</w:t>
            </w:r>
          </w:p>
        </w:tc>
      </w:tr>
      <w:tr w:rsidR="003874D3" w:rsidRPr="003874D3" w:rsidTr="003874D3">
        <w:trPr>
          <w:trHeight w:val="270"/>
        </w:trPr>
        <w:tc>
          <w:tcPr>
            <w:tcW w:w="5576"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Resource Efficiency</w:t>
            </w:r>
          </w:p>
        </w:tc>
        <w:tc>
          <w:tcPr>
            <w:tcW w:w="135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10,318</w:t>
            </w:r>
          </w:p>
        </w:tc>
        <w:tc>
          <w:tcPr>
            <w:tcW w:w="135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10,260</w:t>
            </w:r>
          </w:p>
        </w:tc>
      </w:tr>
      <w:tr w:rsidR="003874D3" w:rsidRPr="003874D3" w:rsidTr="003874D3">
        <w:trPr>
          <w:trHeight w:val="270"/>
        </w:trPr>
        <w:tc>
          <w:tcPr>
            <w:tcW w:w="5576"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Performance Materials</w:t>
            </w:r>
          </w:p>
        </w:tc>
        <w:tc>
          <w:tcPr>
            <w:tcW w:w="135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4,264</w:t>
            </w:r>
          </w:p>
        </w:tc>
        <w:tc>
          <w:tcPr>
            <w:tcW w:w="135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4,364</w:t>
            </w:r>
          </w:p>
        </w:tc>
      </w:tr>
      <w:tr w:rsidR="003874D3" w:rsidRPr="003874D3" w:rsidTr="003874D3">
        <w:trPr>
          <w:trHeight w:val="270"/>
        </w:trPr>
        <w:tc>
          <w:tcPr>
            <w:tcW w:w="5576"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Services</w:t>
            </w:r>
          </w:p>
        </w:tc>
        <w:tc>
          <w:tcPr>
            <w:tcW w:w="135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12,979</w:t>
            </w:r>
          </w:p>
        </w:tc>
        <w:tc>
          <w:tcPr>
            <w:tcW w:w="135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13,021</w:t>
            </w:r>
          </w:p>
        </w:tc>
      </w:tr>
      <w:tr w:rsidR="003874D3" w:rsidRPr="003874D3" w:rsidTr="003874D3">
        <w:trPr>
          <w:trHeight w:val="270"/>
        </w:trPr>
        <w:tc>
          <w:tcPr>
            <w:tcW w:w="5576"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sz w:val="18"/>
                <w:szCs w:val="18"/>
                <w:lang w:val="de-DE"/>
              </w:rPr>
            </w:pPr>
            <w:r w:rsidRPr="003874D3">
              <w:rPr>
                <w:rFonts w:cs="Lucida Sans Unicode"/>
                <w:sz w:val="18"/>
                <w:szCs w:val="18"/>
                <w:lang w:val="de-DE"/>
              </w:rPr>
              <w:t xml:space="preserve">Other </w:t>
            </w:r>
            <w:proofErr w:type="spellStart"/>
            <w:r w:rsidRPr="003874D3">
              <w:rPr>
                <w:rFonts w:cs="Lucida Sans Unicode"/>
                <w:sz w:val="18"/>
                <w:szCs w:val="18"/>
                <w:lang w:val="de-DE"/>
              </w:rPr>
              <w:t>operations</w:t>
            </w:r>
            <w:proofErr w:type="spellEnd"/>
          </w:p>
        </w:tc>
        <w:tc>
          <w:tcPr>
            <w:tcW w:w="135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518</w:t>
            </w:r>
          </w:p>
        </w:tc>
        <w:tc>
          <w:tcPr>
            <w:tcW w:w="135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621</w:t>
            </w:r>
          </w:p>
        </w:tc>
      </w:tr>
      <w:tr w:rsidR="003874D3" w:rsidRPr="003874D3" w:rsidTr="003874D3">
        <w:trPr>
          <w:trHeight w:val="270"/>
        </w:trPr>
        <w:tc>
          <w:tcPr>
            <w:tcW w:w="5576" w:type="dxa"/>
            <w:tcBorders>
              <w:top w:val="nil"/>
              <w:left w:val="single" w:sz="4" w:space="0" w:color="auto"/>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rPr>
                <w:rFonts w:cs="Lucida Sans Unicode"/>
                <w:b/>
                <w:bCs/>
                <w:sz w:val="18"/>
                <w:szCs w:val="18"/>
                <w:lang w:val="de-DE"/>
              </w:rPr>
            </w:pPr>
            <w:r w:rsidRPr="003874D3">
              <w:rPr>
                <w:rFonts w:cs="Lucida Sans Unicode"/>
                <w:b/>
                <w:bCs/>
                <w:sz w:val="18"/>
                <w:szCs w:val="18"/>
                <w:lang w:val="de-DE"/>
              </w:rPr>
              <w:t>Evonik</w:t>
            </w:r>
          </w:p>
        </w:tc>
        <w:tc>
          <w:tcPr>
            <w:tcW w:w="1356" w:type="dxa"/>
            <w:tcBorders>
              <w:top w:val="nil"/>
              <w:left w:val="nil"/>
              <w:bottom w:val="single" w:sz="4" w:space="0" w:color="auto"/>
              <w:right w:val="single" w:sz="4" w:space="0" w:color="auto"/>
            </w:tcBorders>
            <w:shd w:val="clear" w:color="000000" w:fill="EAE6DE"/>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36,316</w:t>
            </w:r>
          </w:p>
        </w:tc>
        <w:tc>
          <w:tcPr>
            <w:tcW w:w="1356" w:type="dxa"/>
            <w:tcBorders>
              <w:top w:val="nil"/>
              <w:left w:val="nil"/>
              <w:bottom w:val="single" w:sz="4" w:space="0" w:color="auto"/>
              <w:right w:val="single" w:sz="4" w:space="0" w:color="auto"/>
            </w:tcBorders>
            <w:shd w:val="clear" w:color="000000" w:fill="FFFFFF"/>
            <w:noWrap/>
            <w:vAlign w:val="bottom"/>
            <w:hideMark/>
          </w:tcPr>
          <w:p w:rsidR="003874D3" w:rsidRPr="003874D3" w:rsidRDefault="003874D3" w:rsidP="003874D3">
            <w:pPr>
              <w:spacing w:line="240" w:lineRule="auto"/>
              <w:jc w:val="right"/>
              <w:rPr>
                <w:rFonts w:cs="Lucida Sans Unicode"/>
                <w:sz w:val="18"/>
                <w:szCs w:val="18"/>
                <w:lang w:val="de-DE"/>
              </w:rPr>
            </w:pPr>
            <w:r w:rsidRPr="003874D3">
              <w:rPr>
                <w:rFonts w:cs="Lucida Sans Unicode"/>
                <w:sz w:val="18"/>
                <w:szCs w:val="18"/>
                <w:lang w:val="de-DE"/>
              </w:rPr>
              <w:t>36,523</w:t>
            </w:r>
          </w:p>
        </w:tc>
      </w:tr>
    </w:tbl>
    <w:p w:rsidR="003874D3" w:rsidRDefault="003874D3" w:rsidP="00EE1117">
      <w:pPr>
        <w:spacing w:line="240" w:lineRule="auto"/>
      </w:pPr>
    </w:p>
    <w:p w:rsidR="003874D3" w:rsidRDefault="003874D3" w:rsidP="00EE1117">
      <w:pPr>
        <w:spacing w:line="240" w:lineRule="auto"/>
      </w:pPr>
    </w:p>
    <w:p w:rsidR="003874D3" w:rsidRDefault="003874D3" w:rsidP="00EE1117">
      <w:pPr>
        <w:spacing w:line="240" w:lineRule="auto"/>
      </w:pPr>
    </w:p>
    <w:p w:rsidR="003874D3" w:rsidRDefault="003874D3" w:rsidP="00EE1117">
      <w:pPr>
        <w:spacing w:line="240" w:lineRule="auto"/>
      </w:pPr>
    </w:p>
    <w:p w:rsidR="00A525CB" w:rsidRPr="00EE1117" w:rsidRDefault="00A525CB" w:rsidP="00EE1117">
      <w:pPr>
        <w:spacing w:line="240" w:lineRule="auto"/>
      </w:pPr>
      <w:r>
        <w:rPr>
          <w:b/>
          <w:bCs/>
          <w:color w:val="000000"/>
          <w:sz w:val="18"/>
          <w:szCs w:val="18"/>
        </w:rPr>
        <w:t xml:space="preserve">Company information </w:t>
      </w:r>
    </w:p>
    <w:p w:rsidR="00A525CB" w:rsidRDefault="00A525CB" w:rsidP="00A525CB">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525CB" w:rsidRDefault="00A525CB" w:rsidP="00A525CB">
      <w:pPr>
        <w:spacing w:line="220" w:lineRule="exact"/>
        <w:rPr>
          <w:sz w:val="18"/>
          <w:szCs w:val="18"/>
        </w:rPr>
      </w:pPr>
    </w:p>
    <w:p w:rsidR="00A525CB" w:rsidRDefault="00A525CB" w:rsidP="00A525CB">
      <w:pPr>
        <w:spacing w:line="220" w:lineRule="exact"/>
        <w:rPr>
          <w:sz w:val="18"/>
          <w:szCs w:val="18"/>
        </w:rPr>
      </w:pPr>
    </w:p>
    <w:p w:rsidR="00A525CB" w:rsidRDefault="00A525CB" w:rsidP="00A525CB">
      <w:pPr>
        <w:spacing w:line="220" w:lineRule="exact"/>
        <w:outlineLvl w:val="0"/>
        <w:rPr>
          <w:rFonts w:cs="Lucida Sans Unicode"/>
          <w:b/>
          <w:bCs/>
          <w:color w:val="000000"/>
          <w:sz w:val="18"/>
          <w:szCs w:val="18"/>
        </w:rPr>
      </w:pPr>
      <w:r>
        <w:rPr>
          <w:b/>
          <w:bCs/>
          <w:color w:val="000000"/>
          <w:sz w:val="18"/>
          <w:szCs w:val="18"/>
        </w:rPr>
        <w:t>Disclaimer</w:t>
      </w:r>
    </w:p>
    <w:p w:rsidR="004F1918" w:rsidRPr="00A525CB" w:rsidRDefault="00A525CB" w:rsidP="004F1918">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EC7" w:rsidRDefault="00765EC7" w:rsidP="00FD1184">
      <w:r>
        <w:separator/>
      </w:r>
    </w:p>
  </w:endnote>
  <w:endnote w:type="continuationSeparator" w:id="0">
    <w:p w:rsidR="00765EC7" w:rsidRDefault="00765EC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C7" w:rsidRDefault="00765EC7">
    <w:pPr>
      <w:pStyle w:val="Fuzeile"/>
    </w:pPr>
  </w:p>
  <w:p w:rsidR="00765EC7" w:rsidRDefault="00765EC7">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6B4203">
      <w:rPr>
        <w:rStyle w:val="Seitenzahl"/>
        <w:noProof/>
      </w:rPr>
      <w:t>4</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6B4203">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C7" w:rsidRDefault="00765EC7" w:rsidP="00316EC0">
    <w:pPr>
      <w:pStyle w:val="Fuzeile"/>
    </w:pPr>
  </w:p>
  <w:p w:rsidR="00765EC7" w:rsidRPr="005225EC" w:rsidRDefault="00765EC7"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B4203">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B4203">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EC7" w:rsidRDefault="00765EC7" w:rsidP="00FD1184">
      <w:r>
        <w:separator/>
      </w:r>
    </w:p>
  </w:footnote>
  <w:footnote w:type="continuationSeparator" w:id="0">
    <w:p w:rsidR="00765EC7" w:rsidRDefault="00765EC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C7" w:rsidRPr="003F4CD0" w:rsidRDefault="00765EC7"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C7" w:rsidRPr="003F4CD0" w:rsidRDefault="00765EC7">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6669"/>
    <w:rsid w:val="00007459"/>
    <w:rsid w:val="00013722"/>
    <w:rsid w:val="00020EC3"/>
    <w:rsid w:val="00023B97"/>
    <w:rsid w:val="00035360"/>
    <w:rsid w:val="000400C5"/>
    <w:rsid w:val="00043E2B"/>
    <w:rsid w:val="00046C72"/>
    <w:rsid w:val="0004714F"/>
    <w:rsid w:val="00047E57"/>
    <w:rsid w:val="00084555"/>
    <w:rsid w:val="00086556"/>
    <w:rsid w:val="0008667F"/>
    <w:rsid w:val="00092F83"/>
    <w:rsid w:val="0009406B"/>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15AA7"/>
    <w:rsid w:val="00216ED7"/>
    <w:rsid w:val="00221C32"/>
    <w:rsid w:val="00241B78"/>
    <w:rsid w:val="002427AA"/>
    <w:rsid w:val="0024351A"/>
    <w:rsid w:val="0024351E"/>
    <w:rsid w:val="0027659F"/>
    <w:rsid w:val="00284FDA"/>
    <w:rsid w:val="00287090"/>
    <w:rsid w:val="00290F07"/>
    <w:rsid w:val="002A3233"/>
    <w:rsid w:val="002B1589"/>
    <w:rsid w:val="002B6293"/>
    <w:rsid w:val="002B645E"/>
    <w:rsid w:val="002B79F1"/>
    <w:rsid w:val="002C10C6"/>
    <w:rsid w:val="002C12A0"/>
    <w:rsid w:val="002D206A"/>
    <w:rsid w:val="002D2996"/>
    <w:rsid w:val="002D5F0C"/>
    <w:rsid w:val="002F364E"/>
    <w:rsid w:val="002F49B3"/>
    <w:rsid w:val="00301998"/>
    <w:rsid w:val="003067D4"/>
    <w:rsid w:val="0031020E"/>
    <w:rsid w:val="00310BD6"/>
    <w:rsid w:val="00316EC0"/>
    <w:rsid w:val="00341D52"/>
    <w:rsid w:val="00345B60"/>
    <w:rsid w:val="003508E4"/>
    <w:rsid w:val="00364D2E"/>
    <w:rsid w:val="00367974"/>
    <w:rsid w:val="00380845"/>
    <w:rsid w:val="00384C52"/>
    <w:rsid w:val="003874D3"/>
    <w:rsid w:val="003A023D"/>
    <w:rsid w:val="003C0198"/>
    <w:rsid w:val="003D6E84"/>
    <w:rsid w:val="003E4D56"/>
    <w:rsid w:val="003F4CD0"/>
    <w:rsid w:val="004016F5"/>
    <w:rsid w:val="004146D3"/>
    <w:rsid w:val="00417FFA"/>
    <w:rsid w:val="00422338"/>
    <w:rsid w:val="00424F52"/>
    <w:rsid w:val="00461BF2"/>
    <w:rsid w:val="00464856"/>
    <w:rsid w:val="00473AED"/>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47FCB"/>
    <w:rsid w:val="00552ADA"/>
    <w:rsid w:val="005562CD"/>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1534A"/>
    <w:rsid w:val="00616D3A"/>
    <w:rsid w:val="0063339C"/>
    <w:rsid w:val="00635F70"/>
    <w:rsid w:val="00645F2F"/>
    <w:rsid w:val="00652A75"/>
    <w:rsid w:val="006651E2"/>
    <w:rsid w:val="00674A90"/>
    <w:rsid w:val="00681567"/>
    <w:rsid w:val="006A581A"/>
    <w:rsid w:val="006A5A6B"/>
    <w:rsid w:val="006B4203"/>
    <w:rsid w:val="006C6EA8"/>
    <w:rsid w:val="006C7005"/>
    <w:rsid w:val="006D2C77"/>
    <w:rsid w:val="006D601A"/>
    <w:rsid w:val="006E2F15"/>
    <w:rsid w:val="006E434B"/>
    <w:rsid w:val="006F3AB9"/>
    <w:rsid w:val="006F5476"/>
    <w:rsid w:val="00717EDA"/>
    <w:rsid w:val="00723024"/>
    <w:rsid w:val="0072366D"/>
    <w:rsid w:val="00723778"/>
    <w:rsid w:val="00731495"/>
    <w:rsid w:val="00744FA6"/>
    <w:rsid w:val="00763004"/>
    <w:rsid w:val="00765EC7"/>
    <w:rsid w:val="00770879"/>
    <w:rsid w:val="00775D2E"/>
    <w:rsid w:val="007767AB"/>
    <w:rsid w:val="00784360"/>
    <w:rsid w:val="007A2C47"/>
    <w:rsid w:val="007B41C0"/>
    <w:rsid w:val="007C1E2C"/>
    <w:rsid w:val="007C2F92"/>
    <w:rsid w:val="007C437C"/>
    <w:rsid w:val="007C479F"/>
    <w:rsid w:val="007C4857"/>
    <w:rsid w:val="007E025C"/>
    <w:rsid w:val="007E7C76"/>
    <w:rsid w:val="007F1506"/>
    <w:rsid w:val="007F200A"/>
    <w:rsid w:val="007F3646"/>
    <w:rsid w:val="007F59C2"/>
    <w:rsid w:val="007F7820"/>
    <w:rsid w:val="00800AA9"/>
    <w:rsid w:val="0081515B"/>
    <w:rsid w:val="00815509"/>
    <w:rsid w:val="00816BD2"/>
    <w:rsid w:val="00820884"/>
    <w:rsid w:val="00825D88"/>
    <w:rsid w:val="008352AA"/>
    <w:rsid w:val="00836B9A"/>
    <w:rsid w:val="00840CD4"/>
    <w:rsid w:val="0084389E"/>
    <w:rsid w:val="00860A6B"/>
    <w:rsid w:val="0088508F"/>
    <w:rsid w:val="008853B6"/>
    <w:rsid w:val="00885442"/>
    <w:rsid w:val="00897078"/>
    <w:rsid w:val="008A0D35"/>
    <w:rsid w:val="008A2AE8"/>
    <w:rsid w:val="008B03E0"/>
    <w:rsid w:val="008B7AFE"/>
    <w:rsid w:val="008C00D3"/>
    <w:rsid w:val="008C52EF"/>
    <w:rsid w:val="008E7921"/>
    <w:rsid w:val="008F0AEA"/>
    <w:rsid w:val="008F468F"/>
    <w:rsid w:val="008F49C5"/>
    <w:rsid w:val="0090621C"/>
    <w:rsid w:val="00935881"/>
    <w:rsid w:val="009454A0"/>
    <w:rsid w:val="00954060"/>
    <w:rsid w:val="009560C1"/>
    <w:rsid w:val="00965F39"/>
    <w:rsid w:val="00966112"/>
    <w:rsid w:val="00971345"/>
    <w:rsid w:val="00972915"/>
    <w:rsid w:val="009752DC"/>
    <w:rsid w:val="0097547F"/>
    <w:rsid w:val="00977987"/>
    <w:rsid w:val="009814C9"/>
    <w:rsid w:val="0098727A"/>
    <w:rsid w:val="009A16A5"/>
    <w:rsid w:val="009A6066"/>
    <w:rsid w:val="009A7CDC"/>
    <w:rsid w:val="009C2B65"/>
    <w:rsid w:val="009C40DA"/>
    <w:rsid w:val="009C5F4B"/>
    <w:rsid w:val="009E4892"/>
    <w:rsid w:val="009F6AA2"/>
    <w:rsid w:val="00A16154"/>
    <w:rsid w:val="00A22ECC"/>
    <w:rsid w:val="00A30BD0"/>
    <w:rsid w:val="00A333FB"/>
    <w:rsid w:val="00A34137"/>
    <w:rsid w:val="00A3644E"/>
    <w:rsid w:val="00A375B5"/>
    <w:rsid w:val="00A41C88"/>
    <w:rsid w:val="00A525CB"/>
    <w:rsid w:val="00A60CE5"/>
    <w:rsid w:val="00A70C5E"/>
    <w:rsid w:val="00A712B8"/>
    <w:rsid w:val="00A804CC"/>
    <w:rsid w:val="00A81F2D"/>
    <w:rsid w:val="00A97CD7"/>
    <w:rsid w:val="00A97EAD"/>
    <w:rsid w:val="00AA15C6"/>
    <w:rsid w:val="00AA3795"/>
    <w:rsid w:val="00AB4986"/>
    <w:rsid w:val="00AE3848"/>
    <w:rsid w:val="00AF0606"/>
    <w:rsid w:val="00AF6529"/>
    <w:rsid w:val="00AF7D27"/>
    <w:rsid w:val="00B2025B"/>
    <w:rsid w:val="00B31D5A"/>
    <w:rsid w:val="00B5137F"/>
    <w:rsid w:val="00B56705"/>
    <w:rsid w:val="00B61AFA"/>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3EE6"/>
    <w:rsid w:val="00C242F2"/>
    <w:rsid w:val="00C251AD"/>
    <w:rsid w:val="00C26929"/>
    <w:rsid w:val="00C310A2"/>
    <w:rsid w:val="00C31302"/>
    <w:rsid w:val="00C33407"/>
    <w:rsid w:val="00C4228E"/>
    <w:rsid w:val="00C4300F"/>
    <w:rsid w:val="00C44564"/>
    <w:rsid w:val="00C60F15"/>
    <w:rsid w:val="00C929C3"/>
    <w:rsid w:val="00C930F0"/>
    <w:rsid w:val="00C94042"/>
    <w:rsid w:val="00CA2D91"/>
    <w:rsid w:val="00CA6F45"/>
    <w:rsid w:val="00CB3A53"/>
    <w:rsid w:val="00CC6AA4"/>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0F4C"/>
    <w:rsid w:val="00DC1267"/>
    <w:rsid w:val="00DC1494"/>
    <w:rsid w:val="00DE534A"/>
    <w:rsid w:val="00E012F7"/>
    <w:rsid w:val="00E05BB2"/>
    <w:rsid w:val="00E120CF"/>
    <w:rsid w:val="00E172A1"/>
    <w:rsid w:val="00E17C9E"/>
    <w:rsid w:val="00E17FDD"/>
    <w:rsid w:val="00E20127"/>
    <w:rsid w:val="00E252ED"/>
    <w:rsid w:val="00E363F0"/>
    <w:rsid w:val="00E430EA"/>
    <w:rsid w:val="00E44B62"/>
    <w:rsid w:val="00E46D1E"/>
    <w:rsid w:val="00E6418A"/>
    <w:rsid w:val="00E67EA2"/>
    <w:rsid w:val="00E86454"/>
    <w:rsid w:val="00E8737C"/>
    <w:rsid w:val="00E97290"/>
    <w:rsid w:val="00EA1828"/>
    <w:rsid w:val="00EA7E4E"/>
    <w:rsid w:val="00EB0C3E"/>
    <w:rsid w:val="00EC012C"/>
    <w:rsid w:val="00EC2C4D"/>
    <w:rsid w:val="00ED1DEA"/>
    <w:rsid w:val="00ED3808"/>
    <w:rsid w:val="00EE1117"/>
    <w:rsid w:val="00EE4A72"/>
    <w:rsid w:val="00EF7EB3"/>
    <w:rsid w:val="00F018DC"/>
    <w:rsid w:val="00F427C5"/>
    <w:rsid w:val="00F4487C"/>
    <w:rsid w:val="00F5602B"/>
    <w:rsid w:val="00F57153"/>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uiPriority w:val="99"/>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uiPriority w:val="99"/>
    <w:rsid w:val="00215AA7"/>
    <w:rPr>
      <w:rFonts w:ascii="Lucida Sans Unicode" w:hAnsi="Lucida Sans Unicode" w:cs="Arial"/>
      <w:b/>
      <w:bCs/>
      <w:kern w:val="28"/>
      <w:sz w:val="24"/>
      <w:szCs w:val="32"/>
      <w:lang w:val="en-GB"/>
    </w:rPr>
  </w:style>
  <w:style w:type="paragraph" w:customStyle="1" w:styleId="msolistparagraph0">
    <w:name w:val="msolistparagraph"/>
    <w:basedOn w:val="Standard"/>
    <w:rsid w:val="00215AA7"/>
    <w:pPr>
      <w:spacing w:after="160" w:line="252" w:lineRule="auto"/>
      <w:ind w:left="720"/>
      <w:contextualSpacing/>
    </w:pPr>
    <w:rPr>
      <w:rFonts w:eastAsia="Calibri" w:cs="Lucida Sans Unicode"/>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97295">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107432613">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6424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ias.Ruch@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9FD58DB9</Template>
  <TotalTime>0</TotalTime>
  <Pages>4</Pages>
  <Words>1034</Words>
  <Characters>5825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6846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6</cp:revision>
  <cp:lastPrinted>2018-10-31T10:05:00Z</cp:lastPrinted>
  <dcterms:created xsi:type="dcterms:W3CDTF">2018-10-30T18:37:00Z</dcterms:created>
  <dcterms:modified xsi:type="dcterms:W3CDTF">2018-11-02T10:47:00Z</dcterms:modified>
</cp:coreProperties>
</file>