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63" w:rsidRPr="00407B10" w:rsidRDefault="00F00F5D">
      <w:pPr>
        <w:spacing w:line="300" w:lineRule="exact"/>
        <w:ind w:left="0"/>
        <w:rPr>
          <w:szCs w:val="18"/>
          <w:u w:val="single"/>
        </w:rPr>
      </w:pPr>
      <w:r w:rsidRPr="00407B10">
        <w:rPr>
          <w:szCs w:val="18"/>
          <w:u w:val="single"/>
        </w:rPr>
        <w:t>Sendesperrfrist: 12. März 2013, 9.30 Uhr</w:t>
      </w:r>
    </w:p>
    <w:p w:rsidR="00B6136F" w:rsidRPr="00F00F5D" w:rsidRDefault="00B6136F">
      <w:pPr>
        <w:spacing w:line="300" w:lineRule="exact"/>
        <w:ind w:left="0"/>
        <w:rPr>
          <w:sz w:val="20"/>
          <w:szCs w:val="20"/>
          <w:u w:val="single"/>
        </w:rPr>
        <w:sectPr w:rsidR="00B6136F" w:rsidRPr="00F00F5D">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B6136F" w:rsidTr="00B14022">
        <w:trPr>
          <w:trHeight w:hRule="exact" w:val="174"/>
        </w:trPr>
        <w:tc>
          <w:tcPr>
            <w:tcW w:w="2271" w:type="dxa"/>
            <w:shd w:val="clear" w:color="auto" w:fill="auto"/>
          </w:tcPr>
          <w:p w:rsidR="00B6136F" w:rsidRDefault="009D5463">
            <w:pPr>
              <w:pStyle w:val="E-Datum"/>
              <w:framePr w:wrap="auto" w:vAnchor="margin" w:hAnchor="text" w:xAlign="left" w:yAlign="inline"/>
              <w:suppressOverlap w:val="0"/>
            </w:pPr>
            <w:r>
              <w:t>12. März 2013</w:t>
            </w:r>
          </w:p>
        </w:tc>
      </w:tr>
      <w:tr w:rsidR="00B6136F" w:rsidTr="00B14022">
        <w:trPr>
          <w:trHeight w:hRule="exact" w:val="304"/>
        </w:trPr>
        <w:tc>
          <w:tcPr>
            <w:tcW w:w="2271" w:type="dxa"/>
            <w:shd w:val="clear" w:color="auto" w:fill="auto"/>
          </w:tcPr>
          <w:p w:rsidR="00B6136F" w:rsidRDefault="00B6136F">
            <w:pPr>
              <w:spacing w:line="180" w:lineRule="exact"/>
              <w:ind w:left="0"/>
            </w:pPr>
          </w:p>
        </w:tc>
      </w:tr>
      <w:tr w:rsidR="00B6136F" w:rsidTr="00B14022">
        <w:trPr>
          <w:trHeight w:hRule="exact" w:val="1222"/>
        </w:trPr>
        <w:tc>
          <w:tcPr>
            <w:tcW w:w="2271" w:type="dxa"/>
            <w:shd w:val="clear" w:color="auto" w:fill="auto"/>
          </w:tcPr>
          <w:p w:rsidR="00B6136F" w:rsidRDefault="00AD7F34">
            <w:pPr>
              <w:pStyle w:val="M7"/>
              <w:framePr w:wrap="auto" w:vAnchor="margin" w:hAnchor="text" w:xAlign="left" w:yAlign="inline"/>
              <w:suppressOverlap w:val="0"/>
            </w:pPr>
            <w:r>
              <w:t>Barbara Müller</w:t>
            </w:r>
          </w:p>
          <w:p w:rsidR="00B6136F" w:rsidRDefault="00AD7F34">
            <w:pPr>
              <w:pStyle w:val="M8"/>
              <w:framePr w:wrap="auto" w:vAnchor="margin" w:hAnchor="text" w:xAlign="left" w:yAlign="inline"/>
              <w:suppressOverlap w:val="0"/>
            </w:pPr>
            <w:r>
              <w:t xml:space="preserve">Leiterin </w:t>
            </w:r>
            <w:r w:rsidR="00B14022">
              <w:t xml:space="preserve">Konzernpresse </w:t>
            </w:r>
          </w:p>
          <w:p w:rsidR="00B6136F" w:rsidRDefault="00AD7F34">
            <w:pPr>
              <w:pStyle w:val="M9"/>
              <w:framePr w:wrap="auto" w:vAnchor="margin" w:hAnchor="text" w:xAlign="left" w:yAlign="inline"/>
              <w:suppressOverlap w:val="0"/>
            </w:pPr>
            <w:r>
              <w:t>Telefon +49</w:t>
            </w:r>
            <w:r>
              <w:tab/>
              <w:t>201 177-3423</w:t>
            </w:r>
          </w:p>
          <w:p w:rsidR="00B6136F" w:rsidRDefault="00B14022">
            <w:pPr>
              <w:pStyle w:val="M10"/>
              <w:framePr w:wrap="auto" w:vAnchor="margin" w:hAnchor="text" w:xAlign="left" w:yAlign="inline"/>
              <w:suppressOverlap w:val="0"/>
            </w:pPr>
            <w:r>
              <w:t>Telefax +49</w:t>
            </w:r>
            <w:r>
              <w:tab/>
              <w:t>201 177-3030</w:t>
            </w:r>
          </w:p>
          <w:p w:rsidR="00B6136F" w:rsidRDefault="00AD7F34" w:rsidP="00AD7F34">
            <w:pPr>
              <w:pStyle w:val="M10"/>
              <w:framePr w:wrap="auto" w:vAnchor="margin" w:hAnchor="text" w:xAlign="left" w:yAlign="inline"/>
              <w:suppressOverlap w:val="0"/>
            </w:pPr>
            <w:r>
              <w:t>barbara.mueller</w:t>
            </w:r>
            <w:r w:rsidR="00B14022">
              <w:t>@evonik.com</w:t>
            </w:r>
            <w:r w:rsidR="00B14022">
              <w:rPr>
                <w:lang w:val="sv-SE"/>
              </w:rPr>
              <w:t xml:space="preserve"> </w:t>
            </w:r>
          </w:p>
        </w:tc>
      </w:tr>
      <w:tr w:rsidR="00B6136F" w:rsidTr="00B14022">
        <w:trPr>
          <w:trHeight w:val="2609"/>
        </w:trPr>
        <w:tc>
          <w:tcPr>
            <w:tcW w:w="2271" w:type="dxa"/>
            <w:shd w:val="clear" w:color="auto" w:fill="auto"/>
          </w:tcPr>
          <w:p w:rsidR="00B6136F" w:rsidRDefault="00B6136F">
            <w:pPr>
              <w:pStyle w:val="M12"/>
              <w:framePr w:wrap="auto" w:vAnchor="margin" w:hAnchor="text" w:xAlign="left" w:yAlign="inline"/>
              <w:suppressOverlap w:val="0"/>
            </w:pPr>
          </w:p>
          <w:p w:rsidR="00B6136F" w:rsidRDefault="00B14022" w:rsidP="009D5463">
            <w:pPr>
              <w:pStyle w:val="M1"/>
              <w:framePr w:wrap="auto" w:vAnchor="margin" w:hAnchor="text" w:xAlign="left" w:yAlign="inline"/>
              <w:suppressOverlap w:val="0"/>
            </w:pPr>
            <w:r>
              <w:br/>
            </w:r>
            <w:r>
              <w:br/>
            </w:r>
            <w:r>
              <w:br/>
            </w:r>
          </w:p>
        </w:tc>
      </w:tr>
      <w:tr w:rsidR="00B6136F" w:rsidTr="00B14022">
        <w:trPr>
          <w:trHeight w:hRule="exact" w:val="7880"/>
        </w:trPr>
        <w:tc>
          <w:tcPr>
            <w:tcW w:w="2271" w:type="dxa"/>
            <w:shd w:val="clear" w:color="auto" w:fill="auto"/>
            <w:vAlign w:val="bottom"/>
          </w:tcPr>
          <w:p w:rsidR="00B6136F" w:rsidRDefault="00B6136F">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6136F"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392875">
              <w:rPr>
                <w:noProof/>
              </w:rPr>
              <w:t>Evonik Industries AG</w:t>
            </w:r>
            <w:r>
              <w:fldChar w:fldCharType="end"/>
            </w:r>
          </w:p>
          <w:p w:rsidR="00B6136F"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392875">
              <w:rPr>
                <w:noProof/>
              </w:rPr>
              <w:t>Rellinghauser Straße 1-11</w:t>
            </w:r>
            <w:r>
              <w:fldChar w:fldCharType="end"/>
            </w:r>
          </w:p>
          <w:p w:rsidR="00B6136F"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392875">
              <w:rPr>
                <w:noProof/>
              </w:rPr>
              <w:t>45128 Essen</w:t>
            </w:r>
            <w:r>
              <w:fldChar w:fldCharType="end"/>
            </w:r>
          </w:p>
          <w:p w:rsidR="00B6136F"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392875">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9287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92875">
              <w:rPr>
                <w:noProof/>
              </w:rPr>
              <w:t>-</w:t>
            </w:r>
            <w:r>
              <w:fldChar w:fldCharType="end"/>
            </w:r>
            <w:r>
              <w:t>01</w:t>
            </w:r>
          </w:p>
          <w:p w:rsidR="00B6136F"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392875">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392875">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392875">
              <w:rPr>
                <w:noProof/>
              </w:rPr>
              <w:t>-</w:t>
            </w:r>
            <w:r>
              <w:fldChar w:fldCharType="end"/>
            </w:r>
            <w:r>
              <w:t>3475</w:t>
            </w:r>
          </w:p>
          <w:p w:rsidR="00B6136F" w:rsidRDefault="00B14022">
            <w:pPr>
              <w:pStyle w:val="V6"/>
              <w:framePr w:wrap="auto" w:vAnchor="margin" w:hAnchor="text" w:xAlign="left" w:yAlign="inline"/>
              <w:suppressOverlap w:val="0"/>
            </w:pPr>
            <w:r>
              <w:t>www.evonik.de</w:t>
            </w:r>
          </w:p>
          <w:p w:rsidR="00B6136F" w:rsidRDefault="00B6136F">
            <w:pPr>
              <w:pStyle w:val="Marginalie"/>
              <w:framePr w:w="0" w:hSpace="0" w:wrap="auto" w:vAnchor="margin" w:hAnchor="text" w:xAlign="left" w:yAlign="inline"/>
            </w:pPr>
          </w:p>
          <w:p w:rsidR="00B6136F" w:rsidRDefault="00B14022">
            <w:pPr>
              <w:pStyle w:val="Marginalie"/>
              <w:framePr w:w="0" w:hSpace="0" w:wrap="auto" w:vAnchor="margin" w:hAnchor="text" w:xAlign="left" w:yAlign="inline"/>
              <w:rPr>
                <w:b/>
                <w:bCs/>
              </w:rPr>
            </w:pPr>
            <w:r>
              <w:rPr>
                <w:b/>
                <w:bCs/>
              </w:rPr>
              <w:t>Aufsichtsrat</w:t>
            </w:r>
          </w:p>
          <w:p w:rsidR="00B6136F" w:rsidRDefault="00B14022">
            <w:pPr>
              <w:pStyle w:val="Marginalie"/>
              <w:framePr w:w="0" w:hSpace="0" w:wrap="auto" w:vAnchor="margin" w:hAnchor="text" w:xAlign="left" w:yAlign="inline"/>
            </w:pPr>
            <w:r>
              <w:t>Dr. Werner Müller, Vorsitzender</w:t>
            </w:r>
          </w:p>
          <w:p w:rsidR="00B6136F" w:rsidRDefault="00B6136F">
            <w:pPr>
              <w:pStyle w:val="Marginalie"/>
              <w:framePr w:w="0" w:hSpace="0" w:wrap="auto" w:vAnchor="margin" w:hAnchor="text" w:xAlign="left" w:yAlign="inline"/>
            </w:pPr>
          </w:p>
          <w:p w:rsidR="00B6136F"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392875">
              <w:rPr>
                <w:noProof/>
              </w:rPr>
              <w:t>Vorstand</w:t>
            </w:r>
            <w:r>
              <w:fldChar w:fldCharType="end"/>
            </w:r>
          </w:p>
          <w:p w:rsidR="00B6136F"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392875">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392875">
              <w:rPr>
                <w:noProof/>
              </w:rPr>
              <w:t>Vorsitzender</w:t>
            </w:r>
            <w:r>
              <w:fldChar w:fldCharType="end"/>
            </w:r>
          </w:p>
          <w:p w:rsidR="00B6136F" w:rsidRDefault="00B14022">
            <w:pPr>
              <w:pStyle w:val="V11"/>
              <w:framePr w:wrap="auto" w:vAnchor="margin" w:hAnchor="text" w:xAlign="left" w:yAlign="inline"/>
              <w:suppressOverlap w:val="0"/>
            </w:pPr>
            <w:r>
              <w:fldChar w:fldCharType="begin">
                <w:ffData>
                  <w:name w:val=""/>
                  <w:enabled/>
                  <w:calcOnExit w:val="0"/>
                  <w:textInput>
                    <w:default w:val="Dr. Wolfgang Colberg"/>
                  </w:textInput>
                </w:ffData>
              </w:fldChar>
            </w:r>
            <w:r>
              <w:instrText xml:space="preserve"> FORMTEXT </w:instrText>
            </w:r>
            <w:r>
              <w:fldChar w:fldCharType="separate"/>
            </w:r>
            <w:r w:rsidR="00392875">
              <w:rPr>
                <w:noProof/>
              </w:rPr>
              <w:t>Dr. Wolfgang Colberg</w:t>
            </w:r>
            <w:r>
              <w:fldChar w:fldCharType="end"/>
            </w:r>
            <w:r>
              <w:t>,</w:t>
            </w:r>
            <w:r>
              <w:br/>
            </w:r>
            <w:r>
              <w:fldChar w:fldCharType="begin">
                <w:ffData>
                  <w:name w:val=""/>
                  <w:enabled/>
                  <w:calcOnExit w:val="0"/>
                  <w:textInput>
                    <w:default w:val="Dr. Thomas Haeberle"/>
                  </w:textInput>
                </w:ffData>
              </w:fldChar>
            </w:r>
            <w:r>
              <w:instrText xml:space="preserve"> FORMTEXT </w:instrText>
            </w:r>
            <w:r>
              <w:fldChar w:fldCharType="separate"/>
            </w:r>
            <w:r w:rsidR="00392875">
              <w:rPr>
                <w:noProof/>
              </w:rPr>
              <w:t>Dr. Thomas Haeberle</w:t>
            </w:r>
            <w:r>
              <w:fldChar w:fldCharType="end"/>
            </w:r>
            <w:r>
              <w:t xml:space="preserve">, </w:t>
            </w:r>
            <w:r w:rsidR="000B1542">
              <w:br/>
            </w:r>
            <w:r>
              <w:t>Thomas Wessel,</w:t>
            </w:r>
            <w:r w:rsidR="000B1542">
              <w:t xml:space="preserve"> </w:t>
            </w:r>
            <w:r>
              <w:fldChar w:fldCharType="begin">
                <w:ffData>
                  <w:name w:val=""/>
                  <w:enabled/>
                  <w:calcOnExit w:val="0"/>
                  <w:textInput>
                    <w:default w:val="Patrik Wohlhauser"/>
                  </w:textInput>
                </w:ffData>
              </w:fldChar>
            </w:r>
            <w:r>
              <w:instrText xml:space="preserve"> FORMTEXT </w:instrText>
            </w:r>
            <w:r>
              <w:fldChar w:fldCharType="separate"/>
            </w:r>
            <w:r w:rsidR="00392875">
              <w:rPr>
                <w:noProof/>
              </w:rPr>
              <w:t>Patrik Wohlhauser</w:t>
            </w:r>
            <w:r>
              <w:fldChar w:fldCharType="end"/>
            </w:r>
            <w:r>
              <w:t xml:space="preserve">, </w:t>
            </w:r>
            <w:r>
              <w:fldChar w:fldCharType="begin">
                <w:ffData>
                  <w:name w:val=""/>
                  <w:enabled/>
                  <w:calcOnExit w:val="0"/>
                  <w:textInput>
                    <w:default w:val="Dr. Dahai Yu"/>
                  </w:textInput>
                </w:ffData>
              </w:fldChar>
            </w:r>
            <w:r>
              <w:instrText xml:space="preserve"> FORMTEXT </w:instrText>
            </w:r>
            <w:r>
              <w:fldChar w:fldCharType="separate"/>
            </w:r>
            <w:r w:rsidR="00392875">
              <w:rPr>
                <w:noProof/>
              </w:rPr>
              <w:t>Dr. Dahai Yu</w:t>
            </w:r>
            <w:r>
              <w:fldChar w:fldCharType="end"/>
            </w:r>
          </w:p>
          <w:p w:rsidR="00B6136F" w:rsidRDefault="00B6136F">
            <w:pPr>
              <w:pStyle w:val="Marginalie"/>
              <w:framePr w:w="0" w:hSpace="0" w:wrap="auto" w:vAnchor="margin" w:hAnchor="text" w:xAlign="left" w:yAlign="inline"/>
            </w:pPr>
          </w:p>
          <w:p w:rsidR="00B6136F"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392875">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92875">
              <w:rPr>
                <w:noProof/>
              </w:rPr>
              <w:t>Essen</w:t>
            </w:r>
            <w:r>
              <w:fldChar w:fldCharType="end"/>
            </w:r>
          </w:p>
          <w:p w:rsidR="00B6136F"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392875">
              <w:rPr>
                <w:noProof/>
              </w:rPr>
              <w:t>Registergericht</w:t>
            </w:r>
            <w:r>
              <w:fldChar w:fldCharType="end"/>
            </w:r>
          </w:p>
          <w:p w:rsidR="00B6136F"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392875">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392875">
              <w:rPr>
                <w:noProof/>
              </w:rPr>
              <w:t>Essen</w:t>
            </w:r>
            <w:r>
              <w:fldChar w:fldCharType="end"/>
            </w:r>
          </w:p>
          <w:p w:rsidR="00B6136F"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392875">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392875">
              <w:rPr>
                <w:noProof/>
              </w:rPr>
              <w:t>B 19474</w:t>
            </w:r>
            <w:r>
              <w:fldChar w:fldCharType="end"/>
            </w:r>
          </w:p>
          <w:p w:rsidR="00B6136F" w:rsidRDefault="00B14022">
            <w:pPr>
              <w:pStyle w:val="V17"/>
              <w:framePr w:wrap="auto" w:vAnchor="margin" w:hAnchor="text" w:xAlign="left" w:yAlign="inline"/>
              <w:suppressOverlap w:val="0"/>
            </w:pPr>
            <w:r>
              <w:t>UST-</w:t>
            </w:r>
            <w:proofErr w:type="spellStart"/>
            <w:r>
              <w:t>IdNr</w:t>
            </w:r>
            <w:proofErr w:type="spellEnd"/>
            <w:r>
              <w:t>. DE 811160003</w:t>
            </w:r>
          </w:p>
          <w:p w:rsidR="00B6136F" w:rsidRDefault="00B6136F">
            <w:pPr>
              <w:pStyle w:val="V18"/>
              <w:framePr w:wrap="auto" w:vAnchor="margin" w:hAnchor="text" w:xAlign="left" w:yAlign="inline"/>
              <w:suppressOverlap w:val="0"/>
            </w:pPr>
          </w:p>
        </w:tc>
      </w:tr>
    </w:tbl>
    <w:p w:rsidR="00F00F5D" w:rsidRDefault="00F00F5D" w:rsidP="009D5463">
      <w:pPr>
        <w:ind w:left="0"/>
        <w:rPr>
          <w:u w:val="single"/>
        </w:rPr>
      </w:pPr>
    </w:p>
    <w:p w:rsidR="00407B10" w:rsidRDefault="00395AF0" w:rsidP="009D5463">
      <w:pPr>
        <w:ind w:left="0"/>
        <w:rPr>
          <w:u w:val="single"/>
        </w:rPr>
      </w:pPr>
      <w:r>
        <w:rPr>
          <w:noProof/>
          <w:lang w:val="en-US" w:eastAsia="en-US"/>
        </w:rPr>
        <mc:AlternateContent>
          <mc:Choice Requires="wps">
            <w:drawing>
              <wp:anchor distT="0" distB="0" distL="114300" distR="114300" simplePos="0" relativeHeight="251659264" behindDoc="0" locked="0" layoutInCell="1" allowOverlap="1" wp14:anchorId="7BA274DC" wp14:editId="226A0F8A">
                <wp:simplePos x="0" y="0"/>
                <wp:positionH relativeFrom="column">
                  <wp:posOffset>738</wp:posOffset>
                </wp:positionH>
                <wp:positionV relativeFrom="paragraph">
                  <wp:posOffset>47144</wp:posOffset>
                </wp:positionV>
                <wp:extent cx="4291913" cy="1009650"/>
                <wp:effectExtent l="0" t="0" r="13970" b="190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913" cy="1009650"/>
                        </a:xfrm>
                        <a:prstGeom prst="rect">
                          <a:avLst/>
                        </a:prstGeom>
                        <a:solidFill>
                          <a:srgbClr val="FFFFFF"/>
                        </a:solidFill>
                        <a:ln w="6350">
                          <a:solidFill>
                            <a:srgbClr val="000000"/>
                          </a:solidFill>
                          <a:miter lim="800000"/>
                          <a:headEnd/>
                          <a:tailEnd/>
                        </a:ln>
                      </wps:spPr>
                      <wps:txbx>
                        <w:txbxContent>
                          <w:p w:rsidR="00395AF0" w:rsidRPr="00067DAF" w:rsidRDefault="00395AF0" w:rsidP="00395AF0">
                            <w:pPr>
                              <w:ind w:left="0"/>
                              <w:rPr>
                                <w:rFonts w:ascii="Arial" w:hAnsi="Arial" w:cs="Arial"/>
                                <w:b/>
                                <w:caps/>
                                <w:sz w:val="16"/>
                                <w:szCs w:val="16"/>
                              </w:rPr>
                            </w:pPr>
                            <w:r w:rsidRPr="00067DAF">
                              <w:rPr>
                                <w:rFonts w:ascii="Arial" w:hAnsi="Arial" w:cs="Arial"/>
                                <w:caps/>
                                <w:sz w:val="16"/>
                                <w:szCs w:val="16"/>
                              </w:rPr>
                              <w:t xml:space="preserve">Nicht zur Verteilung, Veröffentlichung oder Weitergabe in </w:t>
                            </w:r>
                            <w:r>
                              <w:rPr>
                                <w:rFonts w:ascii="Arial" w:hAnsi="Arial" w:cs="Arial"/>
                                <w:caps/>
                                <w:sz w:val="16"/>
                                <w:szCs w:val="16"/>
                              </w:rPr>
                              <w:t xml:space="preserve">DIE </w:t>
                            </w:r>
                            <w:r w:rsidRPr="00067DAF">
                              <w:rPr>
                                <w:rFonts w:ascii="Arial" w:hAnsi="Arial" w:cs="Arial"/>
                                <w:caps/>
                                <w:sz w:val="16"/>
                                <w:szCs w:val="16"/>
                              </w:rPr>
                              <w:t>bzw. innerhalb de</w:t>
                            </w:r>
                            <w:r>
                              <w:rPr>
                                <w:rFonts w:ascii="Arial" w:hAnsi="Arial" w:cs="Arial"/>
                                <w:caps/>
                                <w:sz w:val="16"/>
                                <w:szCs w:val="16"/>
                              </w:rPr>
                              <w:t xml:space="preserve">r Vereinigten Staaten von AmeriKa, </w:t>
                            </w:r>
                            <w:r w:rsidRPr="00067DAF">
                              <w:rPr>
                                <w:rFonts w:ascii="Arial" w:hAnsi="Arial" w:cs="Arial"/>
                                <w:caps/>
                                <w:sz w:val="16"/>
                                <w:szCs w:val="16"/>
                              </w:rPr>
                              <w:t xml:space="preserve"> Australien, Kanada oder Japan oder jedes bzw. jedem andere</w:t>
                            </w:r>
                            <w:r w:rsidR="00DC0BC4">
                              <w:rPr>
                                <w:rFonts w:ascii="Arial" w:hAnsi="Arial" w:cs="Arial"/>
                                <w:caps/>
                                <w:sz w:val="16"/>
                                <w:szCs w:val="16"/>
                              </w:rPr>
                              <w:t>/</w:t>
                            </w:r>
                            <w:r w:rsidRPr="00067DAF">
                              <w:rPr>
                                <w:rFonts w:ascii="Arial" w:hAnsi="Arial" w:cs="Arial"/>
                                <w:caps/>
                                <w:sz w:val="16"/>
                                <w:szCs w:val="16"/>
                              </w:rPr>
                              <w:t xml:space="preserve">n Land bestimmt, in dem die Verteilung oder Veröffentlichung unzulässig ist. Es gelten zudem </w:t>
                            </w:r>
                            <w:r>
                              <w:rPr>
                                <w:rFonts w:ascii="Arial" w:hAnsi="Arial" w:cs="Arial"/>
                                <w:caps/>
                                <w:sz w:val="16"/>
                                <w:szCs w:val="16"/>
                              </w:rPr>
                              <w:t>weitere</w:t>
                            </w:r>
                            <w:r w:rsidRPr="00067DAF">
                              <w:rPr>
                                <w:rFonts w:ascii="Arial" w:hAnsi="Arial" w:cs="Arial"/>
                                <w:caps/>
                                <w:sz w:val="16"/>
                                <w:szCs w:val="16"/>
                              </w:rPr>
                              <w:t xml:space="preserve"> Beschränkungen. </w:t>
                            </w:r>
                            <w:r w:rsidRPr="00067DAF">
                              <w:rPr>
                                <w:rFonts w:ascii="Arial" w:hAnsi="Arial" w:cs="Arial"/>
                                <w:b/>
                                <w:caps/>
                                <w:sz w:val="16"/>
                                <w:szCs w:val="16"/>
                              </w:rPr>
                              <w:t>Auf den wichtigen Hinweis am Ende dieser Veröffentlichung wird verwiesen.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5pt;margin-top:3.7pt;width:337.9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" strokeweight=".5pt">
                <v:textbox>
                  <w:txbxContent>
                    <w:p w:rsidR="00395AF0" w:rsidRPr="00067DAF" w:rsidRDefault="00395AF0" w:rsidP="00395AF0">
                      <w:pPr>
                        <w:ind w:left="0"/>
                        <w:rPr>
                          <w:rFonts w:ascii="Arial" w:hAnsi="Arial" w:cs="Arial"/>
                          <w:b/>
                          <w:caps/>
                          <w:sz w:val="16"/>
                          <w:szCs w:val="16"/>
                        </w:rPr>
                      </w:pPr>
                      <w:r w:rsidRPr="00067DAF">
                        <w:rPr>
                          <w:rFonts w:ascii="Arial" w:hAnsi="Arial" w:cs="Arial"/>
                          <w:caps/>
                          <w:sz w:val="16"/>
                          <w:szCs w:val="16"/>
                        </w:rPr>
                        <w:t xml:space="preserve">Nicht zur Verteilung, Veröffentlichung oder Weitergabe in </w:t>
                      </w:r>
                      <w:r>
                        <w:rPr>
                          <w:rFonts w:ascii="Arial" w:hAnsi="Arial" w:cs="Arial"/>
                          <w:caps/>
                          <w:sz w:val="16"/>
                          <w:szCs w:val="16"/>
                        </w:rPr>
                        <w:t xml:space="preserve">DIE </w:t>
                      </w:r>
                      <w:r w:rsidRPr="00067DAF">
                        <w:rPr>
                          <w:rFonts w:ascii="Arial" w:hAnsi="Arial" w:cs="Arial"/>
                          <w:caps/>
                          <w:sz w:val="16"/>
                          <w:szCs w:val="16"/>
                        </w:rPr>
                        <w:t>bzw. innerhalb de</w:t>
                      </w:r>
                      <w:r>
                        <w:rPr>
                          <w:rFonts w:ascii="Arial" w:hAnsi="Arial" w:cs="Arial"/>
                          <w:caps/>
                          <w:sz w:val="16"/>
                          <w:szCs w:val="16"/>
                        </w:rPr>
                        <w:t xml:space="preserve">r Vereinigten Staaten von AmeriKa, </w:t>
                      </w:r>
                      <w:r w:rsidRPr="00067DAF">
                        <w:rPr>
                          <w:rFonts w:ascii="Arial" w:hAnsi="Arial" w:cs="Arial"/>
                          <w:caps/>
                          <w:sz w:val="16"/>
                          <w:szCs w:val="16"/>
                        </w:rPr>
                        <w:t xml:space="preserve"> Australien, Kanada oder Japan oder jedes bzw. jedem andere</w:t>
                      </w:r>
                      <w:r w:rsidR="00DC0BC4">
                        <w:rPr>
                          <w:rFonts w:ascii="Arial" w:hAnsi="Arial" w:cs="Arial"/>
                          <w:caps/>
                          <w:sz w:val="16"/>
                          <w:szCs w:val="16"/>
                        </w:rPr>
                        <w:t>/</w:t>
                      </w:r>
                      <w:bookmarkStart w:id="1" w:name="_GoBack"/>
                      <w:bookmarkEnd w:id="1"/>
                      <w:r w:rsidRPr="00067DAF">
                        <w:rPr>
                          <w:rFonts w:ascii="Arial" w:hAnsi="Arial" w:cs="Arial"/>
                          <w:caps/>
                          <w:sz w:val="16"/>
                          <w:szCs w:val="16"/>
                        </w:rPr>
                        <w:t xml:space="preserve">n Land bestimmt, in dem die Verteilung oder Veröffentlichung unzulässig ist. Es gelten zudem </w:t>
                      </w:r>
                      <w:r>
                        <w:rPr>
                          <w:rFonts w:ascii="Arial" w:hAnsi="Arial" w:cs="Arial"/>
                          <w:caps/>
                          <w:sz w:val="16"/>
                          <w:szCs w:val="16"/>
                        </w:rPr>
                        <w:t>weitere</w:t>
                      </w:r>
                      <w:r w:rsidRPr="00067DAF">
                        <w:rPr>
                          <w:rFonts w:ascii="Arial" w:hAnsi="Arial" w:cs="Arial"/>
                          <w:caps/>
                          <w:sz w:val="16"/>
                          <w:szCs w:val="16"/>
                        </w:rPr>
                        <w:t xml:space="preserve"> Beschränkungen. </w:t>
                      </w:r>
                      <w:r w:rsidRPr="00067DAF">
                        <w:rPr>
                          <w:rFonts w:ascii="Arial" w:hAnsi="Arial" w:cs="Arial"/>
                          <w:b/>
                          <w:caps/>
                          <w:sz w:val="16"/>
                          <w:szCs w:val="16"/>
                        </w:rPr>
                        <w:t>Auf den wichtigen Hinweis am Ende dieser Veröffentlichung wird verwiesen.</w:t>
                      </w:r>
                    </w:p>
                  </w:txbxContent>
                </v:textbox>
              </v:shape>
            </w:pict>
          </mc:Fallback>
        </mc:AlternateContent>
      </w:r>
    </w:p>
    <w:p w:rsidR="00395AF0" w:rsidRDefault="00395AF0" w:rsidP="009D5463">
      <w:pPr>
        <w:ind w:left="0"/>
        <w:rPr>
          <w:u w:val="single"/>
        </w:rPr>
      </w:pPr>
    </w:p>
    <w:p w:rsidR="00395AF0" w:rsidRDefault="00395AF0" w:rsidP="009D5463">
      <w:pPr>
        <w:ind w:left="0"/>
        <w:rPr>
          <w:u w:val="single"/>
        </w:rPr>
      </w:pPr>
    </w:p>
    <w:p w:rsidR="00395AF0" w:rsidRDefault="00395AF0" w:rsidP="009D5463">
      <w:pPr>
        <w:ind w:left="0"/>
        <w:rPr>
          <w:u w:val="single"/>
        </w:rPr>
      </w:pPr>
    </w:p>
    <w:p w:rsidR="00395AF0" w:rsidRDefault="00395AF0" w:rsidP="009D5463">
      <w:pPr>
        <w:ind w:left="0"/>
        <w:rPr>
          <w:u w:val="single"/>
        </w:rPr>
      </w:pPr>
    </w:p>
    <w:p w:rsidR="00395AF0" w:rsidRDefault="00395AF0" w:rsidP="009D5463">
      <w:pPr>
        <w:ind w:left="0"/>
        <w:rPr>
          <w:u w:val="single"/>
        </w:rPr>
      </w:pPr>
    </w:p>
    <w:p w:rsidR="00395AF0" w:rsidRDefault="00395AF0" w:rsidP="009D5463">
      <w:pPr>
        <w:ind w:left="0"/>
        <w:rPr>
          <w:u w:val="single"/>
        </w:rPr>
      </w:pPr>
    </w:p>
    <w:p w:rsidR="00395AF0" w:rsidRDefault="00395AF0" w:rsidP="009D5463">
      <w:pPr>
        <w:ind w:left="0"/>
        <w:rPr>
          <w:u w:val="single"/>
        </w:rPr>
      </w:pPr>
    </w:p>
    <w:p w:rsidR="009D734A" w:rsidRDefault="009D734A" w:rsidP="009D734A">
      <w:pPr>
        <w:rPr>
          <w:u w:val="single"/>
        </w:rPr>
      </w:pPr>
      <w:bookmarkStart w:id="0" w:name="_GoBack"/>
      <w:r>
        <w:rPr>
          <w:u w:val="single"/>
        </w:rPr>
        <w:t>Wirtschaftliche Eckdaten:</w:t>
      </w:r>
    </w:p>
    <w:p w:rsidR="009D734A" w:rsidRDefault="009D734A" w:rsidP="009D734A">
      <w:pPr>
        <w:rPr>
          <w:u w:val="single"/>
        </w:rPr>
      </w:pPr>
      <w:r>
        <w:rPr>
          <w:u w:val="single"/>
        </w:rPr>
        <w:t>1. Januar – 31. Dezember 2012 / 4. Quartal 2012</w:t>
      </w:r>
      <w:bookmarkEnd w:id="0"/>
    </w:p>
    <w:p w:rsidR="009D734A" w:rsidRDefault="009D734A" w:rsidP="009D734A">
      <w:pPr>
        <w:spacing w:line="300" w:lineRule="exact"/>
        <w:rPr>
          <w:u w:val="single"/>
        </w:rPr>
      </w:pPr>
    </w:p>
    <w:p w:rsidR="009D734A" w:rsidRDefault="009D734A" w:rsidP="009D734A">
      <w:pPr>
        <w:spacing w:line="300" w:lineRule="exact"/>
        <w:rPr>
          <w:b/>
          <w:bCs/>
          <w:sz w:val="22"/>
          <w:szCs w:val="22"/>
        </w:rPr>
      </w:pPr>
      <w:r>
        <w:rPr>
          <w:b/>
          <w:bCs/>
          <w:sz w:val="22"/>
          <w:szCs w:val="22"/>
        </w:rPr>
        <w:t>Erfolgreiche Geschäftsentwicklung trotz anspruchsvolle</w:t>
      </w:r>
      <w:r w:rsidRPr="00BF0B1D">
        <w:rPr>
          <w:b/>
          <w:bCs/>
          <w:sz w:val="22"/>
          <w:szCs w:val="22"/>
        </w:rPr>
        <w:t>m</w:t>
      </w:r>
      <w:r>
        <w:rPr>
          <w:b/>
          <w:bCs/>
          <w:sz w:val="22"/>
          <w:szCs w:val="22"/>
        </w:rPr>
        <w:t xml:space="preserve"> weltwirtschaftlichen Umfeld – Investitionen in Wachstumsprojekte erhöht</w:t>
      </w:r>
    </w:p>
    <w:p w:rsidR="009D734A" w:rsidRPr="009D734A" w:rsidRDefault="009D734A" w:rsidP="009D734A">
      <w:pPr>
        <w:rPr>
          <w:b/>
          <w:bCs/>
          <w:sz w:val="22"/>
          <w:szCs w:val="22"/>
        </w:rPr>
      </w:pPr>
    </w:p>
    <w:p w:rsidR="009D734A" w:rsidRPr="009D734A" w:rsidRDefault="009D734A" w:rsidP="009D734A">
      <w:pPr>
        <w:numPr>
          <w:ilvl w:val="0"/>
          <w:numId w:val="14"/>
        </w:numPr>
        <w:tabs>
          <w:tab w:val="clear" w:pos="1425"/>
          <w:tab w:val="num" w:pos="340"/>
        </w:tabs>
        <w:spacing w:line="300" w:lineRule="exact"/>
        <w:ind w:left="340" w:hanging="340"/>
        <w:rPr>
          <w:rFonts w:cs="Lucida Sans Unicode"/>
          <w:b/>
          <w:bCs/>
          <w:position w:val="0"/>
          <w:sz w:val="20"/>
          <w:szCs w:val="20"/>
        </w:rPr>
      </w:pPr>
      <w:r w:rsidRPr="009D734A">
        <w:rPr>
          <w:rFonts w:cs="Lucida Sans Unicode"/>
          <w:b/>
          <w:bCs/>
          <w:position w:val="0"/>
          <w:sz w:val="20"/>
          <w:szCs w:val="20"/>
        </w:rPr>
        <w:t>Vorstandsvorsitzender Klaus Engel: „Evonik hat sich in einem schwierigen Umfeld sehr gut behauptet. 2012 war ein weiteres erfolgreiches Jahr.“</w:t>
      </w:r>
    </w:p>
    <w:p w:rsidR="009D734A" w:rsidRPr="009D734A" w:rsidRDefault="009D734A" w:rsidP="009D734A">
      <w:pPr>
        <w:numPr>
          <w:ilvl w:val="0"/>
          <w:numId w:val="14"/>
        </w:numPr>
        <w:tabs>
          <w:tab w:val="clear" w:pos="1425"/>
          <w:tab w:val="num" w:pos="340"/>
        </w:tabs>
        <w:spacing w:line="300" w:lineRule="exact"/>
        <w:ind w:left="340" w:hanging="340"/>
        <w:rPr>
          <w:rFonts w:cs="Lucida Sans Unicode"/>
          <w:b/>
          <w:bCs/>
          <w:position w:val="0"/>
          <w:sz w:val="20"/>
          <w:szCs w:val="20"/>
        </w:rPr>
      </w:pPr>
      <w:r w:rsidRPr="009D734A">
        <w:rPr>
          <w:rFonts w:cs="Lucida Sans Unicode"/>
          <w:b/>
          <w:bCs/>
          <w:position w:val="0"/>
          <w:sz w:val="20"/>
          <w:szCs w:val="20"/>
        </w:rPr>
        <w:t>Erfolgreiche operative Geschäftsentwicklung im Jahr 2012:</w:t>
      </w:r>
    </w:p>
    <w:p w:rsidR="009D734A" w:rsidRPr="009D734A" w:rsidRDefault="009D734A" w:rsidP="009D734A">
      <w:pPr>
        <w:numPr>
          <w:ilvl w:val="0"/>
          <w:numId w:val="14"/>
        </w:numPr>
        <w:tabs>
          <w:tab w:val="clear" w:pos="1425"/>
          <w:tab w:val="num" w:pos="851"/>
        </w:tabs>
        <w:spacing w:line="300" w:lineRule="exact"/>
        <w:ind w:left="851" w:hanging="425"/>
        <w:rPr>
          <w:rFonts w:cs="Lucida Sans Unicode"/>
          <w:b/>
          <w:bCs/>
          <w:position w:val="0"/>
          <w:sz w:val="20"/>
          <w:szCs w:val="20"/>
        </w:rPr>
      </w:pPr>
      <w:r w:rsidRPr="009D734A">
        <w:rPr>
          <w:rFonts w:cs="Lucida Sans Unicode"/>
          <w:b/>
          <w:bCs/>
          <w:position w:val="0"/>
          <w:sz w:val="20"/>
          <w:szCs w:val="20"/>
        </w:rPr>
        <w:t>Konzernumsatz mit 13,6 Milliarden € organisch nahezu stabil -</w:t>
      </w:r>
      <w:r w:rsidRPr="009D734A">
        <w:rPr>
          <w:rFonts w:cs="Lucida Sans Unicode"/>
          <w:b/>
          <w:bCs/>
          <w:position w:val="0"/>
          <w:sz w:val="20"/>
          <w:szCs w:val="20"/>
        </w:rPr>
        <w:br/>
        <w:t>insbesondere aufgrund des Carbon-Black-Verkaufs 6 Prozent unter Vorjahr</w:t>
      </w:r>
    </w:p>
    <w:p w:rsidR="009D734A" w:rsidRPr="009D734A" w:rsidRDefault="009D734A" w:rsidP="009D734A">
      <w:pPr>
        <w:numPr>
          <w:ilvl w:val="0"/>
          <w:numId w:val="14"/>
        </w:numPr>
        <w:tabs>
          <w:tab w:val="clear" w:pos="1425"/>
          <w:tab w:val="num" w:pos="851"/>
        </w:tabs>
        <w:spacing w:line="300" w:lineRule="exact"/>
        <w:ind w:left="851" w:hanging="425"/>
        <w:rPr>
          <w:rFonts w:cs="Lucida Sans Unicode"/>
          <w:b/>
          <w:bCs/>
          <w:position w:val="0"/>
          <w:sz w:val="20"/>
          <w:szCs w:val="20"/>
        </w:rPr>
      </w:pPr>
      <w:r w:rsidRPr="009D734A">
        <w:rPr>
          <w:rFonts w:cs="Lucida Sans Unicode"/>
          <w:b/>
          <w:bCs/>
          <w:position w:val="0"/>
          <w:sz w:val="20"/>
          <w:szCs w:val="20"/>
        </w:rPr>
        <w:t>Bereinigtes EBITDA mit 2.589 Millionen € und bereinigtes EBIT mit 1.953 Millionen € auf sehr gutem Niveau - nahezu Spitzenwerte des</w:t>
      </w:r>
      <w:r w:rsidR="00A64D60">
        <w:rPr>
          <w:rFonts w:cs="Lucida Sans Unicode"/>
          <w:b/>
          <w:bCs/>
          <w:position w:val="0"/>
          <w:sz w:val="20"/>
          <w:szCs w:val="20"/>
        </w:rPr>
        <w:t xml:space="preserve"> um Carbon Black angepassten</w:t>
      </w:r>
      <w:r w:rsidRPr="009D734A">
        <w:rPr>
          <w:rFonts w:cs="Lucida Sans Unicode"/>
          <w:b/>
          <w:bCs/>
          <w:position w:val="0"/>
          <w:sz w:val="20"/>
          <w:szCs w:val="20"/>
        </w:rPr>
        <w:t xml:space="preserve"> Vorjahres erreicht</w:t>
      </w:r>
    </w:p>
    <w:p w:rsidR="009D734A" w:rsidRPr="009D734A" w:rsidRDefault="009D734A" w:rsidP="009D734A">
      <w:pPr>
        <w:numPr>
          <w:ilvl w:val="0"/>
          <w:numId w:val="14"/>
        </w:numPr>
        <w:tabs>
          <w:tab w:val="clear" w:pos="1425"/>
          <w:tab w:val="num" w:pos="851"/>
        </w:tabs>
        <w:spacing w:line="300" w:lineRule="exact"/>
        <w:ind w:left="851" w:hanging="425"/>
        <w:rPr>
          <w:rFonts w:cs="Lucida Sans Unicode"/>
          <w:b/>
          <w:bCs/>
          <w:position w:val="0"/>
          <w:sz w:val="20"/>
          <w:szCs w:val="20"/>
        </w:rPr>
      </w:pPr>
      <w:r w:rsidRPr="009D734A">
        <w:rPr>
          <w:rFonts w:cs="Lucida Sans Unicode"/>
          <w:b/>
          <w:bCs/>
          <w:position w:val="0"/>
          <w:sz w:val="20"/>
          <w:szCs w:val="20"/>
        </w:rPr>
        <w:t>Bereinigte EBITDA-Marge erreichte mit 19,0 Prozent den ausgezeichneten Vorjahreswert</w:t>
      </w:r>
    </w:p>
    <w:p w:rsidR="009D734A" w:rsidRPr="009D734A" w:rsidRDefault="009D734A" w:rsidP="009D734A">
      <w:pPr>
        <w:numPr>
          <w:ilvl w:val="0"/>
          <w:numId w:val="14"/>
        </w:numPr>
        <w:tabs>
          <w:tab w:val="clear" w:pos="1425"/>
          <w:tab w:val="num" w:pos="340"/>
        </w:tabs>
        <w:spacing w:line="300" w:lineRule="exact"/>
        <w:ind w:left="340" w:hanging="340"/>
        <w:rPr>
          <w:rFonts w:cs="Lucida Sans Unicode"/>
          <w:b/>
          <w:bCs/>
          <w:position w:val="0"/>
          <w:sz w:val="20"/>
          <w:szCs w:val="20"/>
        </w:rPr>
      </w:pPr>
      <w:r w:rsidRPr="009D734A">
        <w:rPr>
          <w:rFonts w:cs="Lucida Sans Unicode"/>
          <w:b/>
          <w:bCs/>
          <w:position w:val="0"/>
          <w:sz w:val="20"/>
          <w:szCs w:val="20"/>
        </w:rPr>
        <w:t>Konzernergebnis spürbar um 15 Prozent auf 1.164 Millionen € gesteigert</w:t>
      </w:r>
    </w:p>
    <w:p w:rsidR="009D734A" w:rsidRPr="009D734A" w:rsidRDefault="009D734A" w:rsidP="009D734A">
      <w:pPr>
        <w:numPr>
          <w:ilvl w:val="0"/>
          <w:numId w:val="14"/>
        </w:numPr>
        <w:tabs>
          <w:tab w:val="clear" w:pos="1425"/>
          <w:tab w:val="num" w:pos="340"/>
        </w:tabs>
        <w:spacing w:line="300" w:lineRule="exact"/>
        <w:ind w:left="340" w:hanging="340"/>
        <w:rPr>
          <w:rFonts w:cs="Lucida Sans Unicode"/>
          <w:b/>
          <w:bCs/>
          <w:position w:val="0"/>
          <w:sz w:val="20"/>
          <w:szCs w:val="20"/>
        </w:rPr>
      </w:pPr>
      <w:r w:rsidRPr="009D734A">
        <w:rPr>
          <w:rFonts w:cs="Lucida Sans Unicode"/>
          <w:b/>
          <w:bCs/>
          <w:position w:val="0"/>
          <w:sz w:val="20"/>
          <w:szCs w:val="20"/>
        </w:rPr>
        <w:t>Sachinvestitionen deutlich um 30 Prozent auf 1.078 Millionen € erhöht</w:t>
      </w:r>
    </w:p>
    <w:p w:rsidR="009D734A" w:rsidRPr="009D734A" w:rsidRDefault="009D734A" w:rsidP="009D734A">
      <w:pPr>
        <w:numPr>
          <w:ilvl w:val="0"/>
          <w:numId w:val="14"/>
        </w:numPr>
        <w:tabs>
          <w:tab w:val="clear" w:pos="1425"/>
          <w:tab w:val="num" w:pos="340"/>
        </w:tabs>
        <w:spacing w:line="300" w:lineRule="exact"/>
        <w:ind w:left="340" w:hanging="340"/>
        <w:rPr>
          <w:rFonts w:cs="Lucida Sans Unicode"/>
          <w:b/>
          <w:bCs/>
          <w:position w:val="0"/>
          <w:sz w:val="20"/>
          <w:szCs w:val="20"/>
        </w:rPr>
      </w:pPr>
      <w:r w:rsidRPr="009D734A">
        <w:rPr>
          <w:rFonts w:cs="Lucida Sans Unicode"/>
          <w:b/>
          <w:bCs/>
          <w:position w:val="0"/>
          <w:sz w:val="20"/>
          <w:szCs w:val="20"/>
        </w:rPr>
        <w:t>Innovationstempo beschleunigt, F&amp;E Ausgaben um 8 Prozent gestiegen</w:t>
      </w:r>
    </w:p>
    <w:p w:rsidR="009D734A" w:rsidRPr="00F962CF" w:rsidRDefault="009D734A" w:rsidP="009D734A">
      <w:pPr>
        <w:numPr>
          <w:ilvl w:val="0"/>
          <w:numId w:val="14"/>
        </w:numPr>
        <w:tabs>
          <w:tab w:val="clear" w:pos="1425"/>
          <w:tab w:val="num" w:pos="340"/>
        </w:tabs>
        <w:spacing w:line="300" w:lineRule="exact"/>
        <w:ind w:left="340" w:hanging="340"/>
        <w:rPr>
          <w:bCs/>
          <w:sz w:val="20"/>
          <w:szCs w:val="20"/>
        </w:rPr>
      </w:pPr>
      <w:r w:rsidRPr="009D734A">
        <w:rPr>
          <w:rFonts w:cs="Lucida Sans Unicode"/>
          <w:b/>
          <w:bCs/>
          <w:position w:val="0"/>
          <w:sz w:val="20"/>
          <w:szCs w:val="20"/>
        </w:rPr>
        <w:t>Ausblick Gesamtjahr 2013: Bei weiterhin anspruchsvollen weltwirtschaftlichen Rahmenbedingungen höherer Umsatz und operative Ergebnisse auf dem sehr guten Niveau von 2012 erwartet</w:t>
      </w:r>
      <w:r w:rsidRPr="009D734A">
        <w:rPr>
          <w:rFonts w:cs="Lucida Sans Unicode"/>
          <w:b/>
          <w:bCs/>
          <w:position w:val="0"/>
          <w:sz w:val="20"/>
          <w:szCs w:val="20"/>
        </w:rPr>
        <w:br/>
      </w:r>
    </w:p>
    <w:p w:rsidR="00A64D60" w:rsidRDefault="009D734A" w:rsidP="009D734A">
      <w:pPr>
        <w:spacing w:line="300" w:lineRule="atLeast"/>
        <w:rPr>
          <w:sz w:val="20"/>
          <w:szCs w:val="20"/>
        </w:rPr>
      </w:pPr>
      <w:r w:rsidRPr="00A64D60">
        <w:rPr>
          <w:sz w:val="20"/>
          <w:szCs w:val="20"/>
        </w:rPr>
        <w:t xml:space="preserve">Essen. „2012 hat den Erfolg unseres eingeschlagenen Wegs eindrucksvoll bestätigt: Strategie und Zahlen stimmen. Evonik hat sich in einem zunehmend herausfordernden wirtschaftlichen Umfeld sehr gut behauptet“, erklärte Klaus Engel, Vorsitzender des Vorstandes der Evonik Industries AG, heute auf der Bilanzpressekonferenz des Konzerns. </w:t>
      </w:r>
    </w:p>
    <w:p w:rsidR="009D734A" w:rsidRPr="00A64D60" w:rsidRDefault="009D734A" w:rsidP="009D734A">
      <w:pPr>
        <w:spacing w:line="300" w:lineRule="atLeast"/>
        <w:rPr>
          <w:sz w:val="20"/>
          <w:szCs w:val="20"/>
        </w:rPr>
      </w:pPr>
      <w:r w:rsidRPr="00A64D60">
        <w:rPr>
          <w:sz w:val="20"/>
          <w:szCs w:val="20"/>
        </w:rPr>
        <w:lastRenderedPageBreak/>
        <w:t>Evonik</w:t>
      </w:r>
      <w:r w:rsidRPr="009D734A">
        <w:rPr>
          <w:rFonts w:ascii="Lucida Sans" w:hAnsi="Lucida Sans"/>
          <w:position w:val="0"/>
          <w:sz w:val="20"/>
        </w:rPr>
        <w:t xml:space="preserve"> </w:t>
      </w:r>
      <w:r w:rsidRPr="00A64D60">
        <w:rPr>
          <w:sz w:val="20"/>
          <w:szCs w:val="20"/>
        </w:rPr>
        <w:t>hat im Jahr 2012 operativ an die Spitzenergebnisse von 2011 anknüpfen können, die Investitionen deutlich gesteigert und zugleich das Innovationstempo beschleunigt. „Wir sind bereit für den nächsten großen Schritt“, ergänzte Engel mit Blick auf die angestrebte Börsennotierung. „Das große Interesse der Investoren</w:t>
      </w:r>
      <w:r w:rsidR="00357B72">
        <w:rPr>
          <w:sz w:val="20"/>
          <w:szCs w:val="20"/>
        </w:rPr>
        <w:t xml:space="preserve"> im Rahmen der Private Placements</w:t>
      </w:r>
      <w:r w:rsidRPr="00A64D60">
        <w:rPr>
          <w:sz w:val="20"/>
          <w:szCs w:val="20"/>
        </w:rPr>
        <w:t xml:space="preserve"> bestätigt den Erfolg unserer Wachstumsstrategie“, so Engel. </w:t>
      </w:r>
    </w:p>
    <w:p w:rsidR="009D734A" w:rsidRDefault="009D734A" w:rsidP="009D734A">
      <w:pPr>
        <w:rPr>
          <w:b/>
          <w:sz w:val="20"/>
          <w:szCs w:val="20"/>
        </w:rPr>
      </w:pPr>
    </w:p>
    <w:p w:rsidR="009D734A" w:rsidRDefault="009D734A" w:rsidP="009D734A">
      <w:pPr>
        <w:spacing w:line="300" w:lineRule="atLeast"/>
        <w:rPr>
          <w:b/>
          <w:sz w:val="20"/>
          <w:szCs w:val="20"/>
        </w:rPr>
      </w:pPr>
      <w:r>
        <w:rPr>
          <w:b/>
          <w:sz w:val="20"/>
          <w:szCs w:val="20"/>
        </w:rPr>
        <w:t>Konzernprogramm „Evonik 2016“: Umsetzung kommt zügig voran</w:t>
      </w:r>
    </w:p>
    <w:p w:rsidR="009D734A" w:rsidRDefault="009D734A" w:rsidP="009D734A">
      <w:pPr>
        <w:rPr>
          <w:sz w:val="20"/>
          <w:szCs w:val="20"/>
        </w:rPr>
      </w:pPr>
    </w:p>
    <w:p w:rsidR="009D734A" w:rsidRDefault="009D734A" w:rsidP="009D734A">
      <w:pPr>
        <w:spacing w:line="300" w:lineRule="atLeast"/>
        <w:rPr>
          <w:sz w:val="20"/>
          <w:szCs w:val="20"/>
        </w:rPr>
      </w:pPr>
      <w:r>
        <w:rPr>
          <w:sz w:val="20"/>
          <w:szCs w:val="20"/>
        </w:rPr>
        <w:t xml:space="preserve">Im Frühjahr 2012 hatte Evonik das Konzernprogramm „Evonik 2016“ aufgelegt. Darunter werden in den drei Handlungsfeldern Wachstum, Effizienz, Werte alle Maßnahmen gefasst, die das profitable, nachhaltige und wertorientierte Wachstum des Konzerns begleiten. </w:t>
      </w:r>
    </w:p>
    <w:p w:rsidR="009D734A" w:rsidRDefault="009D734A" w:rsidP="009D734A">
      <w:pPr>
        <w:spacing w:line="300" w:lineRule="atLeast"/>
        <w:rPr>
          <w:sz w:val="20"/>
          <w:szCs w:val="20"/>
        </w:rPr>
      </w:pPr>
    </w:p>
    <w:p w:rsidR="009D734A" w:rsidRPr="009D734A" w:rsidRDefault="009D734A" w:rsidP="009D734A">
      <w:pPr>
        <w:spacing w:line="300" w:lineRule="atLeast"/>
        <w:rPr>
          <w:sz w:val="20"/>
          <w:szCs w:val="20"/>
        </w:rPr>
      </w:pPr>
      <w:r w:rsidRPr="00B440EC">
        <w:rPr>
          <w:sz w:val="20"/>
          <w:szCs w:val="20"/>
        </w:rPr>
        <w:t xml:space="preserve">Im Rahmen </w:t>
      </w:r>
      <w:r>
        <w:rPr>
          <w:sz w:val="20"/>
          <w:szCs w:val="20"/>
        </w:rPr>
        <w:t>der</w:t>
      </w:r>
      <w:r w:rsidRPr="009D734A">
        <w:rPr>
          <w:sz w:val="20"/>
          <w:szCs w:val="20"/>
        </w:rPr>
        <w:t xml:space="preserve"> Wachstumsstrategie will Evonik im Zeitraum 2012 bis 2016 mehr als 6 Milliarden € investieren, um führende Marktpositionen auszubauen. Einen wesentlichen Teil der </w:t>
      </w:r>
      <w:proofErr w:type="spellStart"/>
      <w:r w:rsidRPr="009D734A">
        <w:rPr>
          <w:sz w:val="20"/>
          <w:szCs w:val="20"/>
        </w:rPr>
        <w:t>Wachstums</w:t>
      </w:r>
      <w:r w:rsidRPr="009D734A">
        <w:rPr>
          <w:sz w:val="20"/>
          <w:szCs w:val="20"/>
        </w:rPr>
        <w:softHyphen/>
        <w:t>pro</w:t>
      </w:r>
      <w:r w:rsidRPr="009D734A">
        <w:rPr>
          <w:sz w:val="20"/>
          <w:szCs w:val="20"/>
        </w:rPr>
        <w:softHyphen/>
        <w:t>jekte</w:t>
      </w:r>
      <w:proofErr w:type="spellEnd"/>
      <w:r w:rsidRPr="009D734A">
        <w:rPr>
          <w:sz w:val="20"/>
          <w:szCs w:val="20"/>
        </w:rPr>
        <w:t xml:space="preserve"> verwirklicht </w:t>
      </w:r>
      <w:proofErr w:type="spellStart"/>
      <w:r w:rsidRPr="009D734A">
        <w:rPr>
          <w:sz w:val="20"/>
          <w:szCs w:val="20"/>
        </w:rPr>
        <w:t>Evonik</w:t>
      </w:r>
      <w:proofErr w:type="spellEnd"/>
      <w:r w:rsidRPr="009D734A">
        <w:rPr>
          <w:sz w:val="20"/>
          <w:szCs w:val="20"/>
        </w:rPr>
        <w:t xml:space="preserve"> in aufstrebenden Schwellenländern; ihr Anteil am Konzernumsatz soll künftig deutlich steigen. </w:t>
      </w:r>
    </w:p>
    <w:p w:rsidR="009D734A" w:rsidRPr="009D734A" w:rsidRDefault="009D734A" w:rsidP="009D734A">
      <w:pPr>
        <w:spacing w:line="300" w:lineRule="atLeast"/>
        <w:rPr>
          <w:sz w:val="20"/>
          <w:szCs w:val="20"/>
        </w:rPr>
      </w:pPr>
    </w:p>
    <w:p w:rsidR="009D734A" w:rsidRPr="00B440EC" w:rsidRDefault="009D734A" w:rsidP="009D734A">
      <w:pPr>
        <w:spacing w:line="300" w:lineRule="atLeast"/>
        <w:rPr>
          <w:sz w:val="20"/>
          <w:szCs w:val="20"/>
        </w:rPr>
      </w:pPr>
      <w:r>
        <w:rPr>
          <w:sz w:val="20"/>
          <w:szCs w:val="20"/>
        </w:rPr>
        <w:t xml:space="preserve">Zu den bedeutendsten Projekten zählt </w:t>
      </w:r>
      <w:r w:rsidRPr="00B440EC">
        <w:rPr>
          <w:sz w:val="20"/>
          <w:szCs w:val="20"/>
        </w:rPr>
        <w:t xml:space="preserve">der Bau eines neuen Anlagenkomplexes für die Aminosäure DL-Methionin in Singapur, der 2014 in Betrieb gehen soll. In China </w:t>
      </w:r>
      <w:r>
        <w:rPr>
          <w:sz w:val="20"/>
          <w:szCs w:val="20"/>
        </w:rPr>
        <w:t>errichtet</w:t>
      </w:r>
      <w:r w:rsidRPr="00B440EC">
        <w:rPr>
          <w:sz w:val="20"/>
          <w:szCs w:val="20"/>
        </w:rPr>
        <w:t xml:space="preserve"> der Konzern bis Ende 2013 neue </w:t>
      </w:r>
      <w:r>
        <w:rPr>
          <w:sz w:val="20"/>
          <w:szCs w:val="20"/>
        </w:rPr>
        <w:t>Anlagen</w:t>
      </w:r>
      <w:r w:rsidRPr="00B440EC">
        <w:rPr>
          <w:sz w:val="20"/>
          <w:szCs w:val="20"/>
        </w:rPr>
        <w:t xml:space="preserve"> </w:t>
      </w:r>
      <w:r>
        <w:rPr>
          <w:sz w:val="20"/>
          <w:szCs w:val="20"/>
        </w:rPr>
        <w:t xml:space="preserve">für Wasserstoffperoxid und organische Tenside sowie bis 2014 </w:t>
      </w:r>
      <w:r w:rsidRPr="00B440EC">
        <w:rPr>
          <w:sz w:val="20"/>
          <w:szCs w:val="20"/>
        </w:rPr>
        <w:t xml:space="preserve">für </w:t>
      </w:r>
      <w:proofErr w:type="spellStart"/>
      <w:r w:rsidRPr="00B440EC">
        <w:rPr>
          <w:sz w:val="20"/>
          <w:szCs w:val="20"/>
        </w:rPr>
        <w:t>Isophoron</w:t>
      </w:r>
      <w:proofErr w:type="spellEnd"/>
      <w:r w:rsidRPr="00B440EC">
        <w:rPr>
          <w:sz w:val="20"/>
          <w:szCs w:val="20"/>
        </w:rPr>
        <w:t xml:space="preserve"> und </w:t>
      </w:r>
      <w:proofErr w:type="spellStart"/>
      <w:r w:rsidRPr="00B440EC">
        <w:rPr>
          <w:sz w:val="20"/>
          <w:szCs w:val="20"/>
        </w:rPr>
        <w:t>Isophoron</w:t>
      </w:r>
      <w:proofErr w:type="spellEnd"/>
      <w:r w:rsidRPr="00B440EC">
        <w:rPr>
          <w:sz w:val="20"/>
          <w:szCs w:val="20"/>
        </w:rPr>
        <w:t xml:space="preserve">-Veredelungsprodukte. </w:t>
      </w:r>
      <w:r>
        <w:rPr>
          <w:sz w:val="20"/>
          <w:szCs w:val="20"/>
        </w:rPr>
        <w:t xml:space="preserve">In Brasilien entstehen Anlagen für die Aminosäure </w:t>
      </w:r>
      <w:proofErr w:type="spellStart"/>
      <w:r>
        <w:rPr>
          <w:sz w:val="20"/>
          <w:szCs w:val="20"/>
        </w:rPr>
        <w:t>Biolys</w:t>
      </w:r>
      <w:proofErr w:type="spellEnd"/>
      <w:r w:rsidRPr="009D734A">
        <w:rPr>
          <w:sz w:val="20"/>
          <w:szCs w:val="20"/>
        </w:rPr>
        <w:t>® u</w:t>
      </w:r>
      <w:r>
        <w:rPr>
          <w:sz w:val="20"/>
          <w:szCs w:val="20"/>
        </w:rPr>
        <w:t xml:space="preserve">nd für Kosmetikrohstoffe, </w:t>
      </w:r>
      <w:r w:rsidRPr="00B440EC">
        <w:rPr>
          <w:sz w:val="20"/>
          <w:szCs w:val="20"/>
        </w:rPr>
        <w:t>in Argentinien eine Produktionsanlage</w:t>
      </w:r>
      <w:r>
        <w:rPr>
          <w:sz w:val="20"/>
          <w:szCs w:val="20"/>
        </w:rPr>
        <w:t xml:space="preserve"> f</w:t>
      </w:r>
      <w:r w:rsidRPr="00B440EC">
        <w:rPr>
          <w:sz w:val="20"/>
          <w:szCs w:val="20"/>
        </w:rPr>
        <w:t xml:space="preserve">ür </w:t>
      </w:r>
      <w:r>
        <w:rPr>
          <w:sz w:val="20"/>
          <w:szCs w:val="20"/>
        </w:rPr>
        <w:t>Katalysatoren zur</w:t>
      </w:r>
      <w:r w:rsidRPr="00B440EC">
        <w:rPr>
          <w:sz w:val="20"/>
          <w:szCs w:val="20"/>
        </w:rPr>
        <w:t xml:space="preserve"> Biodieselproduktion. Engel: „Wir wollen damit vom dynamischen Wachstum in </w:t>
      </w:r>
      <w:r>
        <w:rPr>
          <w:sz w:val="20"/>
          <w:szCs w:val="20"/>
        </w:rPr>
        <w:t xml:space="preserve">den Schwellenländern </w:t>
      </w:r>
      <w:r w:rsidRPr="00B440EC">
        <w:rPr>
          <w:sz w:val="20"/>
          <w:szCs w:val="20"/>
        </w:rPr>
        <w:t>Asien</w:t>
      </w:r>
      <w:r>
        <w:rPr>
          <w:sz w:val="20"/>
          <w:szCs w:val="20"/>
        </w:rPr>
        <w:t>s</w:t>
      </w:r>
      <w:r w:rsidRPr="00B440EC">
        <w:rPr>
          <w:sz w:val="20"/>
          <w:szCs w:val="20"/>
        </w:rPr>
        <w:t xml:space="preserve"> und Südamerika</w:t>
      </w:r>
      <w:r>
        <w:rPr>
          <w:sz w:val="20"/>
          <w:szCs w:val="20"/>
        </w:rPr>
        <w:t>s</w:t>
      </w:r>
      <w:r w:rsidRPr="00B440EC">
        <w:rPr>
          <w:sz w:val="20"/>
          <w:szCs w:val="20"/>
        </w:rPr>
        <w:t xml:space="preserve"> profitieren.“</w:t>
      </w:r>
    </w:p>
    <w:p w:rsidR="009D734A" w:rsidRPr="00B440EC" w:rsidRDefault="009D734A" w:rsidP="009D734A">
      <w:pPr>
        <w:spacing w:line="300" w:lineRule="atLeast"/>
        <w:rPr>
          <w:sz w:val="20"/>
          <w:szCs w:val="20"/>
        </w:rPr>
      </w:pPr>
    </w:p>
    <w:p w:rsidR="009D734A" w:rsidRDefault="009D734A" w:rsidP="009D734A">
      <w:pPr>
        <w:spacing w:line="300" w:lineRule="atLeast"/>
        <w:rPr>
          <w:sz w:val="20"/>
          <w:szCs w:val="20"/>
        </w:rPr>
      </w:pPr>
      <w:r>
        <w:rPr>
          <w:sz w:val="20"/>
          <w:szCs w:val="20"/>
        </w:rPr>
        <w:t xml:space="preserve">Bis Ende 2016 will Evonik im Rahmen von On Track 2.0 die jährlichen Kosten um insgesamt 500 Millionen € nachhaltig senken. Bereits im Jahr 2012 war die Hälfte davon mit Maßnahmen unterlegt und mehr als 140 Millionen € wurden eingespart. „Das ist ein starkes Zwischenergebnis und unterstreicht die breite Akzeptanz von Evonik 2016 im Konzern“, betonte Engel. </w:t>
      </w:r>
    </w:p>
    <w:p w:rsidR="009D734A" w:rsidRDefault="009D734A" w:rsidP="009D734A">
      <w:pPr>
        <w:rPr>
          <w:sz w:val="20"/>
          <w:szCs w:val="20"/>
        </w:rPr>
      </w:pPr>
    </w:p>
    <w:p w:rsidR="00A64D60" w:rsidRDefault="00A64D60">
      <w:pPr>
        <w:spacing w:line="240" w:lineRule="auto"/>
        <w:ind w:left="0" w:right="0"/>
        <w:rPr>
          <w:b/>
          <w:sz w:val="20"/>
          <w:szCs w:val="20"/>
        </w:rPr>
      </w:pPr>
      <w:r>
        <w:rPr>
          <w:b/>
          <w:sz w:val="20"/>
          <w:szCs w:val="20"/>
        </w:rPr>
        <w:br w:type="page"/>
      </w:r>
    </w:p>
    <w:p w:rsidR="009D734A" w:rsidRDefault="009D734A" w:rsidP="009D734A">
      <w:pPr>
        <w:spacing w:line="300" w:lineRule="atLeast"/>
        <w:rPr>
          <w:b/>
          <w:sz w:val="20"/>
          <w:szCs w:val="20"/>
        </w:rPr>
      </w:pPr>
      <w:r>
        <w:rPr>
          <w:b/>
          <w:sz w:val="20"/>
          <w:szCs w:val="20"/>
        </w:rPr>
        <w:lastRenderedPageBreak/>
        <w:t xml:space="preserve">Umsatz organisch nahezu stabil - </w:t>
      </w:r>
      <w:r w:rsidRPr="00B440EC">
        <w:rPr>
          <w:b/>
          <w:sz w:val="20"/>
          <w:szCs w:val="20"/>
        </w:rPr>
        <w:t>Operative Ergebnisse auf sehr gutem Niveau</w:t>
      </w:r>
    </w:p>
    <w:p w:rsidR="009D734A" w:rsidRPr="00B440EC" w:rsidRDefault="009D734A" w:rsidP="009D734A">
      <w:pPr>
        <w:spacing w:line="300" w:lineRule="atLeast"/>
        <w:rPr>
          <w:b/>
          <w:sz w:val="20"/>
          <w:szCs w:val="20"/>
        </w:rPr>
      </w:pPr>
    </w:p>
    <w:p w:rsidR="009D734A" w:rsidRPr="00B440EC" w:rsidRDefault="009D734A" w:rsidP="009D734A">
      <w:pPr>
        <w:spacing w:line="300" w:lineRule="atLeast"/>
        <w:rPr>
          <w:sz w:val="20"/>
          <w:szCs w:val="20"/>
        </w:rPr>
      </w:pPr>
      <w:r w:rsidRPr="00B440EC">
        <w:rPr>
          <w:sz w:val="20"/>
          <w:szCs w:val="20"/>
        </w:rPr>
        <w:t xml:space="preserve">2012 hat sich Evonik angesichts der anspruchsvollen </w:t>
      </w:r>
      <w:r>
        <w:rPr>
          <w:sz w:val="20"/>
          <w:szCs w:val="20"/>
        </w:rPr>
        <w:t xml:space="preserve">weltwirtschaftlichen </w:t>
      </w:r>
      <w:r w:rsidRPr="00B440EC">
        <w:rPr>
          <w:sz w:val="20"/>
          <w:szCs w:val="20"/>
        </w:rPr>
        <w:t xml:space="preserve">Rahmenbedingungen sehr gut behauptet. Ohne </w:t>
      </w:r>
      <w:r>
        <w:rPr>
          <w:sz w:val="20"/>
          <w:szCs w:val="20"/>
        </w:rPr>
        <w:t xml:space="preserve">Berücksichtigung des </w:t>
      </w:r>
      <w:r w:rsidRPr="00B440EC">
        <w:rPr>
          <w:sz w:val="20"/>
          <w:szCs w:val="20"/>
        </w:rPr>
        <w:t>im Juli 2011 verkaufte</w:t>
      </w:r>
      <w:r>
        <w:rPr>
          <w:sz w:val="20"/>
          <w:szCs w:val="20"/>
        </w:rPr>
        <w:t>n</w:t>
      </w:r>
      <w:r w:rsidRPr="00B440EC">
        <w:rPr>
          <w:sz w:val="20"/>
          <w:szCs w:val="20"/>
        </w:rPr>
        <w:t xml:space="preserve"> Carbon Black Geschäft</w:t>
      </w:r>
      <w:r>
        <w:rPr>
          <w:sz w:val="20"/>
          <w:szCs w:val="20"/>
        </w:rPr>
        <w:t>s</w:t>
      </w:r>
      <w:r w:rsidRPr="00B440EC">
        <w:rPr>
          <w:sz w:val="20"/>
          <w:szCs w:val="20"/>
        </w:rPr>
        <w:t xml:space="preserve"> </w:t>
      </w:r>
      <w:r>
        <w:rPr>
          <w:sz w:val="20"/>
          <w:szCs w:val="20"/>
        </w:rPr>
        <w:t xml:space="preserve">erreichten </w:t>
      </w:r>
      <w:r w:rsidRPr="00B440EC">
        <w:rPr>
          <w:sz w:val="20"/>
          <w:szCs w:val="20"/>
        </w:rPr>
        <w:t xml:space="preserve">Umsatz und die operativen Ergebnisse </w:t>
      </w:r>
      <w:r>
        <w:rPr>
          <w:sz w:val="20"/>
          <w:szCs w:val="20"/>
        </w:rPr>
        <w:t>nahezu die sehr guten Werte von 2011.</w:t>
      </w:r>
    </w:p>
    <w:p w:rsidR="009D734A" w:rsidRPr="00B440EC" w:rsidRDefault="009D734A" w:rsidP="009D734A">
      <w:pPr>
        <w:spacing w:line="300" w:lineRule="atLeast"/>
        <w:rPr>
          <w:sz w:val="20"/>
          <w:szCs w:val="20"/>
        </w:rPr>
      </w:pPr>
    </w:p>
    <w:p w:rsidR="009D734A" w:rsidRPr="00B440EC" w:rsidRDefault="009D734A" w:rsidP="009D734A">
      <w:pPr>
        <w:spacing w:line="300" w:lineRule="atLeast"/>
        <w:rPr>
          <w:sz w:val="20"/>
          <w:szCs w:val="20"/>
        </w:rPr>
      </w:pPr>
      <w:r w:rsidRPr="00B440EC">
        <w:rPr>
          <w:sz w:val="20"/>
          <w:szCs w:val="20"/>
        </w:rPr>
        <w:t>Nach einer sehr erfreulichen ersten Jahreshälfte schwächte sich die organische Umsatzentwicklung im zweiten Halbjahr etwas ab. Infolge leicht rückläufiger Mengen (- 2 Prozent</w:t>
      </w:r>
      <w:r>
        <w:rPr>
          <w:sz w:val="20"/>
          <w:szCs w:val="20"/>
        </w:rPr>
        <w:t>, auch bedingt durch die fehlenden Mengen nach dem Schadensfall in der CDT-Anlage in Marl</w:t>
      </w:r>
      <w:r w:rsidRPr="00B440EC">
        <w:rPr>
          <w:sz w:val="20"/>
          <w:szCs w:val="20"/>
        </w:rPr>
        <w:t xml:space="preserve">) bei etwas höheren Verkaufspreisen (+ 1 Prozent) ging der </w:t>
      </w:r>
      <w:r w:rsidRPr="00B440EC">
        <w:rPr>
          <w:b/>
          <w:sz w:val="20"/>
          <w:szCs w:val="20"/>
        </w:rPr>
        <w:t>organische Umsatz</w:t>
      </w:r>
      <w:r w:rsidRPr="00B440EC">
        <w:rPr>
          <w:sz w:val="20"/>
          <w:szCs w:val="20"/>
        </w:rPr>
        <w:t xml:space="preserve"> geringfügig um 1 Prozent zurück. Der </w:t>
      </w:r>
      <w:r w:rsidRPr="00B440EC">
        <w:rPr>
          <w:b/>
          <w:sz w:val="20"/>
          <w:szCs w:val="20"/>
        </w:rPr>
        <w:t>Konzernumsatz</w:t>
      </w:r>
      <w:r w:rsidRPr="00B440EC">
        <w:rPr>
          <w:sz w:val="20"/>
          <w:szCs w:val="20"/>
        </w:rPr>
        <w:t xml:space="preserve"> verringerte sich insgesamt um 6 Prozent auf 13</w:t>
      </w:r>
      <w:r>
        <w:rPr>
          <w:sz w:val="20"/>
          <w:szCs w:val="20"/>
        </w:rPr>
        <w:t>.</w:t>
      </w:r>
      <w:r w:rsidRPr="00B440EC">
        <w:rPr>
          <w:sz w:val="20"/>
          <w:szCs w:val="20"/>
        </w:rPr>
        <w:t>6</w:t>
      </w:r>
      <w:r>
        <w:rPr>
          <w:sz w:val="20"/>
          <w:szCs w:val="20"/>
        </w:rPr>
        <w:t>29</w:t>
      </w:r>
      <w:r w:rsidRPr="00B440EC">
        <w:rPr>
          <w:sz w:val="20"/>
          <w:szCs w:val="20"/>
        </w:rPr>
        <w:t xml:space="preserve"> Milli</w:t>
      </w:r>
      <w:r>
        <w:rPr>
          <w:sz w:val="20"/>
          <w:szCs w:val="20"/>
        </w:rPr>
        <w:t>onen</w:t>
      </w:r>
      <w:r w:rsidRPr="00B440EC">
        <w:rPr>
          <w:sz w:val="20"/>
          <w:szCs w:val="20"/>
        </w:rPr>
        <w:t xml:space="preserve"> €</w:t>
      </w:r>
      <w:r>
        <w:rPr>
          <w:sz w:val="20"/>
          <w:szCs w:val="20"/>
        </w:rPr>
        <w:t xml:space="preserve"> (Vorjahr: 14.540 Millionen €)</w:t>
      </w:r>
      <w:r w:rsidRPr="00B440EC">
        <w:rPr>
          <w:sz w:val="20"/>
          <w:szCs w:val="20"/>
        </w:rPr>
        <w:t>. Dies ist maßgeblich auf den im Juli 2011 erfolgten Verkauf des Carbon-Black-Geschäfts zurückzuführen.</w:t>
      </w:r>
    </w:p>
    <w:p w:rsidR="009D734A" w:rsidRPr="00B440EC" w:rsidRDefault="009D734A" w:rsidP="009D734A">
      <w:pPr>
        <w:spacing w:line="300" w:lineRule="atLeast"/>
        <w:rPr>
          <w:sz w:val="20"/>
          <w:szCs w:val="20"/>
        </w:rPr>
      </w:pPr>
    </w:p>
    <w:p w:rsidR="009D734A" w:rsidRPr="00B440EC" w:rsidRDefault="009D734A" w:rsidP="009D734A">
      <w:pPr>
        <w:spacing w:line="300" w:lineRule="atLeast"/>
        <w:rPr>
          <w:sz w:val="20"/>
          <w:szCs w:val="20"/>
        </w:rPr>
      </w:pPr>
      <w:r w:rsidRPr="00B440EC">
        <w:rPr>
          <w:sz w:val="20"/>
          <w:szCs w:val="20"/>
        </w:rPr>
        <w:t xml:space="preserve">Die operativen Ergebnisse lagen 2012 erneut auf einem sehr guten Niveau. Das bereinigte </w:t>
      </w:r>
      <w:r w:rsidRPr="00B440EC">
        <w:rPr>
          <w:b/>
          <w:sz w:val="20"/>
          <w:szCs w:val="20"/>
        </w:rPr>
        <w:t>EBITDA</w:t>
      </w:r>
      <w:r w:rsidRPr="00B440EC">
        <w:rPr>
          <w:sz w:val="20"/>
          <w:szCs w:val="20"/>
        </w:rPr>
        <w:t xml:space="preserve"> nahm </w:t>
      </w:r>
      <w:r>
        <w:rPr>
          <w:sz w:val="20"/>
          <w:szCs w:val="20"/>
        </w:rPr>
        <w:t xml:space="preserve">vor allem </w:t>
      </w:r>
      <w:r w:rsidRPr="00B440EC">
        <w:rPr>
          <w:sz w:val="20"/>
          <w:szCs w:val="20"/>
        </w:rPr>
        <w:t>aufgrund der im Vorjahr für sieben Monate noch enthaltenen Ergebnisbeiträge von Carbon Black um 6 Prozent auf 2.</w:t>
      </w:r>
      <w:r>
        <w:rPr>
          <w:sz w:val="20"/>
          <w:szCs w:val="20"/>
        </w:rPr>
        <w:t>5</w:t>
      </w:r>
      <w:r w:rsidRPr="00B440EC">
        <w:rPr>
          <w:sz w:val="20"/>
          <w:szCs w:val="20"/>
        </w:rPr>
        <w:t xml:space="preserve">89 Millionen € ab (Vorjahr 2.768 Millionen €). Das bereinigte </w:t>
      </w:r>
      <w:r w:rsidRPr="00B440EC">
        <w:rPr>
          <w:b/>
          <w:sz w:val="20"/>
          <w:szCs w:val="20"/>
        </w:rPr>
        <w:t>EBIT</w:t>
      </w:r>
      <w:r w:rsidRPr="00B440EC">
        <w:rPr>
          <w:sz w:val="20"/>
          <w:szCs w:val="20"/>
        </w:rPr>
        <w:t xml:space="preserve"> ging entsprechend um 7 Prozent auf 1.953 Millionen € zurück (Vorjahr: 2.099 Millionen €). Die bereinigte </w:t>
      </w:r>
      <w:r w:rsidRPr="00B440EC">
        <w:rPr>
          <w:b/>
          <w:sz w:val="20"/>
          <w:szCs w:val="20"/>
        </w:rPr>
        <w:t>EBITDA-Marge</w:t>
      </w:r>
      <w:r w:rsidRPr="00B440EC">
        <w:rPr>
          <w:sz w:val="20"/>
          <w:szCs w:val="20"/>
        </w:rPr>
        <w:t xml:space="preserve"> </w:t>
      </w:r>
      <w:r>
        <w:rPr>
          <w:sz w:val="20"/>
          <w:szCs w:val="20"/>
        </w:rPr>
        <w:t>erreichte</w:t>
      </w:r>
      <w:r w:rsidRPr="00B440EC">
        <w:rPr>
          <w:sz w:val="20"/>
          <w:szCs w:val="20"/>
        </w:rPr>
        <w:t xml:space="preserve"> mit 19,0 Prozent den </w:t>
      </w:r>
      <w:r>
        <w:rPr>
          <w:sz w:val="20"/>
          <w:szCs w:val="20"/>
        </w:rPr>
        <w:t>ausgezeichneten</w:t>
      </w:r>
      <w:r w:rsidRPr="00B440EC">
        <w:rPr>
          <w:sz w:val="20"/>
          <w:szCs w:val="20"/>
        </w:rPr>
        <w:t xml:space="preserve"> Wert des Vorjahres </w:t>
      </w:r>
      <w:r>
        <w:rPr>
          <w:sz w:val="20"/>
          <w:szCs w:val="20"/>
        </w:rPr>
        <w:br/>
      </w:r>
      <w:r w:rsidRPr="00B440EC">
        <w:rPr>
          <w:sz w:val="20"/>
          <w:szCs w:val="20"/>
        </w:rPr>
        <w:t>(19,0 Prozent)</w:t>
      </w:r>
      <w:r>
        <w:rPr>
          <w:sz w:val="20"/>
          <w:szCs w:val="20"/>
        </w:rPr>
        <w:t xml:space="preserve"> und unterstreicht damit die hohe Profitabilität des Unternehmens</w:t>
      </w:r>
      <w:r w:rsidRPr="00B440EC">
        <w:rPr>
          <w:sz w:val="20"/>
          <w:szCs w:val="20"/>
        </w:rPr>
        <w:t xml:space="preserve">. </w:t>
      </w:r>
    </w:p>
    <w:p w:rsidR="009D734A" w:rsidRPr="00B440EC" w:rsidRDefault="009D734A" w:rsidP="009D734A">
      <w:pPr>
        <w:spacing w:line="300" w:lineRule="atLeast"/>
        <w:rPr>
          <w:sz w:val="20"/>
          <w:szCs w:val="20"/>
        </w:rPr>
      </w:pPr>
    </w:p>
    <w:p w:rsidR="009D734A" w:rsidRPr="00B440EC" w:rsidRDefault="009D734A" w:rsidP="009D734A">
      <w:pPr>
        <w:spacing w:line="300" w:lineRule="atLeast"/>
        <w:rPr>
          <w:b/>
          <w:sz w:val="20"/>
          <w:szCs w:val="20"/>
        </w:rPr>
      </w:pPr>
      <w:r w:rsidRPr="00B440EC">
        <w:rPr>
          <w:b/>
          <w:sz w:val="20"/>
          <w:szCs w:val="20"/>
        </w:rPr>
        <w:t>Konzernergebnis spürbar gesteigert</w:t>
      </w:r>
    </w:p>
    <w:p w:rsidR="009D734A" w:rsidRPr="00B440EC" w:rsidRDefault="009D734A" w:rsidP="009D734A">
      <w:pPr>
        <w:spacing w:line="300" w:lineRule="atLeast"/>
        <w:rPr>
          <w:sz w:val="20"/>
          <w:szCs w:val="20"/>
        </w:rPr>
      </w:pPr>
    </w:p>
    <w:p w:rsidR="009D734A" w:rsidRDefault="009D734A" w:rsidP="009D734A">
      <w:pPr>
        <w:spacing w:line="300" w:lineRule="atLeast"/>
        <w:rPr>
          <w:sz w:val="20"/>
          <w:szCs w:val="20"/>
        </w:rPr>
      </w:pPr>
      <w:r w:rsidRPr="00B440EC">
        <w:rPr>
          <w:sz w:val="20"/>
          <w:szCs w:val="20"/>
        </w:rPr>
        <w:t xml:space="preserve">Die </w:t>
      </w:r>
      <w:r w:rsidRPr="00B440EC">
        <w:rPr>
          <w:b/>
          <w:sz w:val="20"/>
          <w:szCs w:val="20"/>
        </w:rPr>
        <w:t>Bereinigungen</w:t>
      </w:r>
      <w:r w:rsidRPr="00B440EC">
        <w:rPr>
          <w:sz w:val="20"/>
          <w:szCs w:val="20"/>
        </w:rPr>
        <w:t xml:space="preserve"> von 16 Millionen € </w:t>
      </w:r>
      <w:r>
        <w:rPr>
          <w:sz w:val="20"/>
          <w:szCs w:val="20"/>
        </w:rPr>
        <w:t xml:space="preserve">sind ein Saldo nicht operativer Erträge und Aufwendungen mit einmaligem bzw. seltenem Charakter. Enthalten sind insbesondere sich weitgehend kompensierende Erträge und Aufwendungen im Zusammenhang mit der </w:t>
      </w:r>
      <w:r w:rsidRPr="00B440EC">
        <w:rPr>
          <w:sz w:val="20"/>
          <w:szCs w:val="20"/>
        </w:rPr>
        <w:t xml:space="preserve">Restrukturierung des </w:t>
      </w:r>
      <w:proofErr w:type="spellStart"/>
      <w:r w:rsidRPr="00B440EC">
        <w:rPr>
          <w:sz w:val="20"/>
          <w:szCs w:val="20"/>
        </w:rPr>
        <w:t>Fotovoltaikgeschäfts</w:t>
      </w:r>
      <w:proofErr w:type="spellEnd"/>
      <w:r w:rsidRPr="00B440EC">
        <w:rPr>
          <w:sz w:val="20"/>
          <w:szCs w:val="20"/>
        </w:rPr>
        <w:t xml:space="preserve"> infolge der hohen Wettbewerbsintensität </w:t>
      </w:r>
      <w:r>
        <w:rPr>
          <w:sz w:val="20"/>
          <w:szCs w:val="20"/>
        </w:rPr>
        <w:t>und mit dem Schadensfall in der CDT-Anlage in Marl</w:t>
      </w:r>
      <w:r w:rsidRPr="00B440EC">
        <w:rPr>
          <w:sz w:val="20"/>
          <w:szCs w:val="20"/>
        </w:rPr>
        <w:t xml:space="preserve">. </w:t>
      </w:r>
      <w:r>
        <w:rPr>
          <w:sz w:val="20"/>
          <w:szCs w:val="20"/>
        </w:rPr>
        <w:t xml:space="preserve">Darüber hinaus ist ein Ertrag aus der quartalsweisen Bewertung der STEAG-Optionen enthalten. </w:t>
      </w:r>
      <w:r w:rsidRPr="00B440EC">
        <w:rPr>
          <w:sz w:val="20"/>
          <w:szCs w:val="20"/>
        </w:rPr>
        <w:t xml:space="preserve">Das </w:t>
      </w:r>
      <w:r w:rsidRPr="00B440EC">
        <w:rPr>
          <w:b/>
          <w:sz w:val="20"/>
          <w:szCs w:val="20"/>
        </w:rPr>
        <w:t>Ergebnis vor Ertragsteuern der fortgeführten Aktivitäten</w:t>
      </w:r>
      <w:r w:rsidRPr="00B440EC">
        <w:rPr>
          <w:sz w:val="20"/>
          <w:szCs w:val="20"/>
        </w:rPr>
        <w:t xml:space="preserve"> stieg um </w:t>
      </w:r>
      <w:r>
        <w:rPr>
          <w:sz w:val="20"/>
          <w:szCs w:val="20"/>
        </w:rPr>
        <w:br/>
      </w:r>
      <w:r w:rsidRPr="00B440EC">
        <w:rPr>
          <w:sz w:val="20"/>
          <w:szCs w:val="20"/>
        </w:rPr>
        <w:t xml:space="preserve">4 Prozent auf 1.612 Millionen € (Vorjahr: 1.543 Millionen €). </w:t>
      </w:r>
      <w:r>
        <w:rPr>
          <w:sz w:val="20"/>
          <w:szCs w:val="20"/>
        </w:rPr>
        <w:br/>
      </w:r>
      <w:r w:rsidRPr="00B440EC">
        <w:rPr>
          <w:sz w:val="20"/>
          <w:szCs w:val="20"/>
        </w:rPr>
        <w:lastRenderedPageBreak/>
        <w:t xml:space="preserve">Das </w:t>
      </w:r>
      <w:r w:rsidRPr="00B440EC">
        <w:rPr>
          <w:b/>
          <w:sz w:val="20"/>
          <w:szCs w:val="20"/>
        </w:rPr>
        <w:t>Konzernergebni</w:t>
      </w:r>
      <w:r w:rsidRPr="00B440EC">
        <w:rPr>
          <w:sz w:val="20"/>
          <w:szCs w:val="20"/>
        </w:rPr>
        <w:t xml:space="preserve">s kletterte spürbar um 15 Prozent auf 1.164 Millionen € (Vorjahr: 1.011 Millionen €). </w:t>
      </w:r>
    </w:p>
    <w:p w:rsidR="009D734A" w:rsidRDefault="009D734A" w:rsidP="009D734A">
      <w:pPr>
        <w:spacing w:line="300" w:lineRule="atLeast"/>
        <w:rPr>
          <w:sz w:val="20"/>
          <w:szCs w:val="20"/>
        </w:rPr>
      </w:pPr>
    </w:p>
    <w:p w:rsidR="009D734A" w:rsidRPr="00B440EC" w:rsidRDefault="009D734A" w:rsidP="009D734A">
      <w:pPr>
        <w:spacing w:line="300" w:lineRule="atLeast"/>
        <w:rPr>
          <w:b/>
          <w:sz w:val="20"/>
          <w:szCs w:val="20"/>
        </w:rPr>
      </w:pPr>
      <w:r w:rsidRPr="00B440EC">
        <w:rPr>
          <w:b/>
          <w:sz w:val="20"/>
          <w:szCs w:val="20"/>
        </w:rPr>
        <w:t>Erneut attraktive Kapitalverzinsung</w:t>
      </w:r>
    </w:p>
    <w:p w:rsidR="009D734A" w:rsidRPr="00B440EC" w:rsidRDefault="009D734A" w:rsidP="009D734A">
      <w:pPr>
        <w:spacing w:line="300" w:lineRule="atLeast"/>
        <w:rPr>
          <w:sz w:val="20"/>
          <w:szCs w:val="20"/>
        </w:rPr>
      </w:pPr>
    </w:p>
    <w:p w:rsidR="009D734A" w:rsidRPr="00B440EC" w:rsidRDefault="009D734A" w:rsidP="009D734A">
      <w:pPr>
        <w:spacing w:line="300" w:lineRule="atLeast"/>
        <w:rPr>
          <w:sz w:val="20"/>
          <w:szCs w:val="20"/>
        </w:rPr>
      </w:pPr>
      <w:r w:rsidRPr="00B440EC">
        <w:rPr>
          <w:sz w:val="20"/>
          <w:szCs w:val="20"/>
        </w:rPr>
        <w:t xml:space="preserve">Mit einem </w:t>
      </w:r>
      <w:r w:rsidRPr="00B440EC">
        <w:rPr>
          <w:b/>
          <w:sz w:val="20"/>
          <w:szCs w:val="20"/>
        </w:rPr>
        <w:t>ROCE</w:t>
      </w:r>
      <w:r w:rsidRPr="00B440EC">
        <w:rPr>
          <w:sz w:val="20"/>
          <w:szCs w:val="20"/>
        </w:rPr>
        <w:t xml:space="preserve"> von 17,2 Prozent erzielte Evonik erneut eine attraktive Verzinsung des eingesetzten Kapitals. Der Rückgang gegenüber dem </w:t>
      </w:r>
      <w:r>
        <w:rPr>
          <w:sz w:val="20"/>
          <w:szCs w:val="20"/>
        </w:rPr>
        <w:t xml:space="preserve">hervorragenden </w:t>
      </w:r>
      <w:r w:rsidRPr="00B440EC">
        <w:rPr>
          <w:sz w:val="20"/>
          <w:szCs w:val="20"/>
        </w:rPr>
        <w:t xml:space="preserve">Vorjahreswert (18,7 Prozent) ist vor allem auf die gestiegene Investitionstätigkeit zurückzuführen, die das Capital </w:t>
      </w:r>
      <w:proofErr w:type="spellStart"/>
      <w:r w:rsidRPr="00B440EC">
        <w:rPr>
          <w:sz w:val="20"/>
          <w:szCs w:val="20"/>
        </w:rPr>
        <w:t>Employed</w:t>
      </w:r>
      <w:proofErr w:type="spellEnd"/>
      <w:r w:rsidRPr="00B440EC">
        <w:rPr>
          <w:sz w:val="20"/>
          <w:szCs w:val="20"/>
        </w:rPr>
        <w:t xml:space="preserve"> leicht erhöhte, sich aber noch nicht im bereinigte</w:t>
      </w:r>
      <w:r>
        <w:rPr>
          <w:sz w:val="20"/>
          <w:szCs w:val="20"/>
        </w:rPr>
        <w:t>n</w:t>
      </w:r>
      <w:r w:rsidRPr="00B440EC">
        <w:rPr>
          <w:sz w:val="20"/>
          <w:szCs w:val="20"/>
        </w:rPr>
        <w:t xml:space="preserve"> EBIT auswirkte. Aufgrund der erfolgreichen operativen Geschäftsentwicklung </w:t>
      </w:r>
      <w:r>
        <w:rPr>
          <w:sz w:val="20"/>
          <w:szCs w:val="20"/>
        </w:rPr>
        <w:t>erreichte</w:t>
      </w:r>
      <w:r w:rsidRPr="00B440EC">
        <w:rPr>
          <w:sz w:val="20"/>
          <w:szCs w:val="20"/>
        </w:rPr>
        <w:t xml:space="preserve"> der </w:t>
      </w:r>
      <w:r w:rsidRPr="00B440EC">
        <w:rPr>
          <w:b/>
          <w:sz w:val="20"/>
          <w:szCs w:val="20"/>
        </w:rPr>
        <w:t>Cashflow aus laufender Geschäftstätigkeit</w:t>
      </w:r>
      <w:r w:rsidRPr="00B440EC">
        <w:rPr>
          <w:sz w:val="20"/>
          <w:szCs w:val="20"/>
        </w:rPr>
        <w:t xml:space="preserve"> </w:t>
      </w:r>
      <w:r w:rsidRPr="004A1BC3">
        <w:rPr>
          <w:b/>
          <w:sz w:val="20"/>
          <w:szCs w:val="20"/>
        </w:rPr>
        <w:t>der fortgeführten Aktivitäten</w:t>
      </w:r>
      <w:r>
        <w:rPr>
          <w:sz w:val="20"/>
          <w:szCs w:val="20"/>
        </w:rPr>
        <w:t xml:space="preserve"> mit </w:t>
      </w:r>
      <w:r w:rsidRPr="00B440EC">
        <w:rPr>
          <w:sz w:val="20"/>
          <w:szCs w:val="20"/>
        </w:rPr>
        <w:t>1.420 Millionen €</w:t>
      </w:r>
      <w:r>
        <w:rPr>
          <w:sz w:val="20"/>
          <w:szCs w:val="20"/>
        </w:rPr>
        <w:t xml:space="preserve"> das hohe Vorjahresniveau </w:t>
      </w:r>
      <w:r w:rsidRPr="00525589">
        <w:rPr>
          <w:sz w:val="20"/>
          <w:szCs w:val="20"/>
        </w:rPr>
        <w:t>(2011: 1.435 Millionen €)</w:t>
      </w:r>
      <w:r w:rsidRPr="00B440EC">
        <w:rPr>
          <w:sz w:val="20"/>
          <w:szCs w:val="20"/>
        </w:rPr>
        <w:t xml:space="preserve">. Die </w:t>
      </w:r>
      <w:r w:rsidRPr="00B440EC">
        <w:rPr>
          <w:b/>
          <w:sz w:val="20"/>
          <w:szCs w:val="20"/>
        </w:rPr>
        <w:t>Sachinvestitionen</w:t>
      </w:r>
      <w:r w:rsidRPr="00B440EC">
        <w:rPr>
          <w:sz w:val="20"/>
          <w:szCs w:val="20"/>
        </w:rPr>
        <w:t xml:space="preserve"> wurden um 30 Prozent auf 1.078 Millionen € </w:t>
      </w:r>
      <w:r>
        <w:rPr>
          <w:sz w:val="20"/>
          <w:szCs w:val="20"/>
        </w:rPr>
        <w:t>deutlich</w:t>
      </w:r>
      <w:r w:rsidRPr="00B440EC">
        <w:rPr>
          <w:sz w:val="20"/>
          <w:szCs w:val="20"/>
        </w:rPr>
        <w:t xml:space="preserve"> gesteigert (Vorjahr: 830 Millionen €). Die Zunahme basiert vor allem auf den strategischen Wachstumsprojekten, die Evonik bereits in den Vorjahren begonnen bzw. in diesem Jahr neu </w:t>
      </w:r>
      <w:r>
        <w:rPr>
          <w:sz w:val="20"/>
          <w:szCs w:val="20"/>
        </w:rPr>
        <w:t>angestoßen</w:t>
      </w:r>
      <w:r w:rsidRPr="00B440EC">
        <w:rPr>
          <w:sz w:val="20"/>
          <w:szCs w:val="20"/>
        </w:rPr>
        <w:t xml:space="preserve"> hat. Die </w:t>
      </w:r>
      <w:r w:rsidRPr="00B440EC">
        <w:rPr>
          <w:b/>
          <w:sz w:val="20"/>
          <w:szCs w:val="20"/>
        </w:rPr>
        <w:t>Nettofinanzschulden</w:t>
      </w:r>
      <w:r w:rsidRPr="00B440EC">
        <w:rPr>
          <w:sz w:val="20"/>
          <w:szCs w:val="20"/>
        </w:rPr>
        <w:t xml:space="preserve"> stiegen gegenüber dem Jahresende 2011 um 320 Millionen € auf 1.163 Millionen €. Dies ist </w:t>
      </w:r>
      <w:r>
        <w:rPr>
          <w:sz w:val="20"/>
          <w:szCs w:val="20"/>
        </w:rPr>
        <w:t xml:space="preserve">im Wesentlichen </w:t>
      </w:r>
      <w:r w:rsidRPr="00B440EC">
        <w:rPr>
          <w:sz w:val="20"/>
          <w:szCs w:val="20"/>
        </w:rPr>
        <w:t xml:space="preserve">auf die weitere Ausfinanzierung von Pensionsverpflichtungen </w:t>
      </w:r>
      <w:r>
        <w:rPr>
          <w:sz w:val="20"/>
          <w:szCs w:val="20"/>
        </w:rPr>
        <w:t xml:space="preserve">durch die </w:t>
      </w:r>
      <w:r w:rsidRPr="00B440EC">
        <w:rPr>
          <w:sz w:val="20"/>
          <w:szCs w:val="20"/>
        </w:rPr>
        <w:t>Einzahlung von 400 Millionen € in das Treuhandmodell (CTA) zurückzuführen.</w:t>
      </w:r>
    </w:p>
    <w:p w:rsidR="009D734A" w:rsidRPr="00B440EC" w:rsidRDefault="009D734A" w:rsidP="009D734A">
      <w:pPr>
        <w:spacing w:line="300" w:lineRule="atLeast"/>
        <w:rPr>
          <w:rFonts w:cs="Lucida Sans Unicode"/>
          <w:sz w:val="20"/>
          <w:szCs w:val="20"/>
        </w:rPr>
      </w:pPr>
    </w:p>
    <w:p w:rsidR="009D734A" w:rsidRDefault="009D734A" w:rsidP="009D734A">
      <w:pPr>
        <w:spacing w:line="300" w:lineRule="atLeast"/>
        <w:rPr>
          <w:b/>
          <w:sz w:val="20"/>
          <w:szCs w:val="20"/>
        </w:rPr>
      </w:pPr>
      <w:r>
        <w:rPr>
          <w:b/>
          <w:sz w:val="20"/>
          <w:szCs w:val="20"/>
        </w:rPr>
        <w:t>Forschung &amp; Entwicklung vorangetrieben</w:t>
      </w:r>
    </w:p>
    <w:p w:rsidR="009D734A" w:rsidRDefault="009D734A" w:rsidP="009D734A">
      <w:pPr>
        <w:spacing w:line="300" w:lineRule="atLeast"/>
        <w:rPr>
          <w:sz w:val="20"/>
          <w:szCs w:val="20"/>
        </w:rPr>
      </w:pPr>
    </w:p>
    <w:p w:rsidR="00A64D60" w:rsidRDefault="009D734A" w:rsidP="009D734A">
      <w:pPr>
        <w:spacing w:line="300" w:lineRule="atLeast"/>
        <w:rPr>
          <w:sz w:val="20"/>
          <w:szCs w:val="20"/>
        </w:rPr>
      </w:pPr>
      <w:r>
        <w:rPr>
          <w:sz w:val="20"/>
          <w:szCs w:val="20"/>
        </w:rPr>
        <w:t xml:space="preserve">Um die Innovationsfähigkeit weiter zu stärken, erhöhte Evonik im </w:t>
      </w:r>
    </w:p>
    <w:p w:rsidR="009D734A" w:rsidRDefault="009D734A" w:rsidP="009D734A">
      <w:pPr>
        <w:spacing w:line="300" w:lineRule="atLeast"/>
        <w:rPr>
          <w:sz w:val="20"/>
          <w:szCs w:val="20"/>
        </w:rPr>
      </w:pPr>
      <w:r>
        <w:rPr>
          <w:sz w:val="20"/>
          <w:szCs w:val="20"/>
        </w:rPr>
        <w:t xml:space="preserve">Jahr 2012 die Aufwendungen für Forschung &amp; Entwicklung (F&amp;E) um </w:t>
      </w:r>
      <w:r w:rsidR="00A64D60">
        <w:rPr>
          <w:sz w:val="20"/>
          <w:szCs w:val="20"/>
        </w:rPr>
        <w:br/>
      </w:r>
      <w:r>
        <w:rPr>
          <w:sz w:val="20"/>
          <w:szCs w:val="20"/>
        </w:rPr>
        <w:t>8 Prozent auf 393 Millionen €. Jüngste Erfolge der F&amp;E bei Evonik sind beispielsweise</w:t>
      </w:r>
      <w:r w:rsidR="00357B72">
        <w:rPr>
          <w:sz w:val="20"/>
          <w:szCs w:val="20"/>
        </w:rPr>
        <w:t xml:space="preserve"> neue Anwendungen</w:t>
      </w:r>
      <w:r>
        <w:rPr>
          <w:sz w:val="20"/>
          <w:szCs w:val="20"/>
        </w:rPr>
        <w:t xml:space="preserve"> </w:t>
      </w:r>
      <w:r w:rsidR="00A64D60">
        <w:rPr>
          <w:sz w:val="20"/>
          <w:szCs w:val="20"/>
        </w:rPr>
        <w:t xml:space="preserve">für Futtermittelzusätze oder maßgeschneiderte Inhaltsstoffe für Kosmetika. Für eine effiziente Nutzung von Ressourcen sorgen neue Produkte auf Basis nachwachsender Rohstoffe oder innovative Isolationsmaterialien. </w:t>
      </w:r>
      <w:r>
        <w:rPr>
          <w:sz w:val="20"/>
          <w:szCs w:val="20"/>
        </w:rPr>
        <w:t>Insgesamt hat Evonik die Zahl eigener F&amp;E-Projekte auf etwa 500 ausgebaut.</w:t>
      </w:r>
    </w:p>
    <w:p w:rsidR="009D734A" w:rsidRDefault="009D734A" w:rsidP="009D734A">
      <w:pPr>
        <w:spacing w:line="300" w:lineRule="atLeast"/>
        <w:rPr>
          <w:sz w:val="20"/>
          <w:szCs w:val="20"/>
        </w:rPr>
      </w:pPr>
    </w:p>
    <w:p w:rsidR="003E1B59" w:rsidRDefault="003E1B59">
      <w:pPr>
        <w:spacing w:line="240" w:lineRule="auto"/>
        <w:ind w:left="0" w:right="0"/>
        <w:rPr>
          <w:rFonts w:cs="Lucida Sans Unicode"/>
          <w:b/>
          <w:sz w:val="20"/>
          <w:szCs w:val="20"/>
        </w:rPr>
      </w:pPr>
      <w:r>
        <w:rPr>
          <w:rFonts w:cs="Lucida Sans Unicode"/>
          <w:b/>
          <w:sz w:val="20"/>
          <w:szCs w:val="20"/>
        </w:rPr>
        <w:br w:type="page"/>
      </w:r>
    </w:p>
    <w:p w:rsidR="009D734A" w:rsidRDefault="009D734A" w:rsidP="009D734A">
      <w:pPr>
        <w:spacing w:line="300" w:lineRule="atLeast"/>
        <w:rPr>
          <w:rFonts w:cs="Lucida Sans Unicode"/>
          <w:b/>
          <w:sz w:val="20"/>
          <w:szCs w:val="20"/>
        </w:rPr>
      </w:pPr>
      <w:r>
        <w:rPr>
          <w:rFonts w:cs="Lucida Sans Unicode"/>
          <w:b/>
          <w:sz w:val="20"/>
          <w:szCs w:val="20"/>
        </w:rPr>
        <w:lastRenderedPageBreak/>
        <w:t xml:space="preserve">Entwicklung der Segmente im Geschäftsjahr 2012 </w:t>
      </w:r>
    </w:p>
    <w:p w:rsidR="009D734A" w:rsidRDefault="009D734A" w:rsidP="009D734A">
      <w:pPr>
        <w:spacing w:line="300" w:lineRule="atLeast"/>
        <w:rPr>
          <w:rFonts w:cs="Lucida Sans Unicode"/>
          <w:b/>
          <w:sz w:val="20"/>
          <w:szCs w:val="20"/>
        </w:rPr>
      </w:pPr>
    </w:p>
    <w:p w:rsidR="009D734A" w:rsidRDefault="009D734A" w:rsidP="009D734A">
      <w:pPr>
        <w:spacing w:line="300" w:lineRule="atLeast"/>
        <w:rPr>
          <w:rFonts w:cs="Lucida Sans Unicode"/>
          <w:b/>
          <w:sz w:val="20"/>
          <w:szCs w:val="20"/>
        </w:rPr>
      </w:pPr>
      <w:r>
        <w:rPr>
          <w:rFonts w:cs="Lucida Sans Unicode"/>
          <w:b/>
          <w:sz w:val="20"/>
          <w:szCs w:val="20"/>
        </w:rPr>
        <w:t>Consumer</w:t>
      </w:r>
      <w:smartTag w:uri="urn:schemas-microsoft-com:office:smarttags" w:element="PersonName">
        <w:r>
          <w:rPr>
            <w:rFonts w:cs="Lucida Sans Unicode"/>
            <w:b/>
            <w:sz w:val="20"/>
            <w:szCs w:val="20"/>
          </w:rPr>
          <w:t xml:space="preserve">, </w:t>
        </w:r>
      </w:smartTag>
      <w:proofErr w:type="spellStart"/>
      <w:r>
        <w:rPr>
          <w:rFonts w:cs="Lucida Sans Unicode"/>
          <w:b/>
          <w:sz w:val="20"/>
          <w:szCs w:val="20"/>
        </w:rPr>
        <w:t>Health</w:t>
      </w:r>
      <w:proofErr w:type="spellEnd"/>
      <w:r>
        <w:rPr>
          <w:rFonts w:cs="Lucida Sans Unicode"/>
          <w:b/>
          <w:sz w:val="20"/>
          <w:szCs w:val="20"/>
        </w:rPr>
        <w:t xml:space="preserve"> &amp; Nutrition</w:t>
      </w:r>
    </w:p>
    <w:p w:rsidR="009D734A" w:rsidRDefault="009D734A" w:rsidP="009D734A">
      <w:pPr>
        <w:spacing w:line="300" w:lineRule="atLeast"/>
        <w:rPr>
          <w:rFonts w:cs="Lucida Sans Unicode"/>
          <w:b/>
          <w:sz w:val="20"/>
          <w:szCs w:val="20"/>
        </w:rPr>
      </w:pPr>
    </w:p>
    <w:p w:rsidR="009D734A" w:rsidRDefault="009D734A" w:rsidP="009D734A">
      <w:pPr>
        <w:spacing w:line="300" w:lineRule="atLeast"/>
        <w:rPr>
          <w:rFonts w:cs="Lucida Sans Unicode"/>
          <w:sz w:val="20"/>
          <w:szCs w:val="20"/>
        </w:rPr>
      </w:pPr>
      <w:r>
        <w:rPr>
          <w:rFonts w:cs="Lucida Sans Unicode"/>
          <w:sz w:val="20"/>
          <w:szCs w:val="20"/>
        </w:rPr>
        <w:t xml:space="preserve">Das Segment </w:t>
      </w:r>
      <w:r>
        <w:rPr>
          <w:rFonts w:cs="Lucida Sans Unicode"/>
          <w:b/>
          <w:sz w:val="20"/>
          <w:szCs w:val="20"/>
        </w:rPr>
        <w:t xml:space="preserve">Consumer, </w:t>
      </w:r>
      <w:proofErr w:type="spellStart"/>
      <w:r>
        <w:rPr>
          <w:rFonts w:cs="Lucida Sans Unicode"/>
          <w:b/>
          <w:sz w:val="20"/>
          <w:szCs w:val="20"/>
        </w:rPr>
        <w:t>Health</w:t>
      </w:r>
      <w:proofErr w:type="spellEnd"/>
      <w:r>
        <w:rPr>
          <w:rFonts w:cs="Lucida Sans Unicode"/>
          <w:b/>
          <w:sz w:val="20"/>
          <w:szCs w:val="20"/>
        </w:rPr>
        <w:t xml:space="preserve"> &amp; Nutrition</w:t>
      </w:r>
      <w:r>
        <w:rPr>
          <w:rFonts w:cs="Lucida Sans Unicode"/>
          <w:sz w:val="20"/>
          <w:szCs w:val="20"/>
        </w:rPr>
        <w:t xml:space="preserve"> produziert schwerpunktmäßig für Anwendungen in Konsumgütern, in der Tierernährung und im Bereich </w:t>
      </w:r>
      <w:proofErr w:type="spellStart"/>
      <w:r>
        <w:rPr>
          <w:rFonts w:cs="Lucida Sans Unicode"/>
          <w:sz w:val="20"/>
          <w:szCs w:val="20"/>
        </w:rPr>
        <w:t>Healthcare</w:t>
      </w:r>
      <w:proofErr w:type="spellEnd"/>
      <w:r>
        <w:rPr>
          <w:rFonts w:cs="Lucida Sans Unicode"/>
          <w:sz w:val="20"/>
          <w:szCs w:val="20"/>
        </w:rPr>
        <w:t xml:space="preserve">. Das Segment umfasst die Geschäftsbereiche Consumer </w:t>
      </w:r>
      <w:proofErr w:type="spellStart"/>
      <w:r>
        <w:rPr>
          <w:rFonts w:cs="Lucida Sans Unicode"/>
          <w:sz w:val="20"/>
          <w:szCs w:val="20"/>
        </w:rPr>
        <w:t>Specialties</w:t>
      </w:r>
      <w:proofErr w:type="spellEnd"/>
      <w:r>
        <w:rPr>
          <w:rFonts w:cs="Lucida Sans Unicode"/>
          <w:sz w:val="20"/>
          <w:szCs w:val="20"/>
        </w:rPr>
        <w:t xml:space="preserve"> sowie </w:t>
      </w:r>
      <w:proofErr w:type="spellStart"/>
      <w:r>
        <w:rPr>
          <w:rFonts w:cs="Lucida Sans Unicode"/>
          <w:sz w:val="20"/>
          <w:szCs w:val="20"/>
        </w:rPr>
        <w:t>Health</w:t>
      </w:r>
      <w:proofErr w:type="spellEnd"/>
      <w:r>
        <w:rPr>
          <w:rFonts w:cs="Lucida Sans Unicode"/>
          <w:sz w:val="20"/>
          <w:szCs w:val="20"/>
        </w:rPr>
        <w:t xml:space="preserve"> &amp; Nutrition. </w:t>
      </w:r>
    </w:p>
    <w:p w:rsidR="009D734A" w:rsidRDefault="009D734A" w:rsidP="009D734A">
      <w:pPr>
        <w:spacing w:line="300" w:lineRule="atLeast"/>
        <w:rPr>
          <w:rFonts w:cs="Lucida Sans Unicode"/>
          <w:sz w:val="20"/>
          <w:szCs w:val="20"/>
        </w:rPr>
      </w:pPr>
    </w:p>
    <w:p w:rsidR="009D734A" w:rsidRPr="00DB6C72" w:rsidRDefault="009D734A" w:rsidP="009D734A">
      <w:pPr>
        <w:spacing w:line="300" w:lineRule="atLeast"/>
        <w:rPr>
          <w:rFonts w:cs="Lucida Sans Unicode"/>
          <w:sz w:val="20"/>
          <w:szCs w:val="20"/>
        </w:rPr>
      </w:pPr>
      <w:r w:rsidRPr="00DB6C72">
        <w:rPr>
          <w:rFonts w:cs="Lucida Sans Unicode"/>
          <w:sz w:val="20"/>
          <w:szCs w:val="20"/>
        </w:rPr>
        <w:t xml:space="preserve">2012 war erneut ein sehr erfolgreiches Jahr für das Segment Consumer, </w:t>
      </w:r>
      <w:proofErr w:type="spellStart"/>
      <w:r w:rsidRPr="00DB6C72">
        <w:rPr>
          <w:rFonts w:cs="Lucida Sans Unicode"/>
          <w:sz w:val="20"/>
          <w:szCs w:val="20"/>
        </w:rPr>
        <w:t>Health</w:t>
      </w:r>
      <w:proofErr w:type="spellEnd"/>
      <w:r w:rsidRPr="00DB6C72">
        <w:rPr>
          <w:rFonts w:cs="Lucida Sans Unicode"/>
          <w:sz w:val="20"/>
          <w:szCs w:val="20"/>
        </w:rPr>
        <w:t xml:space="preserve"> &amp; Nutrition. Das Segment verzeichnete weltweit eine steigende Nachfrage nach seinen Produkten – die Produktionskapazitäten waren dementsprechend wieder überwiegend gut ausgelastet. Die Verkaufspreise gingen jedoch insbesondere in der zweiten Jahreshälfte leicht zurück. Getragen von den höheren Mengen erzielte das Segment Consumer, </w:t>
      </w:r>
      <w:proofErr w:type="spellStart"/>
      <w:r w:rsidRPr="00DB6C72">
        <w:rPr>
          <w:rFonts w:cs="Lucida Sans Unicode"/>
          <w:sz w:val="20"/>
          <w:szCs w:val="20"/>
        </w:rPr>
        <w:t>Health</w:t>
      </w:r>
      <w:proofErr w:type="spellEnd"/>
      <w:r w:rsidRPr="00DB6C72">
        <w:rPr>
          <w:rFonts w:cs="Lucida Sans Unicode"/>
          <w:sz w:val="20"/>
          <w:szCs w:val="20"/>
        </w:rPr>
        <w:t xml:space="preserve"> &amp; Nutrition insgesamt ein leichtes organisches Umsatzwachstum. Zusammen mit einem positiven </w:t>
      </w:r>
      <w:proofErr w:type="spellStart"/>
      <w:r w:rsidRPr="00DB6C72">
        <w:rPr>
          <w:rFonts w:cs="Lucida Sans Unicode"/>
          <w:sz w:val="20"/>
          <w:szCs w:val="20"/>
        </w:rPr>
        <w:t>Währungs</w:t>
      </w:r>
      <w:r w:rsidRPr="00DB6C72">
        <w:rPr>
          <w:rFonts w:cs="Lucida Sans Unicode"/>
          <w:sz w:val="20"/>
          <w:szCs w:val="20"/>
        </w:rPr>
        <w:softHyphen/>
        <w:t>kurseinfluss</w:t>
      </w:r>
      <w:proofErr w:type="spellEnd"/>
      <w:r w:rsidRPr="00DB6C72">
        <w:rPr>
          <w:rFonts w:cs="Lucida Sans Unicode"/>
          <w:sz w:val="20"/>
          <w:szCs w:val="20"/>
        </w:rPr>
        <w:t xml:space="preserve"> stieg der </w:t>
      </w:r>
      <w:r w:rsidRPr="001019E5">
        <w:rPr>
          <w:rFonts w:cs="Lucida Sans Unicode"/>
          <w:b/>
          <w:sz w:val="20"/>
          <w:szCs w:val="20"/>
        </w:rPr>
        <w:t>Umsatz</w:t>
      </w:r>
      <w:r w:rsidRPr="00DB6C72">
        <w:rPr>
          <w:rFonts w:cs="Lucida Sans Unicode"/>
          <w:sz w:val="20"/>
          <w:szCs w:val="20"/>
        </w:rPr>
        <w:t xml:space="preserve"> um 3 Prozent auf 4.204 Millionen €.</w:t>
      </w:r>
      <w:r>
        <w:rPr>
          <w:rFonts w:cs="Lucida Sans Unicode"/>
          <w:sz w:val="20"/>
          <w:szCs w:val="20"/>
        </w:rPr>
        <w:t xml:space="preserve"> </w:t>
      </w:r>
      <w:r w:rsidRPr="00DB6C72">
        <w:rPr>
          <w:rFonts w:cs="Lucida Sans Unicode"/>
          <w:sz w:val="20"/>
          <w:szCs w:val="20"/>
        </w:rPr>
        <w:t xml:space="preserve">Die operativen Ergebnisse lagen dank der guten Mengenentwicklung erneut auf ausgezeichnetem Niveau. Das bereinigte </w:t>
      </w:r>
      <w:r w:rsidRPr="001019E5">
        <w:rPr>
          <w:rFonts w:cs="Lucida Sans Unicode"/>
          <w:b/>
          <w:sz w:val="20"/>
          <w:szCs w:val="20"/>
        </w:rPr>
        <w:t>EBITDA</w:t>
      </w:r>
      <w:r w:rsidRPr="00DB6C72">
        <w:rPr>
          <w:rFonts w:cs="Lucida Sans Unicode"/>
          <w:sz w:val="20"/>
          <w:szCs w:val="20"/>
        </w:rPr>
        <w:t xml:space="preserve"> erreichte mit 1.050 Millionen € die Vorjahreshöhe und das bereinigte </w:t>
      </w:r>
      <w:r w:rsidRPr="001019E5">
        <w:rPr>
          <w:rFonts w:cs="Lucida Sans Unicode"/>
          <w:b/>
          <w:sz w:val="20"/>
          <w:szCs w:val="20"/>
        </w:rPr>
        <w:t>EBIT</w:t>
      </w:r>
      <w:r w:rsidRPr="00DB6C72">
        <w:rPr>
          <w:rFonts w:cs="Lucida Sans Unicode"/>
          <w:sz w:val="20"/>
          <w:szCs w:val="20"/>
        </w:rPr>
        <w:t xml:space="preserve"> nahm um 1 Prozent auf 924 Millionen € zu. Die bereinigte </w:t>
      </w:r>
      <w:r w:rsidRPr="004C79AC">
        <w:rPr>
          <w:rFonts w:cs="Lucida Sans Unicode"/>
          <w:b/>
          <w:sz w:val="20"/>
          <w:szCs w:val="20"/>
        </w:rPr>
        <w:t>EBITDA-Marge</w:t>
      </w:r>
      <w:r w:rsidRPr="00DB6C72">
        <w:rPr>
          <w:rFonts w:cs="Lucida Sans Unicode"/>
          <w:sz w:val="20"/>
          <w:szCs w:val="20"/>
        </w:rPr>
        <w:t xml:space="preserve"> ging leicht zurück, blieb aber mit 25,0 Prozent</w:t>
      </w:r>
      <w:r>
        <w:rPr>
          <w:rFonts w:cs="Lucida Sans Unicode"/>
          <w:sz w:val="20"/>
          <w:szCs w:val="20"/>
        </w:rPr>
        <w:t xml:space="preserve"> (Vorjahr: 25,7 Prozent)</w:t>
      </w:r>
      <w:r w:rsidRPr="00DB6C72">
        <w:rPr>
          <w:rFonts w:cs="Lucida Sans Unicode"/>
          <w:sz w:val="20"/>
          <w:szCs w:val="20"/>
        </w:rPr>
        <w:t xml:space="preserve"> weiter</w:t>
      </w:r>
      <w:r w:rsidRPr="00DB6C72">
        <w:rPr>
          <w:rFonts w:cs="Lucida Sans Unicode"/>
          <w:sz w:val="20"/>
          <w:szCs w:val="20"/>
        </w:rPr>
        <w:softHyphen/>
        <w:t xml:space="preserve">hin auf sehr hohem Niveau.   </w:t>
      </w:r>
    </w:p>
    <w:p w:rsidR="009D734A" w:rsidRDefault="009D734A" w:rsidP="009D734A">
      <w:pPr>
        <w:spacing w:line="300" w:lineRule="atLeast"/>
        <w:rPr>
          <w:rFonts w:cs="Lucida Sans Unicode"/>
          <w:sz w:val="20"/>
          <w:szCs w:val="20"/>
        </w:rPr>
      </w:pPr>
    </w:p>
    <w:p w:rsidR="009D734A" w:rsidRPr="00DB6C72" w:rsidRDefault="009D734A" w:rsidP="009D734A">
      <w:pPr>
        <w:spacing w:line="300" w:lineRule="atLeast"/>
        <w:rPr>
          <w:rFonts w:cs="Lucida Sans Unicode"/>
          <w:sz w:val="20"/>
          <w:szCs w:val="20"/>
        </w:rPr>
      </w:pPr>
    </w:p>
    <w:p w:rsidR="009D734A" w:rsidRDefault="009D734A" w:rsidP="009D734A">
      <w:pPr>
        <w:spacing w:line="300" w:lineRule="atLeast"/>
        <w:rPr>
          <w:rFonts w:cs="Lucida Sans Unicode"/>
          <w:b/>
          <w:sz w:val="20"/>
          <w:szCs w:val="20"/>
        </w:rPr>
      </w:pPr>
      <w:proofErr w:type="spellStart"/>
      <w:r>
        <w:rPr>
          <w:rFonts w:cs="Lucida Sans Unicode"/>
          <w:b/>
          <w:sz w:val="20"/>
          <w:szCs w:val="20"/>
        </w:rPr>
        <w:t>Resource</w:t>
      </w:r>
      <w:proofErr w:type="spellEnd"/>
      <w:r>
        <w:rPr>
          <w:rFonts w:cs="Lucida Sans Unicode"/>
          <w:b/>
          <w:sz w:val="20"/>
          <w:szCs w:val="20"/>
        </w:rPr>
        <w:t xml:space="preserve"> Efficiency</w:t>
      </w:r>
    </w:p>
    <w:p w:rsidR="009D734A" w:rsidRDefault="009D734A" w:rsidP="009D734A">
      <w:pPr>
        <w:spacing w:line="300" w:lineRule="atLeast"/>
        <w:rPr>
          <w:rFonts w:cs="Lucida Sans Unicode"/>
          <w:b/>
          <w:sz w:val="20"/>
          <w:szCs w:val="20"/>
        </w:rPr>
      </w:pPr>
    </w:p>
    <w:p w:rsidR="009D734A" w:rsidRDefault="009D734A" w:rsidP="009D734A">
      <w:pPr>
        <w:spacing w:line="300" w:lineRule="atLeast"/>
        <w:rPr>
          <w:rFonts w:cs="Lucida Sans Unicode"/>
          <w:sz w:val="20"/>
          <w:szCs w:val="20"/>
        </w:rPr>
      </w:pPr>
      <w:r>
        <w:rPr>
          <w:rFonts w:cs="Lucida Sans Unicode"/>
          <w:sz w:val="20"/>
          <w:szCs w:val="20"/>
        </w:rPr>
        <w:t xml:space="preserve">Das Segment </w:t>
      </w:r>
      <w:proofErr w:type="spellStart"/>
      <w:r>
        <w:rPr>
          <w:rFonts w:cs="Lucida Sans Unicode"/>
          <w:b/>
          <w:sz w:val="20"/>
          <w:szCs w:val="20"/>
        </w:rPr>
        <w:t>Resource</w:t>
      </w:r>
      <w:proofErr w:type="spellEnd"/>
      <w:r>
        <w:rPr>
          <w:rFonts w:cs="Lucida Sans Unicode"/>
          <w:b/>
          <w:sz w:val="20"/>
          <w:szCs w:val="20"/>
        </w:rPr>
        <w:t xml:space="preserve"> Efficiency </w:t>
      </w:r>
      <w:r w:rsidRPr="00724C1F">
        <w:rPr>
          <w:rFonts w:cs="Lucida Sans Unicode"/>
          <w:sz w:val="20"/>
          <w:szCs w:val="20"/>
        </w:rPr>
        <w:t>bietet umweltfreundliche und energieeffiziente Systemlösungen</w:t>
      </w:r>
      <w:r>
        <w:rPr>
          <w:rFonts w:cs="Lucida Sans Unicode"/>
          <w:sz w:val="20"/>
          <w:szCs w:val="20"/>
        </w:rPr>
        <w:t xml:space="preserve">. Dem Segment sind die beiden Geschäftsbereiche </w:t>
      </w:r>
      <w:proofErr w:type="spellStart"/>
      <w:r>
        <w:rPr>
          <w:rFonts w:cs="Lucida Sans Unicode"/>
          <w:sz w:val="20"/>
          <w:szCs w:val="20"/>
        </w:rPr>
        <w:t>Inorganic</w:t>
      </w:r>
      <w:proofErr w:type="spellEnd"/>
      <w:r>
        <w:rPr>
          <w:rFonts w:cs="Lucida Sans Unicode"/>
          <w:sz w:val="20"/>
          <w:szCs w:val="20"/>
        </w:rPr>
        <w:t xml:space="preserve"> Materials sowie </w:t>
      </w:r>
      <w:proofErr w:type="spellStart"/>
      <w:r>
        <w:rPr>
          <w:rFonts w:cs="Lucida Sans Unicode"/>
          <w:sz w:val="20"/>
          <w:szCs w:val="20"/>
        </w:rPr>
        <w:t>Coatings</w:t>
      </w:r>
      <w:proofErr w:type="spellEnd"/>
      <w:r>
        <w:rPr>
          <w:rFonts w:cs="Lucida Sans Unicode"/>
          <w:sz w:val="20"/>
          <w:szCs w:val="20"/>
        </w:rPr>
        <w:t xml:space="preserve"> &amp; Additives zugeordnet.</w:t>
      </w:r>
    </w:p>
    <w:p w:rsidR="009D734A" w:rsidRDefault="009D734A" w:rsidP="009D734A">
      <w:pPr>
        <w:spacing w:line="300" w:lineRule="atLeast"/>
        <w:rPr>
          <w:rFonts w:cs="Lucida Sans Unicode"/>
          <w:sz w:val="20"/>
          <w:szCs w:val="20"/>
        </w:rPr>
      </w:pPr>
    </w:p>
    <w:p w:rsidR="009D734A" w:rsidRPr="00724C1F" w:rsidRDefault="009D734A" w:rsidP="009D734A">
      <w:pPr>
        <w:spacing w:line="300" w:lineRule="atLeast"/>
        <w:rPr>
          <w:rFonts w:cs="Lucida Sans Unicode"/>
          <w:sz w:val="20"/>
          <w:szCs w:val="20"/>
        </w:rPr>
      </w:pPr>
      <w:r w:rsidRPr="00724C1F">
        <w:rPr>
          <w:rFonts w:cs="Lucida Sans Unicode"/>
          <w:sz w:val="20"/>
          <w:szCs w:val="20"/>
        </w:rPr>
        <w:t xml:space="preserve">Der </w:t>
      </w:r>
      <w:r w:rsidRPr="004C79AC">
        <w:rPr>
          <w:rFonts w:cs="Lucida Sans Unicode"/>
          <w:b/>
          <w:sz w:val="20"/>
          <w:szCs w:val="20"/>
        </w:rPr>
        <w:t>Umsatz</w:t>
      </w:r>
      <w:r w:rsidRPr="00724C1F">
        <w:rPr>
          <w:rFonts w:cs="Lucida Sans Unicode"/>
          <w:sz w:val="20"/>
          <w:szCs w:val="20"/>
        </w:rPr>
        <w:t xml:space="preserve"> des Segments </w:t>
      </w:r>
      <w:proofErr w:type="spellStart"/>
      <w:r w:rsidRPr="00724C1F">
        <w:rPr>
          <w:rFonts w:cs="Lucida Sans Unicode"/>
          <w:sz w:val="20"/>
          <w:szCs w:val="20"/>
        </w:rPr>
        <w:t>Resource</w:t>
      </w:r>
      <w:proofErr w:type="spellEnd"/>
      <w:r w:rsidRPr="00724C1F">
        <w:rPr>
          <w:rFonts w:cs="Lucida Sans Unicode"/>
          <w:sz w:val="20"/>
          <w:szCs w:val="20"/>
        </w:rPr>
        <w:t xml:space="preserve"> Efficiency sank um 23 Prozent auf 3.131 Millionen €. Maßgeblich für den Rückgang war die </w:t>
      </w:r>
      <w:r>
        <w:rPr>
          <w:rFonts w:cs="Lucida Sans Unicode"/>
          <w:sz w:val="20"/>
          <w:szCs w:val="20"/>
        </w:rPr>
        <w:t>Veräußerung</w:t>
      </w:r>
      <w:r w:rsidRPr="00724C1F">
        <w:rPr>
          <w:rFonts w:cs="Lucida Sans Unicode"/>
          <w:sz w:val="20"/>
          <w:szCs w:val="20"/>
        </w:rPr>
        <w:t xml:space="preserve"> der Nichtkerngeschäfte Carbon Black Ende Juli 2011 sowie </w:t>
      </w:r>
      <w:proofErr w:type="spellStart"/>
      <w:r w:rsidRPr="00724C1F">
        <w:rPr>
          <w:rFonts w:cs="Lucida Sans Unicode"/>
          <w:sz w:val="20"/>
          <w:szCs w:val="20"/>
        </w:rPr>
        <w:t>Colorants</w:t>
      </w:r>
      <w:proofErr w:type="spellEnd"/>
      <w:r w:rsidRPr="00724C1F">
        <w:rPr>
          <w:rFonts w:cs="Lucida Sans Unicode"/>
          <w:sz w:val="20"/>
          <w:szCs w:val="20"/>
        </w:rPr>
        <w:t xml:space="preserve"> Ende April 2012. Der um diese Einflüsse sowie den positiven Währungseffekt angepasste Umsatz lag nur leicht unter der Vorjahreshöhe. Hierbei wurde der Mengenrückgang teilweise durch geringfügig höhere Verkaufspreise ausgeglichen. Die operativen </w:t>
      </w:r>
      <w:r w:rsidRPr="00724C1F">
        <w:rPr>
          <w:rFonts w:cs="Lucida Sans Unicode"/>
          <w:sz w:val="20"/>
          <w:szCs w:val="20"/>
        </w:rPr>
        <w:lastRenderedPageBreak/>
        <w:t xml:space="preserve">Ergebnisse gingen maßgeblich infolge der im Vorjahr bis Juli noch enthaltenen </w:t>
      </w:r>
      <w:proofErr w:type="spellStart"/>
      <w:r w:rsidRPr="00724C1F">
        <w:rPr>
          <w:rFonts w:cs="Lucida Sans Unicode"/>
          <w:sz w:val="20"/>
          <w:szCs w:val="20"/>
        </w:rPr>
        <w:t>Ergebnis</w:t>
      </w:r>
      <w:r w:rsidRPr="00724C1F">
        <w:rPr>
          <w:rFonts w:cs="Lucida Sans Unicode"/>
          <w:sz w:val="20"/>
          <w:szCs w:val="20"/>
        </w:rPr>
        <w:softHyphen/>
        <w:t>beiträge</w:t>
      </w:r>
      <w:proofErr w:type="spellEnd"/>
      <w:r w:rsidRPr="00724C1F">
        <w:rPr>
          <w:rFonts w:cs="Lucida Sans Unicode"/>
          <w:sz w:val="20"/>
          <w:szCs w:val="20"/>
        </w:rPr>
        <w:t xml:space="preserve"> von </w:t>
      </w:r>
      <w:proofErr w:type="spellStart"/>
      <w:r w:rsidRPr="00724C1F">
        <w:rPr>
          <w:rFonts w:cs="Lucida Sans Unicode"/>
          <w:sz w:val="20"/>
          <w:szCs w:val="20"/>
        </w:rPr>
        <w:t>Carbon</w:t>
      </w:r>
      <w:proofErr w:type="spellEnd"/>
      <w:r w:rsidRPr="00724C1F">
        <w:rPr>
          <w:rFonts w:cs="Lucida Sans Unicode"/>
          <w:sz w:val="20"/>
          <w:szCs w:val="20"/>
        </w:rPr>
        <w:t xml:space="preserve"> Black zurück. Das bereinigte </w:t>
      </w:r>
      <w:r w:rsidRPr="004C79AC">
        <w:rPr>
          <w:rFonts w:cs="Lucida Sans Unicode"/>
          <w:b/>
          <w:sz w:val="20"/>
          <w:szCs w:val="20"/>
        </w:rPr>
        <w:t>EBITDA</w:t>
      </w:r>
      <w:r w:rsidRPr="00724C1F">
        <w:rPr>
          <w:rFonts w:cs="Lucida Sans Unicode"/>
          <w:sz w:val="20"/>
          <w:szCs w:val="20"/>
        </w:rPr>
        <w:t xml:space="preserve"> verringerte sich daher um 14 Prozent auf 655 Millio</w:t>
      </w:r>
      <w:r w:rsidRPr="00724C1F">
        <w:rPr>
          <w:rFonts w:cs="Lucida Sans Unicode"/>
          <w:sz w:val="20"/>
          <w:szCs w:val="20"/>
        </w:rPr>
        <w:softHyphen/>
        <w:t xml:space="preserve">nen € und das bereinigte </w:t>
      </w:r>
      <w:r w:rsidRPr="004C79AC">
        <w:rPr>
          <w:rFonts w:cs="Lucida Sans Unicode"/>
          <w:b/>
          <w:sz w:val="20"/>
          <w:szCs w:val="20"/>
        </w:rPr>
        <w:t>EBIT</w:t>
      </w:r>
      <w:r w:rsidRPr="00724C1F">
        <w:rPr>
          <w:rFonts w:cs="Lucida Sans Unicode"/>
          <w:sz w:val="20"/>
          <w:szCs w:val="20"/>
        </w:rPr>
        <w:t xml:space="preserve"> um 15 Prozent auf 517 Millionen €. Die bereinigte </w:t>
      </w:r>
      <w:r w:rsidRPr="004C79AC">
        <w:rPr>
          <w:rFonts w:cs="Lucida Sans Unicode"/>
          <w:b/>
          <w:sz w:val="20"/>
          <w:szCs w:val="20"/>
        </w:rPr>
        <w:t>EBITDA-Marge</w:t>
      </w:r>
      <w:r w:rsidRPr="00724C1F">
        <w:rPr>
          <w:rFonts w:cs="Lucida Sans Unicode"/>
          <w:sz w:val="20"/>
          <w:szCs w:val="20"/>
        </w:rPr>
        <w:t xml:space="preserve"> verbesserte sich sowohl operativ als auch aufgrund der Veräußerung </w:t>
      </w:r>
      <w:r>
        <w:rPr>
          <w:rFonts w:cs="Lucida Sans Unicode"/>
          <w:sz w:val="20"/>
          <w:szCs w:val="20"/>
        </w:rPr>
        <w:t>der</w:t>
      </w:r>
      <w:r w:rsidRPr="00724C1F">
        <w:rPr>
          <w:rFonts w:cs="Lucida Sans Unicode"/>
          <w:sz w:val="20"/>
          <w:szCs w:val="20"/>
        </w:rPr>
        <w:t xml:space="preserve"> Nichtkerngeschäfte von 18,9 Prozent auf 20,9 Prozent.</w:t>
      </w:r>
    </w:p>
    <w:p w:rsidR="009D734A" w:rsidRDefault="009D734A" w:rsidP="009D734A">
      <w:pPr>
        <w:spacing w:line="300" w:lineRule="atLeast"/>
        <w:rPr>
          <w:rFonts w:cs="Lucida Sans Unicode"/>
          <w:b/>
          <w:sz w:val="20"/>
          <w:szCs w:val="20"/>
        </w:rPr>
      </w:pPr>
      <w:r>
        <w:rPr>
          <w:rFonts w:cs="Lucida Sans Unicode"/>
          <w:b/>
          <w:sz w:val="20"/>
          <w:szCs w:val="20"/>
        </w:rPr>
        <w:t>Specialty Materials</w:t>
      </w:r>
    </w:p>
    <w:p w:rsidR="009D734A" w:rsidRDefault="009D734A" w:rsidP="009D734A">
      <w:pPr>
        <w:spacing w:line="300" w:lineRule="atLeast"/>
        <w:rPr>
          <w:rFonts w:cs="Lucida Sans Unicode"/>
          <w:b/>
          <w:sz w:val="20"/>
          <w:szCs w:val="20"/>
        </w:rPr>
      </w:pPr>
    </w:p>
    <w:p w:rsidR="009D734A" w:rsidRDefault="009D734A" w:rsidP="009D734A">
      <w:pPr>
        <w:spacing w:line="300" w:lineRule="atLeast"/>
        <w:rPr>
          <w:rFonts w:cs="Lucida Sans Unicode"/>
          <w:sz w:val="20"/>
          <w:szCs w:val="20"/>
        </w:rPr>
      </w:pPr>
      <w:r>
        <w:rPr>
          <w:rFonts w:cs="Lucida Sans Unicode"/>
          <w:sz w:val="20"/>
          <w:szCs w:val="20"/>
        </w:rPr>
        <w:t xml:space="preserve">Im Mittelpunkt des Segments </w:t>
      </w:r>
      <w:r>
        <w:rPr>
          <w:rFonts w:cs="Lucida Sans Unicode"/>
          <w:b/>
          <w:sz w:val="20"/>
          <w:szCs w:val="20"/>
        </w:rPr>
        <w:t>Specialty Materials</w:t>
      </w:r>
      <w:r>
        <w:rPr>
          <w:rFonts w:cs="Lucida Sans Unicode"/>
          <w:sz w:val="20"/>
          <w:szCs w:val="20"/>
        </w:rPr>
        <w:t xml:space="preserve"> steht die Herstellung von polymeren Werkstoffen sowie Zwischenprodukten vor allem für die Gummi- und Kunststoffindustrie. Das Segment umfasst die Geschäftsbereiche Performance Polymers und </w:t>
      </w:r>
      <w:proofErr w:type="spellStart"/>
      <w:r>
        <w:rPr>
          <w:rFonts w:cs="Lucida Sans Unicode"/>
          <w:sz w:val="20"/>
          <w:szCs w:val="20"/>
        </w:rPr>
        <w:t>Advanced</w:t>
      </w:r>
      <w:proofErr w:type="spellEnd"/>
      <w:r>
        <w:rPr>
          <w:rFonts w:cs="Lucida Sans Unicode"/>
          <w:sz w:val="20"/>
          <w:szCs w:val="20"/>
        </w:rPr>
        <w:t xml:space="preserve"> Intermediates. </w:t>
      </w:r>
    </w:p>
    <w:p w:rsidR="009D734A" w:rsidRDefault="009D734A" w:rsidP="009D734A">
      <w:pPr>
        <w:spacing w:line="300" w:lineRule="atLeast"/>
        <w:rPr>
          <w:rFonts w:cs="Lucida Sans Unicode"/>
          <w:sz w:val="20"/>
          <w:szCs w:val="20"/>
        </w:rPr>
      </w:pPr>
    </w:p>
    <w:p w:rsidR="009D734A" w:rsidRPr="00724C1F" w:rsidRDefault="009D734A" w:rsidP="009D734A">
      <w:pPr>
        <w:spacing w:line="300" w:lineRule="atLeast"/>
        <w:rPr>
          <w:rFonts w:cs="Lucida Sans Unicode"/>
          <w:sz w:val="20"/>
          <w:szCs w:val="20"/>
        </w:rPr>
      </w:pPr>
      <w:r w:rsidRPr="00724C1F">
        <w:rPr>
          <w:rFonts w:cs="Lucida Sans Unicode"/>
          <w:sz w:val="20"/>
          <w:szCs w:val="20"/>
        </w:rPr>
        <w:t xml:space="preserve">Der </w:t>
      </w:r>
      <w:r w:rsidRPr="004C79AC">
        <w:rPr>
          <w:rFonts w:cs="Lucida Sans Unicode"/>
          <w:b/>
          <w:sz w:val="20"/>
          <w:szCs w:val="20"/>
        </w:rPr>
        <w:t>Umsatz</w:t>
      </w:r>
      <w:r w:rsidRPr="00724C1F">
        <w:rPr>
          <w:rFonts w:cs="Lucida Sans Unicode"/>
          <w:sz w:val="20"/>
          <w:szCs w:val="20"/>
        </w:rPr>
        <w:t xml:space="preserve"> des Segments Specialty Materials gab um 1 Prozent auf 4.843 Millionen € nach. Hierbei glichen positive Währungskurseffekte den organischen Umsatzrückgang nahezu aus. Der Produktionsausfall infolge des Brands in der CDT-Anlage sowie ein Nachfragerückgang vor allem bei </w:t>
      </w:r>
      <w:proofErr w:type="spellStart"/>
      <w:r w:rsidRPr="00724C1F">
        <w:rPr>
          <w:rFonts w:cs="Lucida Sans Unicode"/>
          <w:sz w:val="20"/>
          <w:szCs w:val="20"/>
        </w:rPr>
        <w:t>Methacrylaten</w:t>
      </w:r>
      <w:proofErr w:type="spellEnd"/>
      <w:r w:rsidRPr="00724C1F">
        <w:rPr>
          <w:rFonts w:cs="Lucida Sans Unicode"/>
          <w:sz w:val="20"/>
          <w:szCs w:val="20"/>
        </w:rPr>
        <w:t xml:space="preserve"> führten zu insgesamt geringeren Mengen. Die Verkaufspreise erhöhten sich leicht infolge der teilweisen Weitergabe gestiegener Rohstoffkosten. Die operativen Ergebnisse blieben im Wesentlichen aufgrund des nachfragebedingten Mengenrückgangs, höherer Rohstoffkosten sowie teilweise geringerer </w:t>
      </w:r>
      <w:r>
        <w:rPr>
          <w:rFonts w:cs="Lucida Sans Unicode"/>
          <w:sz w:val="20"/>
          <w:szCs w:val="20"/>
        </w:rPr>
        <w:t>Margen</w:t>
      </w:r>
      <w:r w:rsidRPr="00724C1F">
        <w:rPr>
          <w:rFonts w:cs="Lucida Sans Unicode"/>
          <w:sz w:val="20"/>
          <w:szCs w:val="20"/>
        </w:rPr>
        <w:t xml:space="preserve"> unter den sehr guten Vorjahreswerten. Das bereinigte </w:t>
      </w:r>
      <w:r w:rsidRPr="004C79AC">
        <w:rPr>
          <w:rFonts w:cs="Lucida Sans Unicode"/>
          <w:b/>
          <w:sz w:val="20"/>
          <w:szCs w:val="20"/>
        </w:rPr>
        <w:t>EBITDA</w:t>
      </w:r>
      <w:r w:rsidRPr="00724C1F">
        <w:rPr>
          <w:rFonts w:cs="Lucida Sans Unicode"/>
          <w:sz w:val="20"/>
          <w:szCs w:val="20"/>
        </w:rPr>
        <w:t xml:space="preserve"> verringerte sich um 7 Prozent auf 843 Millionen € und das bereinigte </w:t>
      </w:r>
      <w:r w:rsidRPr="004C79AC">
        <w:rPr>
          <w:rFonts w:cs="Lucida Sans Unicode"/>
          <w:b/>
          <w:sz w:val="20"/>
          <w:szCs w:val="20"/>
        </w:rPr>
        <w:t>EBIT</w:t>
      </w:r>
      <w:r w:rsidRPr="00724C1F">
        <w:rPr>
          <w:rFonts w:cs="Lucida Sans Unicode"/>
          <w:sz w:val="20"/>
          <w:szCs w:val="20"/>
        </w:rPr>
        <w:t xml:space="preserve"> um 8 Prozent auf 691 Millionen €. </w:t>
      </w:r>
      <w:r>
        <w:rPr>
          <w:rFonts w:cs="Lucida Sans Unicode"/>
          <w:sz w:val="20"/>
          <w:szCs w:val="20"/>
        </w:rPr>
        <w:t xml:space="preserve">Die Ergebniseinbußen durch den CDT-Produktionsausfall wurden dagegen von den Versicherungserstattungen weitgehend ausgeglichen. </w:t>
      </w:r>
      <w:r w:rsidRPr="00724C1F">
        <w:rPr>
          <w:rFonts w:cs="Lucida Sans Unicode"/>
          <w:sz w:val="20"/>
          <w:szCs w:val="20"/>
        </w:rPr>
        <w:t xml:space="preserve">Die bereinigte </w:t>
      </w:r>
      <w:r w:rsidRPr="004C79AC">
        <w:rPr>
          <w:rFonts w:cs="Lucida Sans Unicode"/>
          <w:b/>
          <w:sz w:val="20"/>
          <w:szCs w:val="20"/>
        </w:rPr>
        <w:t xml:space="preserve">EBITDA-Marge </w:t>
      </w:r>
      <w:r w:rsidRPr="00724C1F">
        <w:rPr>
          <w:rFonts w:cs="Lucida Sans Unicode"/>
          <w:sz w:val="20"/>
          <w:szCs w:val="20"/>
        </w:rPr>
        <w:t xml:space="preserve">ging von 18,6 Prozent im Vorjahr auf 17,4 Prozent zurück. </w:t>
      </w:r>
    </w:p>
    <w:p w:rsidR="009D734A" w:rsidRDefault="009D734A" w:rsidP="009D734A">
      <w:pPr>
        <w:spacing w:line="300" w:lineRule="atLeast"/>
        <w:rPr>
          <w:rFonts w:cs="Lucida Sans Unicode"/>
          <w:sz w:val="20"/>
          <w:szCs w:val="20"/>
        </w:rPr>
      </w:pPr>
    </w:p>
    <w:p w:rsidR="009D734A" w:rsidRDefault="009D734A" w:rsidP="009D734A">
      <w:pPr>
        <w:spacing w:after="120" w:line="300" w:lineRule="atLeast"/>
        <w:rPr>
          <w:rFonts w:cs="Lucida Sans Unicode"/>
          <w:b/>
          <w:sz w:val="20"/>
          <w:szCs w:val="20"/>
        </w:rPr>
      </w:pPr>
      <w:r>
        <w:rPr>
          <w:rFonts w:cs="Lucida Sans Unicode"/>
          <w:b/>
          <w:sz w:val="20"/>
          <w:szCs w:val="20"/>
        </w:rPr>
        <w:t>Services</w:t>
      </w:r>
    </w:p>
    <w:p w:rsidR="009D734A" w:rsidRDefault="009D734A" w:rsidP="009D734A">
      <w:pPr>
        <w:spacing w:after="120" w:line="300" w:lineRule="atLeast"/>
        <w:rPr>
          <w:rFonts w:cs="Lucida Sans Unicode"/>
          <w:sz w:val="20"/>
          <w:szCs w:val="20"/>
        </w:rPr>
      </w:pPr>
      <w:r>
        <w:rPr>
          <w:rFonts w:cs="Lucida Sans Unicode"/>
          <w:sz w:val="20"/>
          <w:szCs w:val="20"/>
        </w:rPr>
        <w:t xml:space="preserve">Das Segment </w:t>
      </w:r>
      <w:r>
        <w:rPr>
          <w:rFonts w:cs="Lucida Sans Unicode"/>
          <w:b/>
          <w:sz w:val="20"/>
          <w:szCs w:val="20"/>
        </w:rPr>
        <w:t>Services</w:t>
      </w:r>
      <w:r>
        <w:rPr>
          <w:rFonts w:cs="Lucida Sans Unicode"/>
          <w:sz w:val="20"/>
          <w:szCs w:val="20"/>
        </w:rPr>
        <w:t xml:space="preserve"> erbringt seine Dienstleistungen vor allem für die operativen Spezialchemie-Geschäfte und das Corporate Center von Evonik sowie für Dritte.</w:t>
      </w:r>
    </w:p>
    <w:p w:rsidR="009D734A" w:rsidRPr="00724C1F" w:rsidRDefault="009D734A" w:rsidP="009D734A">
      <w:pPr>
        <w:spacing w:line="300" w:lineRule="atLeast"/>
        <w:rPr>
          <w:rFonts w:cs="Lucida Sans Unicode"/>
          <w:sz w:val="20"/>
          <w:szCs w:val="20"/>
        </w:rPr>
      </w:pPr>
      <w:r w:rsidRPr="00724C1F">
        <w:rPr>
          <w:rFonts w:cs="Lucida Sans Unicode"/>
          <w:sz w:val="20"/>
          <w:szCs w:val="20"/>
        </w:rPr>
        <w:t xml:space="preserve">Das Segment Services erzielte 2012 einen </w:t>
      </w:r>
      <w:r w:rsidRPr="004C79AC">
        <w:rPr>
          <w:rFonts w:cs="Lucida Sans Unicode"/>
          <w:b/>
          <w:sz w:val="20"/>
          <w:szCs w:val="20"/>
        </w:rPr>
        <w:t>Gesamtumsatz</w:t>
      </w:r>
      <w:r w:rsidRPr="00724C1F">
        <w:rPr>
          <w:rFonts w:cs="Lucida Sans Unicode"/>
          <w:sz w:val="20"/>
          <w:szCs w:val="20"/>
        </w:rPr>
        <w:t xml:space="preserve"> von 2.715 Millionen €, hiervon entfielen 1.716 Milli</w:t>
      </w:r>
      <w:r w:rsidRPr="00724C1F">
        <w:rPr>
          <w:rFonts w:cs="Lucida Sans Unicode"/>
          <w:sz w:val="20"/>
          <w:szCs w:val="20"/>
        </w:rPr>
        <w:softHyphen/>
        <w:t xml:space="preserve">onen € auf Innenumsätze. Der Außenumsatz </w:t>
      </w:r>
      <w:r>
        <w:rPr>
          <w:rFonts w:cs="Lucida Sans Unicode"/>
          <w:sz w:val="20"/>
          <w:szCs w:val="20"/>
        </w:rPr>
        <w:t xml:space="preserve">erhöhte sich </w:t>
      </w:r>
      <w:r w:rsidRPr="00724C1F">
        <w:rPr>
          <w:rFonts w:cs="Lucida Sans Unicode"/>
          <w:sz w:val="20"/>
          <w:szCs w:val="20"/>
        </w:rPr>
        <w:t xml:space="preserve">vor allem </w:t>
      </w:r>
      <w:r>
        <w:rPr>
          <w:rFonts w:cs="Lucida Sans Unicode"/>
          <w:sz w:val="20"/>
          <w:szCs w:val="20"/>
        </w:rPr>
        <w:t xml:space="preserve">aufgrund </w:t>
      </w:r>
      <w:r w:rsidRPr="00724C1F">
        <w:rPr>
          <w:rFonts w:cs="Lucida Sans Unicode"/>
          <w:sz w:val="20"/>
          <w:szCs w:val="20"/>
        </w:rPr>
        <w:t xml:space="preserve">einer höheren </w:t>
      </w:r>
      <w:proofErr w:type="spellStart"/>
      <w:r w:rsidRPr="00724C1F">
        <w:rPr>
          <w:rFonts w:cs="Lucida Sans Unicode"/>
          <w:sz w:val="20"/>
          <w:szCs w:val="20"/>
        </w:rPr>
        <w:t>Dienst</w:t>
      </w:r>
      <w:r w:rsidRPr="00724C1F">
        <w:rPr>
          <w:rFonts w:cs="Lucida Sans Unicode"/>
          <w:sz w:val="20"/>
          <w:szCs w:val="20"/>
        </w:rPr>
        <w:softHyphen/>
      </w:r>
      <w:r>
        <w:rPr>
          <w:rFonts w:cs="Lucida Sans Unicode"/>
          <w:sz w:val="20"/>
          <w:szCs w:val="20"/>
        </w:rPr>
        <w:t>leis</w:t>
      </w:r>
      <w:r w:rsidRPr="00724C1F">
        <w:rPr>
          <w:rFonts w:cs="Lucida Sans Unicode"/>
          <w:sz w:val="20"/>
          <w:szCs w:val="20"/>
        </w:rPr>
        <w:t>tungs</w:t>
      </w:r>
      <w:r>
        <w:rPr>
          <w:rFonts w:cs="Lucida Sans Unicode"/>
          <w:sz w:val="20"/>
          <w:szCs w:val="20"/>
        </w:rPr>
        <w:t>nachfrage</w:t>
      </w:r>
      <w:proofErr w:type="spellEnd"/>
      <w:r>
        <w:rPr>
          <w:rFonts w:cs="Lucida Sans Unicode"/>
          <w:sz w:val="20"/>
          <w:szCs w:val="20"/>
        </w:rPr>
        <w:t xml:space="preserve"> um 5 Prozent auf</w:t>
      </w:r>
      <w:r w:rsidRPr="00724C1F">
        <w:rPr>
          <w:rFonts w:cs="Lucida Sans Unicode"/>
          <w:sz w:val="20"/>
          <w:szCs w:val="20"/>
        </w:rPr>
        <w:t xml:space="preserve"> 999 Millionen €</w:t>
      </w:r>
      <w:r>
        <w:rPr>
          <w:rFonts w:cs="Lucida Sans Unicode"/>
          <w:sz w:val="20"/>
          <w:szCs w:val="20"/>
        </w:rPr>
        <w:t>.</w:t>
      </w:r>
      <w:r w:rsidRPr="00724C1F">
        <w:rPr>
          <w:rFonts w:cs="Lucida Sans Unicode"/>
          <w:sz w:val="20"/>
          <w:szCs w:val="20"/>
        </w:rPr>
        <w:t xml:space="preserve"> Das bereinigte </w:t>
      </w:r>
      <w:r w:rsidRPr="004C79AC">
        <w:rPr>
          <w:rFonts w:cs="Lucida Sans Unicode"/>
          <w:b/>
          <w:sz w:val="20"/>
          <w:szCs w:val="20"/>
        </w:rPr>
        <w:t>EBITDA</w:t>
      </w:r>
      <w:r w:rsidRPr="00724C1F">
        <w:rPr>
          <w:rFonts w:cs="Lucida Sans Unicode"/>
          <w:sz w:val="20"/>
          <w:szCs w:val="20"/>
        </w:rPr>
        <w:t xml:space="preserve"> wuchs um 17 Prozent auf 163 Millionen € und das bereinigte </w:t>
      </w:r>
      <w:r w:rsidRPr="004C79AC">
        <w:rPr>
          <w:rFonts w:cs="Lucida Sans Unicode"/>
          <w:b/>
          <w:sz w:val="20"/>
          <w:szCs w:val="20"/>
        </w:rPr>
        <w:t>EBIT</w:t>
      </w:r>
      <w:r w:rsidRPr="00724C1F">
        <w:rPr>
          <w:rFonts w:cs="Lucida Sans Unicode"/>
          <w:sz w:val="20"/>
          <w:szCs w:val="20"/>
        </w:rPr>
        <w:t xml:space="preserve"> um 21 Prozent auf 68 Millionen €. </w:t>
      </w:r>
    </w:p>
    <w:p w:rsidR="009D734A" w:rsidRDefault="009D734A" w:rsidP="009D734A">
      <w:pPr>
        <w:spacing w:line="300" w:lineRule="atLeast"/>
        <w:rPr>
          <w:rFonts w:cs="Lucida Sans Unicode"/>
          <w:sz w:val="20"/>
          <w:szCs w:val="20"/>
        </w:rPr>
      </w:pPr>
    </w:p>
    <w:p w:rsidR="009D734A" w:rsidRDefault="009D734A" w:rsidP="009D734A">
      <w:pPr>
        <w:spacing w:after="120" w:line="300" w:lineRule="atLeast"/>
        <w:rPr>
          <w:rFonts w:cs="Lucida Sans Unicode"/>
          <w:b/>
          <w:sz w:val="20"/>
          <w:szCs w:val="20"/>
        </w:rPr>
      </w:pPr>
      <w:r>
        <w:rPr>
          <w:rFonts w:cs="Lucida Sans Unicode"/>
          <w:b/>
          <w:sz w:val="20"/>
          <w:szCs w:val="20"/>
        </w:rPr>
        <w:lastRenderedPageBreak/>
        <w:t>Real Estate</w:t>
      </w:r>
    </w:p>
    <w:p w:rsidR="009D734A" w:rsidRDefault="009D734A" w:rsidP="009D734A">
      <w:pPr>
        <w:spacing w:after="120" w:line="300" w:lineRule="atLeast"/>
        <w:rPr>
          <w:rFonts w:cs="Lucida Sans Unicode"/>
          <w:sz w:val="20"/>
          <w:szCs w:val="20"/>
        </w:rPr>
      </w:pPr>
      <w:r>
        <w:rPr>
          <w:rFonts w:cs="Lucida Sans Unicode"/>
          <w:sz w:val="20"/>
          <w:szCs w:val="20"/>
        </w:rPr>
        <w:t xml:space="preserve">Das Segment </w:t>
      </w:r>
      <w:r>
        <w:rPr>
          <w:rFonts w:cs="Lucida Sans Unicode"/>
          <w:b/>
          <w:sz w:val="20"/>
          <w:szCs w:val="20"/>
        </w:rPr>
        <w:t>Real Estate</w:t>
      </w:r>
      <w:r>
        <w:rPr>
          <w:rFonts w:cs="Lucida Sans Unicode"/>
          <w:sz w:val="20"/>
          <w:szCs w:val="20"/>
        </w:rPr>
        <w:t xml:space="preserve">, das Evonik mittelfristig vollständig abgeben will, konzentriert sich auf die Vermietung von Wohnraum an private Haushalte in Nordrhein-Westfalen. </w:t>
      </w:r>
    </w:p>
    <w:p w:rsidR="009D734A" w:rsidRDefault="009D734A" w:rsidP="009D734A">
      <w:pPr>
        <w:spacing w:line="300" w:lineRule="atLeast"/>
        <w:rPr>
          <w:rFonts w:cs="Lucida Sans Unicode"/>
          <w:sz w:val="20"/>
          <w:szCs w:val="20"/>
        </w:rPr>
      </w:pPr>
    </w:p>
    <w:p w:rsidR="009D734A" w:rsidRDefault="009D734A" w:rsidP="009D734A">
      <w:pPr>
        <w:spacing w:line="300" w:lineRule="atLeast"/>
        <w:rPr>
          <w:rFonts w:cs="Lucida Sans Unicode"/>
          <w:sz w:val="20"/>
          <w:szCs w:val="20"/>
        </w:rPr>
      </w:pPr>
      <w:r>
        <w:rPr>
          <w:rFonts w:cs="Lucida Sans Unicode"/>
          <w:sz w:val="20"/>
          <w:szCs w:val="20"/>
        </w:rPr>
        <w:t xml:space="preserve">Im Segment </w:t>
      </w:r>
      <w:r>
        <w:rPr>
          <w:rFonts w:cs="Lucida Sans Unicode"/>
          <w:b/>
          <w:sz w:val="20"/>
          <w:szCs w:val="20"/>
        </w:rPr>
        <w:t>Real Estate</w:t>
      </w:r>
      <w:r>
        <w:rPr>
          <w:rFonts w:cs="Lucida Sans Unicode"/>
          <w:sz w:val="20"/>
          <w:szCs w:val="20"/>
        </w:rPr>
        <w:t xml:space="preserve"> erfolgt die operative Bewirtschaftung des Immobilienbestands seit dem 1. Januar 2012 durch die </w:t>
      </w:r>
      <w:proofErr w:type="spellStart"/>
      <w:r>
        <w:rPr>
          <w:rFonts w:cs="Lucida Sans Unicode"/>
          <w:sz w:val="20"/>
          <w:szCs w:val="20"/>
        </w:rPr>
        <w:t>Vivawest</w:t>
      </w:r>
      <w:proofErr w:type="spellEnd"/>
      <w:r>
        <w:rPr>
          <w:rFonts w:cs="Lucida Sans Unicode"/>
          <w:sz w:val="20"/>
          <w:szCs w:val="20"/>
        </w:rPr>
        <w:t xml:space="preserve"> Wohnen GmbH, einem Gemeinschaftsunternehmen von Evonik und THS, das seitdem </w:t>
      </w:r>
      <w:proofErr w:type="spellStart"/>
      <w:r>
        <w:rPr>
          <w:rFonts w:cs="Lucida Sans Unicode"/>
          <w:sz w:val="20"/>
          <w:szCs w:val="20"/>
        </w:rPr>
        <w:t>at</w:t>
      </w:r>
      <w:proofErr w:type="spellEnd"/>
      <w:r>
        <w:rPr>
          <w:rFonts w:cs="Lucida Sans Unicode"/>
          <w:sz w:val="20"/>
          <w:szCs w:val="20"/>
        </w:rPr>
        <w:t xml:space="preserve">-Equity bilanziert wird. Durch diese Bilanzierungsänderung entfällt ein Teil der bisher durch das Segment ausgewiesenen Umsatzerlöse. Die operativen Ergebnisse bleiben hiervon im Wesentlichen unberührt. </w:t>
      </w:r>
    </w:p>
    <w:p w:rsidR="009D734A" w:rsidRDefault="009D734A" w:rsidP="009D734A">
      <w:pPr>
        <w:spacing w:line="300" w:lineRule="atLeast"/>
        <w:rPr>
          <w:rFonts w:cs="Lucida Sans Unicode"/>
          <w:sz w:val="20"/>
          <w:szCs w:val="20"/>
        </w:rPr>
      </w:pPr>
    </w:p>
    <w:p w:rsidR="009D734A" w:rsidRPr="00DF7BB3" w:rsidRDefault="009D734A" w:rsidP="009D734A">
      <w:pPr>
        <w:spacing w:line="300" w:lineRule="atLeast"/>
        <w:rPr>
          <w:sz w:val="20"/>
          <w:szCs w:val="20"/>
        </w:rPr>
      </w:pPr>
      <w:r w:rsidRPr="00DF7BB3">
        <w:rPr>
          <w:sz w:val="20"/>
          <w:szCs w:val="20"/>
        </w:rPr>
        <w:t xml:space="preserve">Der </w:t>
      </w:r>
      <w:r w:rsidRPr="004C79AC">
        <w:rPr>
          <w:b/>
          <w:sz w:val="20"/>
          <w:szCs w:val="20"/>
        </w:rPr>
        <w:t>Umsatz</w:t>
      </w:r>
      <w:r w:rsidRPr="00DF7BB3">
        <w:rPr>
          <w:sz w:val="20"/>
          <w:szCs w:val="20"/>
        </w:rPr>
        <w:t xml:space="preserve"> </w:t>
      </w:r>
      <w:r>
        <w:rPr>
          <w:sz w:val="20"/>
          <w:szCs w:val="20"/>
        </w:rPr>
        <w:t xml:space="preserve">ging </w:t>
      </w:r>
      <w:r w:rsidRPr="00DF7BB3">
        <w:rPr>
          <w:sz w:val="20"/>
          <w:szCs w:val="20"/>
        </w:rPr>
        <w:t>deshalb um 42 Prozent auf 239 Millionen €</w:t>
      </w:r>
      <w:r>
        <w:rPr>
          <w:sz w:val="20"/>
          <w:szCs w:val="20"/>
        </w:rPr>
        <w:t xml:space="preserve"> zurück</w:t>
      </w:r>
      <w:r w:rsidRPr="00DF7BB3">
        <w:rPr>
          <w:sz w:val="20"/>
          <w:szCs w:val="20"/>
        </w:rPr>
        <w:t xml:space="preserve">. Die operativen Ergebnisse, die die </w:t>
      </w:r>
      <w:proofErr w:type="spellStart"/>
      <w:r w:rsidRPr="00DF7BB3">
        <w:rPr>
          <w:sz w:val="20"/>
          <w:szCs w:val="20"/>
        </w:rPr>
        <w:t>At</w:t>
      </w:r>
      <w:proofErr w:type="spellEnd"/>
      <w:r w:rsidRPr="00DF7BB3">
        <w:rPr>
          <w:sz w:val="20"/>
          <w:szCs w:val="20"/>
        </w:rPr>
        <w:t xml:space="preserve">-Equity-Ergebnisse von </w:t>
      </w:r>
      <w:proofErr w:type="spellStart"/>
      <w:r w:rsidRPr="00DF7BB3">
        <w:rPr>
          <w:sz w:val="20"/>
          <w:szCs w:val="20"/>
        </w:rPr>
        <w:t>Vivawest</w:t>
      </w:r>
      <w:proofErr w:type="spellEnd"/>
      <w:r w:rsidRPr="00DF7BB3">
        <w:rPr>
          <w:sz w:val="20"/>
          <w:szCs w:val="20"/>
        </w:rPr>
        <w:t xml:space="preserve"> Wohnen und THS umfassen, verringerten sich gegenüber den Vorjahreswerten. Hierbei ist zu berücksichtigen, dass die Ergebnisse Sondereffekte aus der Neubewertung aktiver latenter Steuern der THS beinhalten</w:t>
      </w:r>
      <w:r>
        <w:rPr>
          <w:sz w:val="20"/>
          <w:szCs w:val="20"/>
        </w:rPr>
        <w:t xml:space="preserve"> </w:t>
      </w:r>
      <w:r w:rsidRPr="00525589">
        <w:rPr>
          <w:sz w:val="20"/>
          <w:szCs w:val="20"/>
        </w:rPr>
        <w:t>(2012: 6 Millionen €; 2011: 20 Millionen €)</w:t>
      </w:r>
      <w:r w:rsidRPr="00DF7BB3">
        <w:rPr>
          <w:sz w:val="20"/>
          <w:szCs w:val="20"/>
        </w:rPr>
        <w:t xml:space="preserve">. Insgesamt ging das bereinigte </w:t>
      </w:r>
      <w:r w:rsidRPr="007D6D8E">
        <w:rPr>
          <w:b/>
          <w:sz w:val="20"/>
          <w:szCs w:val="20"/>
        </w:rPr>
        <w:t>EBITDA</w:t>
      </w:r>
      <w:r w:rsidRPr="00DF7BB3">
        <w:rPr>
          <w:sz w:val="20"/>
          <w:szCs w:val="20"/>
        </w:rPr>
        <w:t xml:space="preserve"> um 9 Prozent auf 199 Millionen € und das bereinigte </w:t>
      </w:r>
      <w:r w:rsidRPr="007D6D8E">
        <w:rPr>
          <w:b/>
          <w:sz w:val="20"/>
          <w:szCs w:val="20"/>
        </w:rPr>
        <w:t>EBIT</w:t>
      </w:r>
      <w:r w:rsidRPr="00DF7BB3">
        <w:rPr>
          <w:sz w:val="20"/>
          <w:szCs w:val="20"/>
        </w:rPr>
        <w:t xml:space="preserve"> um 10 Pro</w:t>
      </w:r>
      <w:r w:rsidRPr="00DF7BB3">
        <w:rPr>
          <w:sz w:val="20"/>
          <w:szCs w:val="20"/>
        </w:rPr>
        <w:softHyphen/>
        <w:t xml:space="preserve">zent auf 154 Millionen € zurück. </w:t>
      </w:r>
    </w:p>
    <w:p w:rsidR="009D734A" w:rsidRDefault="009D734A" w:rsidP="009D734A">
      <w:pPr>
        <w:spacing w:line="300" w:lineRule="atLeast"/>
        <w:rPr>
          <w:rFonts w:ascii="Times New Roman" w:hAnsi="Times New Roman"/>
          <w:b/>
          <w:color w:val="000000"/>
          <w:sz w:val="24"/>
        </w:rPr>
      </w:pPr>
    </w:p>
    <w:p w:rsidR="009D734A" w:rsidRDefault="009D734A" w:rsidP="009D734A">
      <w:pPr>
        <w:spacing w:line="300" w:lineRule="atLeast"/>
        <w:rPr>
          <w:rFonts w:cs="Lucida Sans Unicode"/>
          <w:b/>
          <w:color w:val="000000"/>
          <w:sz w:val="20"/>
          <w:szCs w:val="20"/>
        </w:rPr>
      </w:pPr>
      <w:r w:rsidRPr="00B440EC">
        <w:rPr>
          <w:rFonts w:cs="Lucida Sans Unicode"/>
          <w:b/>
          <w:color w:val="000000"/>
          <w:sz w:val="20"/>
          <w:szCs w:val="20"/>
        </w:rPr>
        <w:t xml:space="preserve">Konzern: Viertes Quartal von konjunktureller Eintrübung geprägt </w:t>
      </w:r>
    </w:p>
    <w:p w:rsidR="009D734A" w:rsidRPr="00B440EC" w:rsidRDefault="009D734A" w:rsidP="009D734A">
      <w:pPr>
        <w:spacing w:line="300" w:lineRule="atLeast"/>
        <w:rPr>
          <w:rFonts w:cs="Lucida Sans Unicode"/>
          <w:b/>
          <w:color w:val="000000"/>
          <w:sz w:val="20"/>
          <w:szCs w:val="20"/>
        </w:rPr>
      </w:pPr>
    </w:p>
    <w:p w:rsidR="009D734A" w:rsidRDefault="009D734A" w:rsidP="009D734A">
      <w:pPr>
        <w:spacing w:line="300" w:lineRule="atLeast"/>
        <w:rPr>
          <w:b/>
          <w:sz w:val="20"/>
          <w:szCs w:val="20"/>
        </w:rPr>
      </w:pPr>
      <w:r w:rsidRPr="00DF7BB3">
        <w:rPr>
          <w:sz w:val="20"/>
          <w:szCs w:val="20"/>
        </w:rPr>
        <w:t>Die im vierten Quartal verspürte konjunkturelle Eintrübung und gezielte</w:t>
      </w:r>
      <w:r w:rsidR="00A64D60">
        <w:rPr>
          <w:sz w:val="20"/>
          <w:szCs w:val="20"/>
        </w:rPr>
        <w:t>r</w:t>
      </w:r>
      <w:r w:rsidRPr="00DF7BB3">
        <w:rPr>
          <w:sz w:val="20"/>
          <w:szCs w:val="20"/>
        </w:rPr>
        <w:t xml:space="preserve"> Lagerabbau bei Kunden wirkten sich auch auf </w:t>
      </w:r>
      <w:r>
        <w:rPr>
          <w:sz w:val="20"/>
          <w:szCs w:val="20"/>
        </w:rPr>
        <w:t xml:space="preserve">die </w:t>
      </w:r>
      <w:r w:rsidRPr="00DF7BB3">
        <w:rPr>
          <w:sz w:val="20"/>
          <w:szCs w:val="20"/>
        </w:rPr>
        <w:t>Geschäftsen</w:t>
      </w:r>
      <w:r>
        <w:rPr>
          <w:sz w:val="20"/>
          <w:szCs w:val="20"/>
        </w:rPr>
        <w:t>twicklung</w:t>
      </w:r>
      <w:r w:rsidRPr="00B440EC">
        <w:rPr>
          <w:rFonts w:cs="Lucida Sans Unicode"/>
          <w:color w:val="000000"/>
          <w:sz w:val="20"/>
          <w:szCs w:val="20"/>
        </w:rPr>
        <w:t xml:space="preserve"> aus: Der </w:t>
      </w:r>
      <w:r w:rsidRPr="00B440EC">
        <w:rPr>
          <w:rFonts w:cs="Lucida Sans Unicode"/>
          <w:b/>
          <w:bCs/>
          <w:color w:val="000000"/>
          <w:sz w:val="20"/>
          <w:szCs w:val="20"/>
        </w:rPr>
        <w:t>Umsatz</w:t>
      </w:r>
      <w:r w:rsidRPr="00B440EC">
        <w:rPr>
          <w:rFonts w:cs="Lucida Sans Unicode"/>
          <w:color w:val="000000"/>
          <w:sz w:val="20"/>
          <w:szCs w:val="20"/>
        </w:rPr>
        <w:t xml:space="preserve"> des Evonik-Konzerns verringerte sich gegenüber dem Vorjahresquartal bei rückläufigen Verkaufspreisen und leicht höheren Absatzmengen um 2 Prozent auf 3.273 Millionen €. Das bereinigte </w:t>
      </w:r>
      <w:r w:rsidRPr="00B440EC">
        <w:rPr>
          <w:rFonts w:cs="Lucida Sans Unicode"/>
          <w:b/>
          <w:bCs/>
          <w:color w:val="000000"/>
          <w:sz w:val="20"/>
          <w:szCs w:val="20"/>
        </w:rPr>
        <w:t>EBITDA</w:t>
      </w:r>
      <w:r w:rsidRPr="00B440EC">
        <w:rPr>
          <w:rFonts w:cs="Lucida Sans Unicode"/>
          <w:color w:val="000000"/>
          <w:sz w:val="20"/>
          <w:szCs w:val="20"/>
        </w:rPr>
        <w:t xml:space="preserve"> ging um 6 Prozent auf 492 Millionen € und das bereinigte EBIT um 3 Prozent auf 336 Millionen € zurück. Die bereinigte </w:t>
      </w:r>
      <w:r w:rsidRPr="00B440EC">
        <w:rPr>
          <w:rFonts w:cs="Lucida Sans Unicode"/>
          <w:b/>
          <w:bCs/>
          <w:color w:val="000000"/>
          <w:sz w:val="20"/>
          <w:szCs w:val="20"/>
        </w:rPr>
        <w:t>EBITDA-Marge</w:t>
      </w:r>
      <w:r w:rsidRPr="00B440EC">
        <w:rPr>
          <w:rFonts w:cs="Lucida Sans Unicode"/>
          <w:color w:val="000000"/>
          <w:sz w:val="20"/>
          <w:szCs w:val="20"/>
        </w:rPr>
        <w:t xml:space="preserve"> lag mit 15,0 Prozent leicht unter dem Wert des Vorjahresquartals (15,7 Prozent). Das </w:t>
      </w:r>
      <w:r w:rsidRPr="00FE7576">
        <w:rPr>
          <w:rFonts w:cs="Lucida Sans Unicode"/>
          <w:b/>
          <w:color w:val="000000"/>
          <w:sz w:val="20"/>
          <w:szCs w:val="20"/>
        </w:rPr>
        <w:t>Konzernergebnis</w:t>
      </w:r>
      <w:r w:rsidRPr="00B440EC">
        <w:rPr>
          <w:rFonts w:cs="Lucida Sans Unicode"/>
          <w:color w:val="000000"/>
          <w:sz w:val="20"/>
          <w:szCs w:val="20"/>
        </w:rPr>
        <w:t xml:space="preserve"> </w:t>
      </w:r>
      <w:r w:rsidRPr="00B440EC">
        <w:rPr>
          <w:rFonts w:cs="Lucida Sans Unicode"/>
          <w:sz w:val="20"/>
          <w:szCs w:val="20"/>
        </w:rPr>
        <w:t>verbesserte sich auch aufgrund von Steuereffekten</w:t>
      </w:r>
      <w:r w:rsidRPr="00B440EC">
        <w:rPr>
          <w:rFonts w:cs="Lucida Sans Unicode"/>
          <w:color w:val="000000"/>
          <w:sz w:val="20"/>
          <w:szCs w:val="20"/>
        </w:rPr>
        <w:t xml:space="preserve"> gegenüber dem Vorjahresquartal um 128 Millionen € auf 276 Millionen €.</w:t>
      </w:r>
      <w:r w:rsidRPr="00B440EC">
        <w:rPr>
          <w:rFonts w:cs="Lucida Sans Unicode"/>
          <w:sz w:val="20"/>
          <w:szCs w:val="20"/>
        </w:rPr>
        <w:br w:type="column"/>
      </w:r>
      <w:r>
        <w:rPr>
          <w:b/>
          <w:sz w:val="20"/>
          <w:szCs w:val="20"/>
        </w:rPr>
        <w:lastRenderedPageBreak/>
        <w:t>Ausblick</w:t>
      </w:r>
    </w:p>
    <w:p w:rsidR="009D734A" w:rsidRDefault="009D734A" w:rsidP="009D734A">
      <w:pPr>
        <w:spacing w:line="300" w:lineRule="atLeast"/>
        <w:rPr>
          <w:b/>
          <w:sz w:val="20"/>
          <w:szCs w:val="20"/>
        </w:rPr>
      </w:pPr>
    </w:p>
    <w:p w:rsidR="009D734A" w:rsidRDefault="009D734A" w:rsidP="009D734A">
      <w:pPr>
        <w:spacing w:line="300" w:lineRule="atLeast"/>
        <w:rPr>
          <w:b/>
          <w:sz w:val="20"/>
          <w:szCs w:val="20"/>
        </w:rPr>
      </w:pPr>
      <w:r>
        <w:rPr>
          <w:b/>
          <w:sz w:val="20"/>
          <w:szCs w:val="20"/>
        </w:rPr>
        <w:t>2013: Trotz weiterhin herausforderndem Umfeld erneut erfolgreiches Geschäftsjahr erwartet</w:t>
      </w:r>
    </w:p>
    <w:p w:rsidR="009D734A" w:rsidRPr="00DF7BB3" w:rsidRDefault="009D734A" w:rsidP="009D734A">
      <w:pPr>
        <w:spacing w:line="300" w:lineRule="atLeast"/>
        <w:ind w:right="79"/>
        <w:rPr>
          <w:sz w:val="20"/>
          <w:szCs w:val="20"/>
        </w:rPr>
      </w:pPr>
    </w:p>
    <w:p w:rsidR="009D734A" w:rsidRDefault="009D734A" w:rsidP="009D734A">
      <w:pPr>
        <w:spacing w:line="300" w:lineRule="atLeast"/>
        <w:ind w:right="79"/>
        <w:rPr>
          <w:sz w:val="20"/>
          <w:szCs w:val="20"/>
        </w:rPr>
      </w:pPr>
      <w:r w:rsidRPr="00DF7BB3">
        <w:rPr>
          <w:sz w:val="20"/>
          <w:szCs w:val="20"/>
        </w:rPr>
        <w:t xml:space="preserve">Die weltwirtschaftlichen Rahmenbedingungen bleiben anspruchsvoll. Eine rasche Erholung der Weltkonjunktur erscheint aus heutiger Sicht nicht sehr wahrscheinlich. Zudem führt die schwelende Staatsschuldenkrise in Europa weiterhin zu deutlichen Unsicherheiten, die die konjunkturelle Entwicklung beeinträchtigen können. </w:t>
      </w:r>
    </w:p>
    <w:p w:rsidR="009D734A" w:rsidRDefault="009D734A" w:rsidP="009D734A">
      <w:pPr>
        <w:spacing w:line="300" w:lineRule="atLeast"/>
        <w:ind w:right="79"/>
        <w:rPr>
          <w:sz w:val="20"/>
          <w:szCs w:val="20"/>
        </w:rPr>
      </w:pPr>
    </w:p>
    <w:p w:rsidR="009D734A" w:rsidRPr="00DF7BB3" w:rsidRDefault="009D734A" w:rsidP="009D734A">
      <w:pPr>
        <w:spacing w:line="300" w:lineRule="atLeast"/>
        <w:ind w:right="79"/>
        <w:rPr>
          <w:sz w:val="20"/>
          <w:szCs w:val="20"/>
        </w:rPr>
      </w:pPr>
      <w:r w:rsidRPr="00DF7BB3">
        <w:rPr>
          <w:sz w:val="20"/>
          <w:szCs w:val="20"/>
        </w:rPr>
        <w:t xml:space="preserve">Dennoch erwartet Evonik </w:t>
      </w:r>
      <w:r>
        <w:rPr>
          <w:sz w:val="20"/>
          <w:szCs w:val="20"/>
        </w:rPr>
        <w:t>auch für 2013</w:t>
      </w:r>
      <w:r w:rsidRPr="00DF7BB3">
        <w:rPr>
          <w:sz w:val="20"/>
          <w:szCs w:val="20"/>
        </w:rPr>
        <w:t xml:space="preserve"> eine erfolgreiche Geschäftsentwicklung. In einem weiterhin herausfordernden Umfeld </w:t>
      </w:r>
      <w:r>
        <w:rPr>
          <w:sz w:val="20"/>
          <w:szCs w:val="20"/>
        </w:rPr>
        <w:t>werden</w:t>
      </w:r>
      <w:r w:rsidRPr="00DF7BB3">
        <w:rPr>
          <w:sz w:val="20"/>
          <w:szCs w:val="20"/>
        </w:rPr>
        <w:t xml:space="preserve"> hierzu </w:t>
      </w:r>
      <w:r>
        <w:rPr>
          <w:sz w:val="20"/>
          <w:szCs w:val="20"/>
        </w:rPr>
        <w:t xml:space="preserve">nach heutiger Einschätzung </w:t>
      </w:r>
      <w:r w:rsidRPr="00DF7BB3">
        <w:rPr>
          <w:sz w:val="20"/>
          <w:szCs w:val="20"/>
        </w:rPr>
        <w:t xml:space="preserve">bereits die ersten umgesetzten Wachstumsinvestitionen positiv beitragen. Dank dieser neuen Produktionskapazitäten und einer steigenden Nachfrage erwartet der Konzern einen höheren Umsatz und operative Ergebnisse auf dem sehr guten Niveau von 2012. </w:t>
      </w:r>
    </w:p>
    <w:p w:rsidR="009D734A" w:rsidRDefault="009D734A" w:rsidP="009D734A">
      <w:pPr>
        <w:spacing w:line="300" w:lineRule="atLeast"/>
        <w:ind w:right="79"/>
        <w:rPr>
          <w:sz w:val="20"/>
          <w:szCs w:val="20"/>
        </w:rPr>
      </w:pPr>
    </w:p>
    <w:p w:rsidR="009D734A" w:rsidRPr="004A1BC3" w:rsidRDefault="009D734A" w:rsidP="009D734A">
      <w:pPr>
        <w:spacing w:line="300" w:lineRule="atLeast"/>
        <w:ind w:right="79"/>
        <w:rPr>
          <w:b/>
          <w:sz w:val="20"/>
          <w:szCs w:val="20"/>
        </w:rPr>
      </w:pPr>
      <w:r w:rsidRPr="004A1BC3">
        <w:rPr>
          <w:b/>
          <w:sz w:val="20"/>
          <w:szCs w:val="20"/>
        </w:rPr>
        <w:t>2014: Wachstum von Umsatz und operativen Ergebnissen erwartet</w:t>
      </w:r>
    </w:p>
    <w:p w:rsidR="009D734A" w:rsidRDefault="009D734A" w:rsidP="009D734A">
      <w:pPr>
        <w:spacing w:line="300" w:lineRule="atLeast"/>
        <w:ind w:right="79"/>
        <w:rPr>
          <w:sz w:val="20"/>
          <w:szCs w:val="20"/>
        </w:rPr>
      </w:pPr>
    </w:p>
    <w:p w:rsidR="009D734A" w:rsidRDefault="009D734A" w:rsidP="009D734A">
      <w:pPr>
        <w:spacing w:line="300" w:lineRule="atLeast"/>
        <w:ind w:right="79"/>
        <w:rPr>
          <w:sz w:val="20"/>
          <w:szCs w:val="20"/>
        </w:rPr>
      </w:pPr>
      <w:r>
        <w:rPr>
          <w:sz w:val="20"/>
          <w:szCs w:val="20"/>
        </w:rPr>
        <w:t>Für das Jahr 2014 erwartet Evonik – getragen von einer höheren Mengennachfrage – einen spürbaren Anstieg von Umsatz und operativen Ergebnissen gegenüber den Jahren 2012 und 2013. Hierzu werden nach heutiger Einschätzung auch die erweiterten Produktionskapazitäten beitragen, mit denen das Unternehmen an dem erwarteten Marktwachstum überproportional teilhaben will.</w:t>
      </w:r>
    </w:p>
    <w:p w:rsidR="009D734A" w:rsidRDefault="009D734A" w:rsidP="009D734A">
      <w:pPr>
        <w:ind w:right="79"/>
        <w:rPr>
          <w:sz w:val="20"/>
          <w:szCs w:val="20"/>
        </w:rPr>
      </w:pPr>
    </w:p>
    <w:p w:rsidR="009D734A" w:rsidRDefault="009D734A" w:rsidP="009D734A">
      <w:pPr>
        <w:ind w:right="79"/>
        <w:rPr>
          <w:sz w:val="20"/>
          <w:szCs w:val="20"/>
        </w:rPr>
      </w:pPr>
    </w:p>
    <w:p w:rsidR="009D734A" w:rsidRDefault="009D734A" w:rsidP="009D734A">
      <w:pPr>
        <w:ind w:right="79"/>
        <w:rPr>
          <w:sz w:val="20"/>
          <w:szCs w:val="20"/>
        </w:rPr>
      </w:pPr>
    </w:p>
    <w:p w:rsidR="009D734A" w:rsidRDefault="009D734A" w:rsidP="009D734A">
      <w:pPr>
        <w:spacing w:line="160" w:lineRule="exact"/>
        <w:rPr>
          <w:rFonts w:cs="Lucida Sans Unicode"/>
          <w:b/>
          <w:bCs/>
          <w:sz w:val="20"/>
          <w:szCs w:val="20"/>
        </w:rPr>
      </w:pPr>
      <w:r>
        <w:br w:type="page"/>
      </w:r>
      <w:r>
        <w:rPr>
          <w:rFonts w:cs="Lucida Sans Unicode"/>
          <w:b/>
          <w:bCs/>
          <w:sz w:val="20"/>
          <w:szCs w:val="20"/>
        </w:rPr>
        <w:lastRenderedPageBreak/>
        <w:t xml:space="preserve"> </w:t>
      </w:r>
    </w:p>
    <w:p w:rsidR="009D734A" w:rsidRDefault="009D734A" w:rsidP="009D734A">
      <w:pPr>
        <w:spacing w:line="160" w:lineRule="exact"/>
        <w:rPr>
          <w:sz w:val="20"/>
          <w:szCs w:val="20"/>
        </w:rPr>
      </w:pPr>
    </w:p>
    <w:p w:rsidR="009D734A" w:rsidRDefault="009D734A" w:rsidP="009D734A">
      <w:pPr>
        <w:spacing w:line="160" w:lineRule="exact"/>
        <w:rPr>
          <w:rFonts w:cs="Lucida Sans Unicode"/>
          <w:bCs/>
          <w:sz w:val="16"/>
          <w:szCs w:val="16"/>
        </w:rPr>
      </w:pPr>
      <w:r>
        <w:rPr>
          <w:rFonts w:cs="Lucida Sans Unicode"/>
          <w:b/>
          <w:sz w:val="20"/>
          <w:szCs w:val="20"/>
        </w:rPr>
        <w:t>Evonik-Konzern: Ergebnisrechnung im Überblick</w:t>
      </w:r>
      <w:r>
        <w:rPr>
          <w:rFonts w:cs="Lucida Sans Unicode"/>
          <w:b/>
          <w:sz w:val="20"/>
          <w:szCs w:val="20"/>
        </w:rPr>
        <w:br/>
      </w:r>
    </w:p>
    <w:tbl>
      <w:tblPr>
        <w:tblW w:w="1006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43"/>
        <w:gridCol w:w="1037"/>
        <w:gridCol w:w="1037"/>
        <w:gridCol w:w="1037"/>
        <w:gridCol w:w="1038"/>
        <w:gridCol w:w="1037"/>
        <w:gridCol w:w="1037"/>
      </w:tblGrid>
      <w:tr w:rsidR="009D734A" w:rsidTr="00B00FE7">
        <w:trPr>
          <w:trHeight w:val="510"/>
        </w:trPr>
        <w:tc>
          <w:tcPr>
            <w:tcW w:w="3843" w:type="dxa"/>
            <w:noWrap/>
            <w:vAlign w:val="center"/>
          </w:tcPr>
          <w:p w:rsidR="009D734A" w:rsidRDefault="009D734A" w:rsidP="00B00FE7">
            <w:pPr>
              <w:rPr>
                <w:rFonts w:cs="Lucida Sans Unicode"/>
                <w:b/>
                <w:bCs/>
                <w:spacing w:val="-8"/>
                <w:sz w:val="20"/>
                <w:szCs w:val="20"/>
              </w:rPr>
            </w:pPr>
            <w:r>
              <w:rPr>
                <w:rFonts w:cs="Lucida Sans Unicode"/>
                <w:b/>
                <w:bCs/>
                <w:spacing w:val="-8"/>
                <w:sz w:val="20"/>
                <w:szCs w:val="20"/>
              </w:rPr>
              <w:t>(in Mio. €)</w:t>
            </w:r>
          </w:p>
        </w:tc>
        <w:tc>
          <w:tcPr>
            <w:tcW w:w="1037" w:type="dxa"/>
            <w:shd w:val="clear" w:color="auto" w:fill="D9D9D9"/>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Q4 2012</w:t>
            </w:r>
          </w:p>
        </w:tc>
        <w:tc>
          <w:tcPr>
            <w:tcW w:w="1037" w:type="dxa"/>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Q4 2011</w:t>
            </w:r>
          </w:p>
        </w:tc>
        <w:tc>
          <w:tcPr>
            <w:tcW w:w="1037" w:type="dxa"/>
            <w:vAlign w:val="center"/>
          </w:tcPr>
          <w:p w:rsidR="009D734A" w:rsidRDefault="009D734A" w:rsidP="00B00FE7">
            <w:pPr>
              <w:jc w:val="center"/>
              <w:rPr>
                <w:rFonts w:cs="Lucida Sans Unicode"/>
                <w:b/>
                <w:bCs/>
                <w:spacing w:val="-8"/>
                <w:sz w:val="20"/>
                <w:szCs w:val="20"/>
              </w:rPr>
            </w:pPr>
            <w:proofErr w:type="spellStart"/>
            <w:r>
              <w:rPr>
                <w:rFonts w:cs="Lucida Sans Unicode"/>
                <w:b/>
                <w:bCs/>
                <w:spacing w:val="-8"/>
                <w:sz w:val="20"/>
                <w:szCs w:val="20"/>
              </w:rPr>
              <w:t>Veränd</w:t>
            </w:r>
            <w:proofErr w:type="spellEnd"/>
            <w:r>
              <w:rPr>
                <w:rFonts w:cs="Lucida Sans Unicode"/>
                <w:b/>
                <w:bCs/>
                <w:spacing w:val="-8"/>
                <w:sz w:val="20"/>
                <w:szCs w:val="20"/>
              </w:rPr>
              <w:t xml:space="preserve">. </w:t>
            </w:r>
            <w:r>
              <w:rPr>
                <w:rFonts w:cs="Lucida Sans Unicode"/>
                <w:b/>
                <w:bCs/>
                <w:spacing w:val="-8"/>
                <w:sz w:val="20"/>
                <w:szCs w:val="20"/>
              </w:rPr>
              <w:br/>
              <w:t>in %</w:t>
            </w:r>
          </w:p>
        </w:tc>
        <w:tc>
          <w:tcPr>
            <w:tcW w:w="1038" w:type="dxa"/>
            <w:shd w:val="clear" w:color="auto" w:fill="D9D9D9"/>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2012</w:t>
            </w:r>
          </w:p>
        </w:tc>
        <w:tc>
          <w:tcPr>
            <w:tcW w:w="1037" w:type="dxa"/>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2011</w:t>
            </w:r>
            <w:r w:rsidRPr="004128CC">
              <w:rPr>
                <w:rFonts w:cs="Lucida Sans Unicode"/>
                <w:b/>
                <w:bCs/>
                <w:spacing w:val="-8"/>
                <w:sz w:val="20"/>
                <w:szCs w:val="20"/>
                <w:vertAlign w:val="superscript"/>
              </w:rPr>
              <w:t>1)</w:t>
            </w:r>
          </w:p>
        </w:tc>
        <w:tc>
          <w:tcPr>
            <w:tcW w:w="1037" w:type="dxa"/>
            <w:vAlign w:val="center"/>
          </w:tcPr>
          <w:p w:rsidR="009D734A" w:rsidRDefault="009D734A" w:rsidP="00B00FE7">
            <w:pPr>
              <w:jc w:val="center"/>
              <w:rPr>
                <w:rFonts w:cs="Lucida Sans Unicode"/>
                <w:b/>
                <w:bCs/>
                <w:spacing w:val="-8"/>
                <w:sz w:val="20"/>
                <w:szCs w:val="20"/>
              </w:rPr>
            </w:pPr>
            <w:proofErr w:type="spellStart"/>
            <w:r>
              <w:rPr>
                <w:rFonts w:cs="Lucida Sans Unicode"/>
                <w:b/>
                <w:bCs/>
                <w:spacing w:val="-8"/>
                <w:sz w:val="20"/>
                <w:szCs w:val="20"/>
              </w:rPr>
              <w:t>Veränd</w:t>
            </w:r>
            <w:proofErr w:type="spellEnd"/>
            <w:r>
              <w:rPr>
                <w:rFonts w:cs="Lucida Sans Unicode"/>
                <w:b/>
                <w:bCs/>
                <w:spacing w:val="-8"/>
                <w:sz w:val="20"/>
                <w:szCs w:val="20"/>
              </w:rPr>
              <w:t xml:space="preserve">. </w:t>
            </w:r>
            <w:r>
              <w:rPr>
                <w:rFonts w:cs="Lucida Sans Unicode"/>
                <w:b/>
                <w:bCs/>
                <w:spacing w:val="-8"/>
                <w:sz w:val="20"/>
                <w:szCs w:val="20"/>
              </w:rPr>
              <w:br/>
              <w:t>in %</w:t>
            </w:r>
          </w:p>
        </w:tc>
      </w:tr>
      <w:tr w:rsidR="009D734A" w:rsidTr="00B00FE7">
        <w:trPr>
          <w:trHeight w:val="300"/>
        </w:trPr>
        <w:tc>
          <w:tcPr>
            <w:tcW w:w="3843" w:type="dxa"/>
            <w:noWrap/>
            <w:vAlign w:val="bottom"/>
          </w:tcPr>
          <w:p w:rsidR="009D734A" w:rsidRDefault="009D734A" w:rsidP="00B00FE7">
            <w:pPr>
              <w:rPr>
                <w:rFonts w:cs="Lucida Sans Unicode"/>
                <w:spacing w:val="-8"/>
                <w:sz w:val="20"/>
                <w:szCs w:val="20"/>
              </w:rPr>
            </w:pPr>
            <w:r>
              <w:rPr>
                <w:rFonts w:cs="Lucida Sans Unicode"/>
                <w:spacing w:val="-8"/>
                <w:sz w:val="20"/>
                <w:szCs w:val="20"/>
              </w:rPr>
              <w:t>Umsatz</w:t>
            </w:r>
          </w:p>
        </w:tc>
        <w:tc>
          <w:tcPr>
            <w:tcW w:w="1037" w:type="dxa"/>
            <w:shd w:val="clear" w:color="auto" w:fill="D9D9D9"/>
            <w:noWrap/>
            <w:vAlign w:val="bottom"/>
          </w:tcPr>
          <w:p w:rsidR="009D734A" w:rsidRDefault="009D734A" w:rsidP="00B00FE7">
            <w:pPr>
              <w:jc w:val="right"/>
              <w:rPr>
                <w:rFonts w:cs="Lucida Sans Unicode"/>
                <w:spacing w:val="-8"/>
                <w:sz w:val="20"/>
                <w:szCs w:val="20"/>
              </w:rPr>
            </w:pPr>
            <w:r>
              <w:rPr>
                <w:rFonts w:cs="Lucida Sans Unicode"/>
                <w:spacing w:val="-8"/>
                <w:sz w:val="20"/>
                <w:szCs w:val="20"/>
              </w:rPr>
              <w:t>3.273</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3.330</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-2</w:t>
            </w:r>
          </w:p>
        </w:tc>
        <w:tc>
          <w:tcPr>
            <w:tcW w:w="1038" w:type="dxa"/>
            <w:shd w:val="clear" w:color="auto" w:fill="D9D9D9"/>
            <w:noWrap/>
            <w:vAlign w:val="bottom"/>
          </w:tcPr>
          <w:p w:rsidR="009D734A" w:rsidRDefault="009D734A" w:rsidP="00B00FE7">
            <w:pPr>
              <w:jc w:val="right"/>
              <w:rPr>
                <w:rFonts w:cs="Lucida Sans Unicode"/>
                <w:spacing w:val="-8"/>
                <w:sz w:val="20"/>
                <w:szCs w:val="20"/>
              </w:rPr>
            </w:pPr>
            <w:r>
              <w:rPr>
                <w:rFonts w:cs="Lucida Sans Unicode"/>
                <w:spacing w:val="-8"/>
                <w:sz w:val="20"/>
                <w:szCs w:val="20"/>
              </w:rPr>
              <w:t>13.629</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14.540</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-6</w:t>
            </w:r>
          </w:p>
        </w:tc>
      </w:tr>
      <w:tr w:rsidR="009D734A" w:rsidTr="00B00FE7">
        <w:trPr>
          <w:trHeight w:val="300"/>
        </w:trPr>
        <w:tc>
          <w:tcPr>
            <w:tcW w:w="3843" w:type="dxa"/>
            <w:noWrap/>
            <w:vAlign w:val="bottom"/>
          </w:tcPr>
          <w:p w:rsidR="009D734A" w:rsidRDefault="009D734A" w:rsidP="00B00FE7">
            <w:pPr>
              <w:rPr>
                <w:rFonts w:cs="Lucida Sans Unicode"/>
                <w:spacing w:val="-8"/>
                <w:sz w:val="20"/>
                <w:szCs w:val="20"/>
              </w:rPr>
            </w:pPr>
            <w:r>
              <w:rPr>
                <w:rFonts w:cs="Lucida Sans Unicode"/>
                <w:spacing w:val="-8"/>
                <w:sz w:val="20"/>
                <w:szCs w:val="20"/>
              </w:rPr>
              <w:t>Bereinigtes EBITDA</w:t>
            </w:r>
          </w:p>
        </w:tc>
        <w:tc>
          <w:tcPr>
            <w:tcW w:w="1037" w:type="dxa"/>
            <w:shd w:val="clear" w:color="auto" w:fill="D9D9D9"/>
            <w:noWrap/>
            <w:vAlign w:val="bottom"/>
          </w:tcPr>
          <w:p w:rsidR="009D734A" w:rsidRDefault="009D734A" w:rsidP="00B00FE7">
            <w:pPr>
              <w:jc w:val="right"/>
              <w:rPr>
                <w:rFonts w:cs="Lucida Sans Unicode"/>
                <w:spacing w:val="-8"/>
                <w:sz w:val="20"/>
                <w:szCs w:val="20"/>
              </w:rPr>
            </w:pPr>
            <w:r>
              <w:rPr>
                <w:rFonts w:cs="Lucida Sans Unicode"/>
                <w:spacing w:val="-8"/>
                <w:sz w:val="20"/>
                <w:szCs w:val="20"/>
              </w:rPr>
              <w:t>492</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522</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-6</w:t>
            </w:r>
          </w:p>
        </w:tc>
        <w:tc>
          <w:tcPr>
            <w:tcW w:w="1038" w:type="dxa"/>
            <w:shd w:val="clear" w:color="auto" w:fill="D9D9D9"/>
            <w:noWrap/>
            <w:vAlign w:val="bottom"/>
          </w:tcPr>
          <w:p w:rsidR="009D734A" w:rsidRDefault="009D734A" w:rsidP="00B00FE7">
            <w:pPr>
              <w:jc w:val="right"/>
              <w:rPr>
                <w:rFonts w:cs="Lucida Sans Unicode"/>
                <w:spacing w:val="-8"/>
                <w:sz w:val="20"/>
                <w:szCs w:val="20"/>
              </w:rPr>
            </w:pPr>
            <w:r>
              <w:rPr>
                <w:rFonts w:cs="Lucida Sans Unicode"/>
                <w:spacing w:val="-8"/>
                <w:sz w:val="20"/>
                <w:szCs w:val="20"/>
              </w:rPr>
              <w:t>2.589</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2.768</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-6</w:t>
            </w:r>
          </w:p>
        </w:tc>
      </w:tr>
      <w:tr w:rsidR="009D734A" w:rsidTr="00B00FE7">
        <w:trPr>
          <w:trHeight w:val="300"/>
        </w:trPr>
        <w:tc>
          <w:tcPr>
            <w:tcW w:w="3843" w:type="dxa"/>
            <w:noWrap/>
            <w:vAlign w:val="bottom"/>
          </w:tcPr>
          <w:p w:rsidR="009D734A" w:rsidRDefault="009D734A" w:rsidP="00B00FE7">
            <w:pPr>
              <w:rPr>
                <w:rFonts w:cs="Lucida Sans Unicode"/>
                <w:b/>
                <w:spacing w:val="-8"/>
                <w:sz w:val="20"/>
                <w:szCs w:val="20"/>
              </w:rPr>
            </w:pPr>
            <w:r>
              <w:rPr>
                <w:rFonts w:cs="Lucida Sans Unicode"/>
                <w:b/>
                <w:spacing w:val="-8"/>
                <w:sz w:val="20"/>
                <w:szCs w:val="20"/>
              </w:rPr>
              <w:t>Bereinigtes EBIT</w:t>
            </w:r>
          </w:p>
        </w:tc>
        <w:tc>
          <w:tcPr>
            <w:tcW w:w="1037" w:type="dxa"/>
            <w:shd w:val="clear" w:color="auto" w:fill="D9D9D9"/>
            <w:noWrap/>
            <w:vAlign w:val="bottom"/>
          </w:tcPr>
          <w:p w:rsidR="009D734A" w:rsidRDefault="009D734A" w:rsidP="00B00FE7">
            <w:pPr>
              <w:jc w:val="right"/>
              <w:rPr>
                <w:rFonts w:cs="Lucida Sans Unicode"/>
                <w:spacing w:val="-8"/>
                <w:sz w:val="20"/>
                <w:szCs w:val="20"/>
              </w:rPr>
            </w:pPr>
            <w:r>
              <w:rPr>
                <w:rFonts w:cs="Lucida Sans Unicode"/>
                <w:spacing w:val="-8"/>
                <w:sz w:val="20"/>
                <w:szCs w:val="20"/>
              </w:rPr>
              <w:t>336</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347</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-3</w:t>
            </w:r>
          </w:p>
        </w:tc>
        <w:tc>
          <w:tcPr>
            <w:tcW w:w="1038" w:type="dxa"/>
            <w:shd w:val="clear" w:color="auto" w:fill="D9D9D9"/>
            <w:noWrap/>
            <w:vAlign w:val="bottom"/>
          </w:tcPr>
          <w:p w:rsidR="009D734A" w:rsidRDefault="009D734A" w:rsidP="00B00FE7">
            <w:pPr>
              <w:jc w:val="right"/>
              <w:rPr>
                <w:rFonts w:cs="Lucida Sans Unicode"/>
                <w:spacing w:val="-8"/>
                <w:sz w:val="20"/>
                <w:szCs w:val="20"/>
              </w:rPr>
            </w:pPr>
            <w:r>
              <w:rPr>
                <w:rFonts w:cs="Lucida Sans Unicode"/>
                <w:spacing w:val="-8"/>
                <w:sz w:val="20"/>
                <w:szCs w:val="20"/>
              </w:rPr>
              <w:t>1.953</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2.099</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-7</w:t>
            </w:r>
          </w:p>
        </w:tc>
      </w:tr>
      <w:tr w:rsidR="009D734A" w:rsidTr="00B00FE7">
        <w:trPr>
          <w:trHeight w:val="300"/>
        </w:trPr>
        <w:tc>
          <w:tcPr>
            <w:tcW w:w="3843" w:type="dxa"/>
            <w:noWrap/>
            <w:vAlign w:val="bottom"/>
          </w:tcPr>
          <w:p w:rsidR="009D734A" w:rsidRDefault="009D734A" w:rsidP="00B00FE7">
            <w:pPr>
              <w:rPr>
                <w:rFonts w:cs="Lucida Sans Unicode"/>
                <w:spacing w:val="-8"/>
                <w:sz w:val="20"/>
                <w:szCs w:val="20"/>
              </w:rPr>
            </w:pPr>
            <w:r>
              <w:rPr>
                <w:rFonts w:cs="Lucida Sans Unicode"/>
                <w:spacing w:val="-8"/>
                <w:sz w:val="20"/>
                <w:szCs w:val="20"/>
              </w:rPr>
              <w:t>Bereinigungen</w:t>
            </w:r>
          </w:p>
        </w:tc>
        <w:tc>
          <w:tcPr>
            <w:tcW w:w="1037" w:type="dxa"/>
            <w:shd w:val="clear" w:color="auto" w:fill="D9D9D9"/>
            <w:noWrap/>
            <w:vAlign w:val="bottom"/>
          </w:tcPr>
          <w:p w:rsidR="009D734A" w:rsidRDefault="009D734A" w:rsidP="00B00FE7">
            <w:pPr>
              <w:jc w:val="right"/>
              <w:rPr>
                <w:rFonts w:cs="Lucida Sans Unicode"/>
                <w:spacing w:val="-8"/>
                <w:sz w:val="20"/>
                <w:szCs w:val="20"/>
              </w:rPr>
            </w:pPr>
            <w:r>
              <w:rPr>
                <w:rFonts w:cs="Lucida Sans Unicode"/>
                <w:spacing w:val="-8"/>
                <w:sz w:val="20"/>
                <w:szCs w:val="20"/>
              </w:rPr>
              <w:t>41</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-55</w:t>
            </w:r>
          </w:p>
        </w:tc>
        <w:tc>
          <w:tcPr>
            <w:tcW w:w="1037" w:type="dxa"/>
            <w:noWrap/>
            <w:vAlign w:val="bottom"/>
          </w:tcPr>
          <w:p w:rsidR="009D734A" w:rsidRDefault="009D734A" w:rsidP="00B00FE7">
            <w:pPr>
              <w:jc w:val="right"/>
              <w:rPr>
                <w:rFonts w:cs="Lucida Sans Unicode"/>
                <w:spacing w:val="-8"/>
                <w:sz w:val="20"/>
                <w:szCs w:val="20"/>
              </w:rPr>
            </w:pPr>
          </w:p>
        </w:tc>
        <w:tc>
          <w:tcPr>
            <w:tcW w:w="1038" w:type="dxa"/>
            <w:shd w:val="clear" w:color="auto" w:fill="D9D9D9"/>
            <w:noWrap/>
            <w:vAlign w:val="bottom"/>
          </w:tcPr>
          <w:p w:rsidR="009D734A" w:rsidRDefault="009D734A" w:rsidP="00B00FE7">
            <w:pPr>
              <w:jc w:val="right"/>
              <w:rPr>
                <w:rFonts w:cs="Lucida Sans Unicode"/>
                <w:spacing w:val="-8"/>
                <w:sz w:val="20"/>
                <w:szCs w:val="20"/>
              </w:rPr>
            </w:pPr>
            <w:r>
              <w:rPr>
                <w:rFonts w:cs="Lucida Sans Unicode"/>
                <w:spacing w:val="-8"/>
                <w:sz w:val="20"/>
                <w:szCs w:val="20"/>
              </w:rPr>
              <w:t>16</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-175</w:t>
            </w:r>
          </w:p>
        </w:tc>
        <w:tc>
          <w:tcPr>
            <w:tcW w:w="1037" w:type="dxa"/>
            <w:noWrap/>
            <w:vAlign w:val="bottom"/>
          </w:tcPr>
          <w:p w:rsidR="009D734A" w:rsidRDefault="009D734A" w:rsidP="00B00FE7">
            <w:pPr>
              <w:jc w:val="right"/>
              <w:rPr>
                <w:rFonts w:cs="Lucida Sans Unicode"/>
                <w:spacing w:val="-8"/>
                <w:sz w:val="20"/>
                <w:szCs w:val="20"/>
              </w:rPr>
            </w:pPr>
          </w:p>
        </w:tc>
      </w:tr>
      <w:tr w:rsidR="009D734A" w:rsidTr="00B00FE7">
        <w:trPr>
          <w:trHeight w:val="300"/>
        </w:trPr>
        <w:tc>
          <w:tcPr>
            <w:tcW w:w="3843" w:type="dxa"/>
            <w:noWrap/>
            <w:vAlign w:val="bottom"/>
          </w:tcPr>
          <w:p w:rsidR="009D734A" w:rsidRDefault="009D734A" w:rsidP="00B00FE7">
            <w:pPr>
              <w:rPr>
                <w:rFonts w:cs="Lucida Sans Unicode"/>
                <w:spacing w:val="-8"/>
                <w:sz w:val="20"/>
                <w:szCs w:val="20"/>
              </w:rPr>
            </w:pPr>
            <w:r>
              <w:rPr>
                <w:rFonts w:cs="Lucida Sans Unicode"/>
                <w:spacing w:val="-8"/>
                <w:sz w:val="20"/>
                <w:szCs w:val="20"/>
              </w:rPr>
              <w:t>Zinsergebnis</w:t>
            </w:r>
          </w:p>
        </w:tc>
        <w:tc>
          <w:tcPr>
            <w:tcW w:w="1037" w:type="dxa"/>
            <w:shd w:val="clear" w:color="auto" w:fill="D9D9D9"/>
            <w:noWrap/>
            <w:vAlign w:val="bottom"/>
          </w:tcPr>
          <w:p w:rsidR="009D734A" w:rsidRDefault="009D734A" w:rsidP="00B00FE7">
            <w:pPr>
              <w:jc w:val="right"/>
              <w:rPr>
                <w:rFonts w:cs="Lucida Sans Unicode"/>
                <w:spacing w:val="-8"/>
                <w:sz w:val="20"/>
                <w:szCs w:val="20"/>
              </w:rPr>
            </w:pPr>
            <w:r>
              <w:rPr>
                <w:rFonts w:cs="Lucida Sans Unicode"/>
                <w:spacing w:val="-8"/>
                <w:sz w:val="20"/>
                <w:szCs w:val="20"/>
              </w:rPr>
              <w:t>-92</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-94</w:t>
            </w:r>
          </w:p>
        </w:tc>
        <w:tc>
          <w:tcPr>
            <w:tcW w:w="1037" w:type="dxa"/>
            <w:noWrap/>
            <w:vAlign w:val="bottom"/>
          </w:tcPr>
          <w:p w:rsidR="009D734A" w:rsidRDefault="009D734A" w:rsidP="00B00FE7">
            <w:pPr>
              <w:jc w:val="right"/>
              <w:rPr>
                <w:rFonts w:cs="Lucida Sans Unicode"/>
                <w:spacing w:val="-8"/>
                <w:sz w:val="20"/>
                <w:szCs w:val="20"/>
              </w:rPr>
            </w:pPr>
          </w:p>
        </w:tc>
        <w:tc>
          <w:tcPr>
            <w:tcW w:w="1038" w:type="dxa"/>
            <w:shd w:val="clear" w:color="auto" w:fill="D9D9D9"/>
            <w:noWrap/>
            <w:vAlign w:val="bottom"/>
          </w:tcPr>
          <w:p w:rsidR="009D734A" w:rsidRDefault="009D734A" w:rsidP="00B00FE7">
            <w:pPr>
              <w:jc w:val="right"/>
              <w:rPr>
                <w:rFonts w:cs="Lucida Sans Unicode"/>
                <w:spacing w:val="-8"/>
                <w:sz w:val="20"/>
                <w:szCs w:val="20"/>
              </w:rPr>
            </w:pPr>
            <w:r>
              <w:rPr>
                <w:rFonts w:cs="Lucida Sans Unicode"/>
                <w:spacing w:val="-8"/>
                <w:sz w:val="20"/>
                <w:szCs w:val="20"/>
              </w:rPr>
              <w:t>-357</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-381</w:t>
            </w:r>
          </w:p>
        </w:tc>
        <w:tc>
          <w:tcPr>
            <w:tcW w:w="1037" w:type="dxa"/>
            <w:noWrap/>
            <w:vAlign w:val="bottom"/>
          </w:tcPr>
          <w:p w:rsidR="009D734A" w:rsidRDefault="009D734A" w:rsidP="00B00FE7">
            <w:pPr>
              <w:jc w:val="right"/>
              <w:rPr>
                <w:rFonts w:cs="Lucida Sans Unicode"/>
                <w:spacing w:val="-8"/>
                <w:sz w:val="20"/>
                <w:szCs w:val="20"/>
              </w:rPr>
            </w:pPr>
          </w:p>
        </w:tc>
      </w:tr>
      <w:tr w:rsidR="009D734A" w:rsidTr="00B00FE7">
        <w:trPr>
          <w:trHeight w:val="510"/>
        </w:trPr>
        <w:tc>
          <w:tcPr>
            <w:tcW w:w="3843" w:type="dxa"/>
            <w:vAlign w:val="bottom"/>
          </w:tcPr>
          <w:p w:rsidR="009D734A" w:rsidRDefault="009D734A" w:rsidP="00B00FE7">
            <w:pPr>
              <w:rPr>
                <w:rFonts w:cs="Lucida Sans Unicode"/>
                <w:b/>
                <w:bCs/>
                <w:spacing w:val="-8"/>
                <w:sz w:val="20"/>
                <w:szCs w:val="20"/>
              </w:rPr>
            </w:pPr>
            <w:r>
              <w:rPr>
                <w:rFonts w:cs="Lucida Sans Unicode"/>
                <w:b/>
                <w:bCs/>
                <w:spacing w:val="-8"/>
                <w:sz w:val="20"/>
                <w:szCs w:val="20"/>
              </w:rPr>
              <w:t>= Ergebnis vor Ertragsteuern fortgeführter Aktivitäten</w:t>
            </w:r>
          </w:p>
        </w:tc>
        <w:tc>
          <w:tcPr>
            <w:tcW w:w="1037" w:type="dxa"/>
            <w:shd w:val="clear" w:color="auto" w:fill="D9D9D9"/>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285</w:t>
            </w:r>
          </w:p>
        </w:tc>
        <w:tc>
          <w:tcPr>
            <w:tcW w:w="1037" w:type="dxa"/>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198</w:t>
            </w:r>
          </w:p>
        </w:tc>
        <w:tc>
          <w:tcPr>
            <w:tcW w:w="1037" w:type="dxa"/>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44</w:t>
            </w:r>
          </w:p>
        </w:tc>
        <w:tc>
          <w:tcPr>
            <w:tcW w:w="1038" w:type="dxa"/>
            <w:shd w:val="clear" w:color="auto" w:fill="D9D9D9"/>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1.612</w:t>
            </w:r>
          </w:p>
        </w:tc>
        <w:tc>
          <w:tcPr>
            <w:tcW w:w="1037" w:type="dxa"/>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1.543</w:t>
            </w:r>
          </w:p>
        </w:tc>
        <w:tc>
          <w:tcPr>
            <w:tcW w:w="1037" w:type="dxa"/>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4</w:t>
            </w:r>
          </w:p>
        </w:tc>
      </w:tr>
      <w:tr w:rsidR="009D734A" w:rsidTr="00B00FE7">
        <w:trPr>
          <w:trHeight w:val="510"/>
        </w:trPr>
        <w:tc>
          <w:tcPr>
            <w:tcW w:w="3843" w:type="dxa"/>
            <w:vAlign w:val="bottom"/>
          </w:tcPr>
          <w:p w:rsidR="009D734A" w:rsidRDefault="009D734A" w:rsidP="00B00FE7">
            <w:pPr>
              <w:rPr>
                <w:rFonts w:cs="Lucida Sans Unicode"/>
                <w:spacing w:val="-8"/>
                <w:sz w:val="20"/>
                <w:szCs w:val="20"/>
              </w:rPr>
            </w:pPr>
            <w:r>
              <w:rPr>
                <w:rFonts w:cs="Lucida Sans Unicode"/>
                <w:spacing w:val="-8"/>
                <w:sz w:val="20"/>
                <w:szCs w:val="20"/>
              </w:rPr>
              <w:t xml:space="preserve">Ergebnis vor Ertragsteuern nicht </w:t>
            </w:r>
            <w:r>
              <w:rPr>
                <w:rFonts w:cs="Lucida Sans Unicode"/>
                <w:spacing w:val="-8"/>
                <w:sz w:val="20"/>
                <w:szCs w:val="20"/>
              </w:rPr>
              <w:br/>
              <w:t>fortgeführter Aktivitäten</w:t>
            </w:r>
          </w:p>
        </w:tc>
        <w:tc>
          <w:tcPr>
            <w:tcW w:w="1037" w:type="dxa"/>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1</w:t>
            </w:r>
          </w:p>
        </w:tc>
        <w:tc>
          <w:tcPr>
            <w:tcW w:w="1037" w:type="dxa"/>
            <w:noWrap/>
            <w:vAlign w:val="center"/>
          </w:tcPr>
          <w:p w:rsidR="009D734A" w:rsidRDefault="009D734A" w:rsidP="00B00FE7">
            <w:pPr>
              <w:jc w:val="right"/>
              <w:rPr>
                <w:rFonts w:cs="Lucida Sans Unicode"/>
                <w:spacing w:val="-8"/>
                <w:sz w:val="20"/>
                <w:szCs w:val="20"/>
              </w:rPr>
            </w:pPr>
            <w:r>
              <w:rPr>
                <w:rFonts w:cs="Lucida Sans Unicode"/>
                <w:spacing w:val="-8"/>
                <w:sz w:val="20"/>
                <w:szCs w:val="20"/>
              </w:rPr>
              <w:t>2</w:t>
            </w:r>
          </w:p>
        </w:tc>
        <w:tc>
          <w:tcPr>
            <w:tcW w:w="1037" w:type="dxa"/>
            <w:noWrap/>
            <w:vAlign w:val="center"/>
          </w:tcPr>
          <w:p w:rsidR="009D734A" w:rsidRDefault="009D734A" w:rsidP="00B00FE7">
            <w:pPr>
              <w:jc w:val="right"/>
              <w:rPr>
                <w:rFonts w:cs="Lucida Sans Unicode"/>
                <w:spacing w:val="-8"/>
                <w:sz w:val="20"/>
                <w:szCs w:val="20"/>
              </w:rPr>
            </w:pPr>
          </w:p>
        </w:tc>
        <w:tc>
          <w:tcPr>
            <w:tcW w:w="1038" w:type="dxa"/>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17</w:t>
            </w:r>
          </w:p>
        </w:tc>
        <w:tc>
          <w:tcPr>
            <w:tcW w:w="1037" w:type="dxa"/>
            <w:noWrap/>
            <w:vAlign w:val="center"/>
          </w:tcPr>
          <w:p w:rsidR="009D734A" w:rsidRDefault="009D734A" w:rsidP="00B00FE7">
            <w:pPr>
              <w:jc w:val="right"/>
              <w:rPr>
                <w:rFonts w:cs="Lucida Sans Unicode"/>
                <w:spacing w:val="-8"/>
                <w:sz w:val="20"/>
                <w:szCs w:val="20"/>
              </w:rPr>
            </w:pPr>
            <w:r>
              <w:rPr>
                <w:rFonts w:cs="Lucida Sans Unicode"/>
                <w:spacing w:val="-8"/>
                <w:sz w:val="20"/>
                <w:szCs w:val="20"/>
              </w:rPr>
              <w:t>-42</w:t>
            </w:r>
          </w:p>
        </w:tc>
        <w:tc>
          <w:tcPr>
            <w:tcW w:w="1037" w:type="dxa"/>
            <w:noWrap/>
            <w:vAlign w:val="center"/>
          </w:tcPr>
          <w:p w:rsidR="009D734A" w:rsidRDefault="009D734A" w:rsidP="00B00FE7">
            <w:pPr>
              <w:jc w:val="right"/>
              <w:rPr>
                <w:rFonts w:cs="Lucida Sans Unicode"/>
                <w:spacing w:val="-8"/>
                <w:sz w:val="20"/>
                <w:szCs w:val="20"/>
              </w:rPr>
            </w:pPr>
          </w:p>
        </w:tc>
      </w:tr>
      <w:tr w:rsidR="009D734A" w:rsidTr="00B00FE7">
        <w:trPr>
          <w:trHeight w:val="300"/>
        </w:trPr>
        <w:tc>
          <w:tcPr>
            <w:tcW w:w="3843" w:type="dxa"/>
            <w:noWrap/>
            <w:vAlign w:val="bottom"/>
          </w:tcPr>
          <w:p w:rsidR="009D734A" w:rsidRDefault="009D734A" w:rsidP="00B00FE7">
            <w:pPr>
              <w:rPr>
                <w:rFonts w:cs="Lucida Sans Unicode"/>
                <w:b/>
                <w:bCs/>
                <w:spacing w:val="-8"/>
                <w:sz w:val="20"/>
                <w:szCs w:val="20"/>
              </w:rPr>
            </w:pPr>
            <w:r>
              <w:rPr>
                <w:rFonts w:cs="Lucida Sans Unicode"/>
                <w:b/>
                <w:bCs/>
                <w:spacing w:val="-8"/>
                <w:sz w:val="20"/>
                <w:szCs w:val="20"/>
              </w:rPr>
              <w:t>= Ergebnis vor Ertragsteuern (gesamt)</w:t>
            </w:r>
          </w:p>
        </w:tc>
        <w:tc>
          <w:tcPr>
            <w:tcW w:w="1037" w:type="dxa"/>
            <w:shd w:val="clear" w:color="auto" w:fill="D9D9D9"/>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286</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200</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43</w:t>
            </w:r>
          </w:p>
        </w:tc>
        <w:tc>
          <w:tcPr>
            <w:tcW w:w="1038" w:type="dxa"/>
            <w:shd w:val="clear" w:color="auto" w:fill="D9D9D9"/>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1.629</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1.501</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9</w:t>
            </w:r>
          </w:p>
        </w:tc>
      </w:tr>
      <w:tr w:rsidR="009D734A" w:rsidTr="00B00FE7">
        <w:trPr>
          <w:trHeight w:val="300"/>
        </w:trPr>
        <w:tc>
          <w:tcPr>
            <w:tcW w:w="3843" w:type="dxa"/>
            <w:noWrap/>
            <w:vAlign w:val="bottom"/>
          </w:tcPr>
          <w:p w:rsidR="009D734A" w:rsidRDefault="009D734A" w:rsidP="00B00FE7">
            <w:pPr>
              <w:rPr>
                <w:rFonts w:cs="Lucida Sans Unicode"/>
                <w:spacing w:val="-8"/>
                <w:sz w:val="20"/>
                <w:szCs w:val="20"/>
              </w:rPr>
            </w:pPr>
            <w:r>
              <w:rPr>
                <w:rFonts w:cs="Lucida Sans Unicode"/>
                <w:spacing w:val="-8"/>
                <w:sz w:val="20"/>
                <w:szCs w:val="20"/>
              </w:rPr>
              <w:t xml:space="preserve">Ertragsteuern </w:t>
            </w:r>
          </w:p>
        </w:tc>
        <w:tc>
          <w:tcPr>
            <w:tcW w:w="1037" w:type="dxa"/>
            <w:shd w:val="clear" w:color="auto" w:fill="D9D9D9"/>
            <w:noWrap/>
            <w:vAlign w:val="bottom"/>
          </w:tcPr>
          <w:p w:rsidR="009D734A" w:rsidRDefault="009D734A" w:rsidP="00B00FE7">
            <w:pPr>
              <w:jc w:val="right"/>
              <w:rPr>
                <w:rFonts w:cs="Lucida Sans Unicode"/>
                <w:spacing w:val="-8"/>
                <w:sz w:val="20"/>
                <w:szCs w:val="20"/>
              </w:rPr>
            </w:pPr>
            <w:r>
              <w:rPr>
                <w:rFonts w:cs="Lucida Sans Unicode"/>
                <w:spacing w:val="-8"/>
                <w:sz w:val="20"/>
                <w:szCs w:val="20"/>
              </w:rPr>
              <w:t>4</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-67</w:t>
            </w:r>
          </w:p>
        </w:tc>
        <w:tc>
          <w:tcPr>
            <w:tcW w:w="1037" w:type="dxa"/>
            <w:noWrap/>
            <w:vAlign w:val="bottom"/>
          </w:tcPr>
          <w:p w:rsidR="009D734A" w:rsidRDefault="009D734A" w:rsidP="00B00FE7">
            <w:pPr>
              <w:jc w:val="right"/>
              <w:rPr>
                <w:rFonts w:cs="Lucida Sans Unicode"/>
                <w:spacing w:val="-8"/>
                <w:sz w:val="20"/>
                <w:szCs w:val="20"/>
              </w:rPr>
            </w:pPr>
          </w:p>
        </w:tc>
        <w:tc>
          <w:tcPr>
            <w:tcW w:w="1038" w:type="dxa"/>
            <w:shd w:val="clear" w:color="auto" w:fill="D9D9D9"/>
            <w:noWrap/>
            <w:vAlign w:val="bottom"/>
          </w:tcPr>
          <w:p w:rsidR="009D734A" w:rsidRDefault="009D734A" w:rsidP="00B00FE7">
            <w:pPr>
              <w:jc w:val="right"/>
              <w:rPr>
                <w:rFonts w:cs="Lucida Sans Unicode"/>
                <w:spacing w:val="-8"/>
                <w:sz w:val="20"/>
                <w:szCs w:val="20"/>
              </w:rPr>
            </w:pPr>
            <w:r>
              <w:rPr>
                <w:rFonts w:cs="Lucida Sans Unicode"/>
                <w:spacing w:val="-8"/>
                <w:sz w:val="20"/>
                <w:szCs w:val="20"/>
              </w:rPr>
              <w:t>-462</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-487</w:t>
            </w:r>
          </w:p>
        </w:tc>
        <w:tc>
          <w:tcPr>
            <w:tcW w:w="1037" w:type="dxa"/>
            <w:noWrap/>
            <w:vAlign w:val="bottom"/>
          </w:tcPr>
          <w:p w:rsidR="009D734A" w:rsidRDefault="009D734A" w:rsidP="00B00FE7">
            <w:pPr>
              <w:jc w:val="right"/>
              <w:rPr>
                <w:rFonts w:cs="Lucida Sans Unicode"/>
                <w:spacing w:val="-8"/>
                <w:sz w:val="20"/>
                <w:szCs w:val="20"/>
              </w:rPr>
            </w:pPr>
          </w:p>
        </w:tc>
      </w:tr>
      <w:tr w:rsidR="009D734A" w:rsidTr="00B00FE7">
        <w:trPr>
          <w:trHeight w:val="300"/>
        </w:trPr>
        <w:tc>
          <w:tcPr>
            <w:tcW w:w="3843" w:type="dxa"/>
            <w:noWrap/>
            <w:vAlign w:val="bottom"/>
          </w:tcPr>
          <w:p w:rsidR="009D734A" w:rsidRDefault="009D734A" w:rsidP="00B00FE7">
            <w:pPr>
              <w:rPr>
                <w:rFonts w:cs="Lucida Sans Unicode"/>
                <w:b/>
                <w:bCs/>
                <w:spacing w:val="-8"/>
                <w:sz w:val="20"/>
                <w:szCs w:val="20"/>
              </w:rPr>
            </w:pPr>
            <w:r>
              <w:rPr>
                <w:rFonts w:cs="Lucida Sans Unicode"/>
                <w:b/>
                <w:bCs/>
                <w:spacing w:val="-8"/>
                <w:sz w:val="20"/>
                <w:szCs w:val="20"/>
              </w:rPr>
              <w:t>= Ergebnis nach Steuern</w:t>
            </w:r>
          </w:p>
        </w:tc>
        <w:tc>
          <w:tcPr>
            <w:tcW w:w="1037" w:type="dxa"/>
            <w:shd w:val="clear" w:color="auto" w:fill="D9D9D9"/>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290</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133</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118</w:t>
            </w:r>
          </w:p>
        </w:tc>
        <w:tc>
          <w:tcPr>
            <w:tcW w:w="1038" w:type="dxa"/>
            <w:shd w:val="clear" w:color="auto" w:fill="D9D9D9"/>
            <w:noWrap/>
            <w:vAlign w:val="bottom"/>
          </w:tcPr>
          <w:p w:rsidR="009D734A" w:rsidRDefault="009D734A" w:rsidP="00B00FE7">
            <w:pPr>
              <w:jc w:val="right"/>
              <w:rPr>
                <w:rFonts w:cs="Lucida Sans Unicode"/>
                <w:b/>
                <w:spacing w:val="-8"/>
                <w:sz w:val="20"/>
                <w:szCs w:val="20"/>
              </w:rPr>
            </w:pPr>
            <w:r>
              <w:rPr>
                <w:rFonts w:cs="Lucida Sans Unicode"/>
                <w:b/>
                <w:spacing w:val="-8"/>
                <w:sz w:val="20"/>
                <w:szCs w:val="20"/>
              </w:rPr>
              <w:t>1.167</w:t>
            </w:r>
          </w:p>
        </w:tc>
        <w:tc>
          <w:tcPr>
            <w:tcW w:w="1037" w:type="dxa"/>
            <w:noWrap/>
            <w:vAlign w:val="bottom"/>
          </w:tcPr>
          <w:p w:rsidR="009D734A" w:rsidRDefault="009D734A" w:rsidP="00B00FE7">
            <w:pPr>
              <w:jc w:val="right"/>
              <w:rPr>
                <w:rFonts w:cs="Lucida Sans Unicode"/>
                <w:b/>
                <w:spacing w:val="-8"/>
                <w:sz w:val="20"/>
                <w:szCs w:val="20"/>
              </w:rPr>
            </w:pPr>
            <w:r>
              <w:rPr>
                <w:rFonts w:cs="Lucida Sans Unicode"/>
                <w:b/>
                <w:spacing w:val="-8"/>
                <w:sz w:val="20"/>
                <w:szCs w:val="20"/>
              </w:rPr>
              <w:t>1.014</w:t>
            </w:r>
          </w:p>
        </w:tc>
        <w:tc>
          <w:tcPr>
            <w:tcW w:w="1037" w:type="dxa"/>
            <w:noWrap/>
            <w:vAlign w:val="bottom"/>
          </w:tcPr>
          <w:p w:rsidR="009D734A" w:rsidRDefault="009D734A" w:rsidP="00B00FE7">
            <w:pPr>
              <w:jc w:val="right"/>
              <w:rPr>
                <w:rFonts w:cs="Lucida Sans Unicode"/>
                <w:b/>
                <w:spacing w:val="-8"/>
                <w:sz w:val="20"/>
                <w:szCs w:val="20"/>
              </w:rPr>
            </w:pPr>
            <w:r>
              <w:rPr>
                <w:rFonts w:cs="Lucida Sans Unicode"/>
                <w:b/>
                <w:spacing w:val="-8"/>
                <w:sz w:val="20"/>
                <w:szCs w:val="20"/>
              </w:rPr>
              <w:t>15</w:t>
            </w:r>
          </w:p>
        </w:tc>
      </w:tr>
      <w:tr w:rsidR="009D734A" w:rsidTr="00B00FE7">
        <w:trPr>
          <w:trHeight w:val="255"/>
        </w:trPr>
        <w:tc>
          <w:tcPr>
            <w:tcW w:w="3843" w:type="dxa"/>
            <w:noWrap/>
            <w:vAlign w:val="bottom"/>
          </w:tcPr>
          <w:p w:rsidR="009D734A" w:rsidRDefault="009D734A" w:rsidP="00B00FE7">
            <w:pPr>
              <w:rPr>
                <w:rFonts w:cs="Lucida Sans Unicode"/>
                <w:spacing w:val="-8"/>
                <w:sz w:val="20"/>
                <w:szCs w:val="20"/>
              </w:rPr>
            </w:pPr>
            <w:r>
              <w:rPr>
                <w:rFonts w:cs="Lucida Sans Unicode"/>
                <w:spacing w:val="-8"/>
                <w:sz w:val="20"/>
                <w:szCs w:val="20"/>
              </w:rPr>
              <w:t>Ergebnis anderer Gesellschafter</w:t>
            </w:r>
          </w:p>
        </w:tc>
        <w:tc>
          <w:tcPr>
            <w:tcW w:w="1037" w:type="dxa"/>
            <w:shd w:val="clear" w:color="auto" w:fill="D9D9D9"/>
            <w:noWrap/>
            <w:vAlign w:val="bottom"/>
          </w:tcPr>
          <w:p w:rsidR="009D734A" w:rsidRDefault="009D734A" w:rsidP="00B00FE7">
            <w:pPr>
              <w:jc w:val="right"/>
              <w:rPr>
                <w:rFonts w:cs="Lucida Sans Unicode"/>
                <w:spacing w:val="-8"/>
                <w:sz w:val="20"/>
                <w:szCs w:val="20"/>
              </w:rPr>
            </w:pPr>
            <w:r>
              <w:rPr>
                <w:rFonts w:cs="Lucida Sans Unicode"/>
                <w:spacing w:val="-8"/>
                <w:sz w:val="20"/>
                <w:szCs w:val="20"/>
              </w:rPr>
              <w:t>-14</w:t>
            </w:r>
          </w:p>
        </w:tc>
        <w:tc>
          <w:tcPr>
            <w:tcW w:w="1037" w:type="dxa"/>
            <w:noWrap/>
            <w:vAlign w:val="bottom"/>
          </w:tcPr>
          <w:p w:rsidR="009D734A" w:rsidRDefault="009D734A" w:rsidP="00B00FE7">
            <w:pPr>
              <w:jc w:val="right"/>
              <w:rPr>
                <w:rFonts w:cs="Lucida Sans Unicode"/>
                <w:spacing w:val="-8"/>
                <w:sz w:val="20"/>
                <w:szCs w:val="20"/>
              </w:rPr>
            </w:pPr>
            <w:r>
              <w:rPr>
                <w:rFonts w:cs="Lucida Sans Unicode"/>
                <w:spacing w:val="-8"/>
                <w:sz w:val="20"/>
                <w:szCs w:val="20"/>
              </w:rPr>
              <w:t>15</w:t>
            </w:r>
          </w:p>
        </w:tc>
        <w:tc>
          <w:tcPr>
            <w:tcW w:w="1037" w:type="dxa"/>
            <w:noWrap/>
            <w:vAlign w:val="bottom"/>
          </w:tcPr>
          <w:p w:rsidR="009D734A" w:rsidRDefault="009D734A" w:rsidP="00B00FE7">
            <w:pPr>
              <w:jc w:val="right"/>
              <w:rPr>
                <w:rFonts w:cs="Lucida Sans Unicode"/>
                <w:spacing w:val="-8"/>
                <w:sz w:val="20"/>
                <w:szCs w:val="20"/>
              </w:rPr>
            </w:pPr>
          </w:p>
        </w:tc>
        <w:tc>
          <w:tcPr>
            <w:tcW w:w="1038" w:type="dxa"/>
            <w:shd w:val="clear" w:color="auto" w:fill="D9D9D9"/>
            <w:noWrap/>
            <w:vAlign w:val="bottom"/>
          </w:tcPr>
          <w:p w:rsidR="009D734A" w:rsidRDefault="009D734A" w:rsidP="00B00FE7">
            <w:pPr>
              <w:jc w:val="right"/>
              <w:rPr>
                <w:rFonts w:cs="Lucida Sans Unicode"/>
                <w:bCs/>
                <w:spacing w:val="-8"/>
                <w:sz w:val="20"/>
                <w:szCs w:val="20"/>
              </w:rPr>
            </w:pPr>
            <w:r>
              <w:rPr>
                <w:rFonts w:cs="Lucida Sans Unicode"/>
                <w:bCs/>
                <w:spacing w:val="-8"/>
                <w:sz w:val="20"/>
                <w:szCs w:val="20"/>
              </w:rPr>
              <w:t>-3</w:t>
            </w:r>
          </w:p>
        </w:tc>
        <w:tc>
          <w:tcPr>
            <w:tcW w:w="1037" w:type="dxa"/>
            <w:noWrap/>
            <w:vAlign w:val="bottom"/>
          </w:tcPr>
          <w:p w:rsidR="009D734A" w:rsidRDefault="009D734A" w:rsidP="00B00FE7">
            <w:pPr>
              <w:jc w:val="right"/>
              <w:rPr>
                <w:rFonts w:cs="Lucida Sans Unicode"/>
                <w:bCs/>
                <w:spacing w:val="-8"/>
                <w:sz w:val="20"/>
                <w:szCs w:val="20"/>
              </w:rPr>
            </w:pPr>
            <w:r>
              <w:rPr>
                <w:rFonts w:cs="Lucida Sans Unicode"/>
                <w:bCs/>
                <w:spacing w:val="-8"/>
                <w:sz w:val="20"/>
                <w:szCs w:val="20"/>
              </w:rPr>
              <w:t>-3</w:t>
            </w:r>
          </w:p>
        </w:tc>
        <w:tc>
          <w:tcPr>
            <w:tcW w:w="1037" w:type="dxa"/>
            <w:noWrap/>
            <w:vAlign w:val="bottom"/>
          </w:tcPr>
          <w:p w:rsidR="009D734A" w:rsidRDefault="009D734A" w:rsidP="00B00FE7">
            <w:pPr>
              <w:jc w:val="right"/>
              <w:rPr>
                <w:rFonts w:cs="Lucida Sans Unicode"/>
                <w:b/>
                <w:bCs/>
                <w:spacing w:val="-8"/>
                <w:sz w:val="20"/>
                <w:szCs w:val="20"/>
              </w:rPr>
            </w:pPr>
          </w:p>
        </w:tc>
      </w:tr>
      <w:tr w:rsidR="009D734A" w:rsidTr="00B00FE7">
        <w:trPr>
          <w:trHeight w:val="255"/>
        </w:trPr>
        <w:tc>
          <w:tcPr>
            <w:tcW w:w="3843" w:type="dxa"/>
            <w:noWrap/>
            <w:vAlign w:val="bottom"/>
          </w:tcPr>
          <w:p w:rsidR="009D734A" w:rsidRDefault="009D734A" w:rsidP="00B00FE7">
            <w:pPr>
              <w:rPr>
                <w:rFonts w:cs="Lucida Sans Unicode"/>
                <w:b/>
                <w:bCs/>
                <w:spacing w:val="-8"/>
                <w:sz w:val="20"/>
                <w:szCs w:val="20"/>
              </w:rPr>
            </w:pPr>
            <w:r>
              <w:rPr>
                <w:rFonts w:cs="Lucida Sans Unicode"/>
                <w:b/>
                <w:bCs/>
                <w:spacing w:val="-8"/>
                <w:sz w:val="20"/>
                <w:szCs w:val="20"/>
              </w:rPr>
              <w:t>= Konzernergebnis</w:t>
            </w:r>
          </w:p>
        </w:tc>
        <w:tc>
          <w:tcPr>
            <w:tcW w:w="1037" w:type="dxa"/>
            <w:shd w:val="clear" w:color="auto" w:fill="D9D9D9"/>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276</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148</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86</w:t>
            </w:r>
          </w:p>
        </w:tc>
        <w:tc>
          <w:tcPr>
            <w:tcW w:w="1038" w:type="dxa"/>
            <w:shd w:val="clear" w:color="auto" w:fill="D9D9D9"/>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1.164</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1.011</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15</w:t>
            </w:r>
          </w:p>
        </w:tc>
      </w:tr>
      <w:tr w:rsidR="009D734A" w:rsidTr="00B00FE7">
        <w:trPr>
          <w:trHeight w:val="255"/>
        </w:trPr>
        <w:tc>
          <w:tcPr>
            <w:tcW w:w="3843" w:type="dxa"/>
            <w:noWrap/>
            <w:vAlign w:val="bottom"/>
          </w:tcPr>
          <w:p w:rsidR="009D734A" w:rsidRDefault="009D734A" w:rsidP="00B00FE7">
            <w:pPr>
              <w:rPr>
                <w:rFonts w:cs="Lucida Sans Unicode"/>
                <w:b/>
                <w:bCs/>
                <w:spacing w:val="-8"/>
                <w:sz w:val="20"/>
                <w:szCs w:val="20"/>
              </w:rPr>
            </w:pPr>
            <w:r>
              <w:rPr>
                <w:rFonts w:cs="Lucida Sans Unicode"/>
                <w:b/>
                <w:bCs/>
                <w:spacing w:val="-8"/>
                <w:sz w:val="20"/>
                <w:szCs w:val="20"/>
              </w:rPr>
              <w:t>Bereinigtes Konzernergebnis</w:t>
            </w:r>
          </w:p>
        </w:tc>
        <w:tc>
          <w:tcPr>
            <w:tcW w:w="1037" w:type="dxa"/>
            <w:shd w:val="clear" w:color="auto" w:fill="D9D9D9"/>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209</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167</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25</w:t>
            </w:r>
          </w:p>
        </w:tc>
        <w:tc>
          <w:tcPr>
            <w:tcW w:w="1038" w:type="dxa"/>
            <w:shd w:val="clear" w:color="auto" w:fill="D9D9D9"/>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1.155</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1.256</w:t>
            </w:r>
          </w:p>
        </w:tc>
        <w:tc>
          <w:tcPr>
            <w:tcW w:w="1037" w:type="dxa"/>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-8</w:t>
            </w:r>
          </w:p>
        </w:tc>
      </w:tr>
    </w:tbl>
    <w:p w:rsidR="009D734A" w:rsidRPr="007C6F17" w:rsidRDefault="009D734A" w:rsidP="009D734A">
      <w:pPr>
        <w:rPr>
          <w:rFonts w:cs="Lucida Sans Unicode"/>
          <w:sz w:val="16"/>
          <w:szCs w:val="16"/>
        </w:rPr>
      </w:pPr>
      <w:r w:rsidRPr="007C6F17">
        <w:rPr>
          <w:rFonts w:cs="Lucida Sans Unicode"/>
          <w:sz w:val="14"/>
          <w:szCs w:val="14"/>
          <w:vertAlign w:val="superscript"/>
        </w:rPr>
        <w:t>1)</w:t>
      </w:r>
      <w:r w:rsidRPr="007C6F17">
        <w:rPr>
          <w:rFonts w:cs="Lucida Sans Unicode"/>
          <w:sz w:val="14"/>
          <w:szCs w:val="14"/>
        </w:rPr>
        <w:t xml:space="preserve"> </w:t>
      </w:r>
      <w:r w:rsidRPr="007C6F17">
        <w:rPr>
          <w:rFonts w:cs="Lucida Sans Unicode"/>
          <w:sz w:val="16"/>
          <w:szCs w:val="16"/>
        </w:rPr>
        <w:t>Einschließlich des im Juli 2011 verkauften Carbon-Black-Geschäfts</w:t>
      </w:r>
    </w:p>
    <w:p w:rsidR="009D734A" w:rsidRDefault="009D734A" w:rsidP="009D734A">
      <w:pPr>
        <w:spacing w:line="240" w:lineRule="auto"/>
        <w:rPr>
          <w:rFonts w:cs="Lucida Sans Unicode"/>
          <w:szCs w:val="18"/>
        </w:rPr>
      </w:pPr>
    </w:p>
    <w:p w:rsidR="009D734A" w:rsidRDefault="009D734A" w:rsidP="009D734A">
      <w:pPr>
        <w:spacing w:line="160" w:lineRule="exact"/>
        <w:rPr>
          <w:rFonts w:cs="Lucida Sans Unicode"/>
          <w:sz w:val="16"/>
          <w:szCs w:val="16"/>
        </w:rPr>
      </w:pPr>
      <w:r>
        <w:rPr>
          <w:rFonts w:cs="Lucida Sans Unicode"/>
          <w:b/>
          <w:bCs/>
          <w:sz w:val="20"/>
          <w:szCs w:val="20"/>
        </w:rPr>
        <w:t>Entwicklung in den Segmenten</w:t>
      </w:r>
      <w:r>
        <w:rPr>
          <w:rFonts w:cs="Lucida Sans Unicode"/>
          <w:b/>
          <w:bCs/>
          <w:sz w:val="20"/>
          <w:szCs w:val="20"/>
        </w:rPr>
        <w:br/>
      </w:r>
    </w:p>
    <w:tbl>
      <w:tblPr>
        <w:tblW w:w="10028" w:type="dxa"/>
        <w:tblInd w:w="70" w:type="dxa"/>
        <w:tblCellMar>
          <w:left w:w="70" w:type="dxa"/>
          <w:right w:w="70" w:type="dxa"/>
        </w:tblCellMar>
        <w:tblLook w:val="0000" w:firstRow="0" w:lastRow="0" w:firstColumn="0" w:lastColumn="0" w:noHBand="0" w:noVBand="0"/>
      </w:tblPr>
      <w:tblGrid>
        <w:gridCol w:w="2977"/>
        <w:gridCol w:w="1270"/>
        <w:gridCol w:w="1270"/>
        <w:gridCol w:w="1125"/>
        <w:gridCol w:w="1148"/>
        <w:gridCol w:w="1116"/>
        <w:gridCol w:w="45"/>
        <w:gridCol w:w="1077"/>
      </w:tblGrid>
      <w:tr w:rsidR="009D734A" w:rsidTr="00B00FE7">
        <w:trPr>
          <w:trHeight w:val="271"/>
        </w:trPr>
        <w:tc>
          <w:tcPr>
            <w:tcW w:w="2977" w:type="dxa"/>
            <w:tcBorders>
              <w:top w:val="single" w:sz="4" w:space="0" w:color="auto"/>
              <w:left w:val="single" w:sz="4" w:space="0" w:color="auto"/>
              <w:bottom w:val="nil"/>
              <w:right w:val="single" w:sz="4" w:space="0" w:color="auto"/>
            </w:tcBorders>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 </w:t>
            </w:r>
          </w:p>
        </w:tc>
        <w:tc>
          <w:tcPr>
            <w:tcW w:w="3665" w:type="dxa"/>
            <w:gridSpan w:val="3"/>
            <w:tcBorders>
              <w:top w:val="single" w:sz="4" w:space="0" w:color="auto"/>
              <w:left w:val="nil"/>
              <w:bottom w:val="single" w:sz="4" w:space="0" w:color="auto"/>
              <w:right w:val="single" w:sz="4" w:space="0" w:color="000000"/>
            </w:tcBorders>
            <w:noWrap/>
            <w:vAlign w:val="bottom"/>
          </w:tcPr>
          <w:p w:rsidR="009D734A" w:rsidRDefault="009D734A" w:rsidP="00B00FE7">
            <w:pPr>
              <w:jc w:val="center"/>
              <w:rPr>
                <w:rFonts w:cs="Lucida Sans Unicode"/>
                <w:b/>
                <w:bCs/>
                <w:spacing w:val="-8"/>
                <w:sz w:val="20"/>
                <w:szCs w:val="20"/>
              </w:rPr>
            </w:pPr>
            <w:r>
              <w:rPr>
                <w:rFonts w:cs="Lucida Sans Unicode"/>
                <w:b/>
                <w:bCs/>
                <w:spacing w:val="-8"/>
                <w:sz w:val="20"/>
                <w:szCs w:val="20"/>
              </w:rPr>
              <w:t>Umsatz</w:t>
            </w:r>
          </w:p>
        </w:tc>
        <w:tc>
          <w:tcPr>
            <w:tcW w:w="3386" w:type="dxa"/>
            <w:gridSpan w:val="4"/>
            <w:tcBorders>
              <w:top w:val="single" w:sz="4" w:space="0" w:color="auto"/>
              <w:left w:val="nil"/>
              <w:bottom w:val="single" w:sz="4" w:space="0" w:color="auto"/>
              <w:right w:val="single" w:sz="4" w:space="0" w:color="auto"/>
            </w:tcBorders>
            <w:noWrap/>
            <w:vAlign w:val="bottom"/>
          </w:tcPr>
          <w:p w:rsidR="009D734A" w:rsidRDefault="009D734A" w:rsidP="00B00FE7">
            <w:pPr>
              <w:jc w:val="center"/>
              <w:rPr>
                <w:rFonts w:cs="Lucida Sans Unicode"/>
                <w:b/>
                <w:bCs/>
                <w:spacing w:val="-8"/>
                <w:sz w:val="20"/>
                <w:szCs w:val="20"/>
              </w:rPr>
            </w:pPr>
            <w:r>
              <w:rPr>
                <w:rFonts w:cs="Lucida Sans Unicode"/>
                <w:b/>
                <w:bCs/>
                <w:spacing w:val="-8"/>
                <w:sz w:val="20"/>
                <w:szCs w:val="20"/>
              </w:rPr>
              <w:t>Bereinigtes EBITDA</w:t>
            </w:r>
          </w:p>
        </w:tc>
      </w:tr>
      <w:tr w:rsidR="009D734A" w:rsidTr="00B00FE7">
        <w:trPr>
          <w:trHeight w:val="255"/>
        </w:trPr>
        <w:tc>
          <w:tcPr>
            <w:tcW w:w="2977" w:type="dxa"/>
            <w:tcBorders>
              <w:top w:val="nil"/>
              <w:left w:val="single" w:sz="4" w:space="0" w:color="auto"/>
              <w:bottom w:val="nil"/>
              <w:right w:val="single" w:sz="4" w:space="0" w:color="auto"/>
            </w:tcBorders>
            <w:noWrap/>
            <w:vAlign w:val="center"/>
          </w:tcPr>
          <w:p w:rsidR="009D734A" w:rsidRDefault="009D734A" w:rsidP="00B00FE7">
            <w:pPr>
              <w:rPr>
                <w:rFonts w:cs="Lucida Sans Unicode"/>
                <w:b/>
                <w:bCs/>
                <w:spacing w:val="-8"/>
                <w:sz w:val="20"/>
                <w:szCs w:val="20"/>
              </w:rPr>
            </w:pPr>
          </w:p>
        </w:tc>
        <w:tc>
          <w:tcPr>
            <w:tcW w:w="1270" w:type="dxa"/>
            <w:tcBorders>
              <w:top w:val="single" w:sz="4" w:space="0" w:color="auto"/>
              <w:left w:val="nil"/>
              <w:right w:val="single" w:sz="4" w:space="0" w:color="auto"/>
            </w:tcBorders>
            <w:shd w:val="clear" w:color="auto" w:fill="D9D9D9"/>
            <w:noWrap/>
            <w:vAlign w:val="bottom"/>
          </w:tcPr>
          <w:p w:rsidR="009D734A" w:rsidRDefault="009D734A" w:rsidP="00B00FE7">
            <w:pPr>
              <w:jc w:val="center"/>
              <w:rPr>
                <w:rFonts w:cs="Lucida Sans Unicode"/>
                <w:b/>
                <w:bCs/>
                <w:spacing w:val="-8"/>
                <w:sz w:val="20"/>
                <w:szCs w:val="20"/>
              </w:rPr>
            </w:pPr>
            <w:r>
              <w:rPr>
                <w:rFonts w:cs="Lucida Sans Unicode"/>
                <w:b/>
                <w:bCs/>
                <w:spacing w:val="-8"/>
                <w:sz w:val="20"/>
                <w:szCs w:val="20"/>
              </w:rPr>
              <w:t>Q4/2012</w:t>
            </w:r>
          </w:p>
        </w:tc>
        <w:tc>
          <w:tcPr>
            <w:tcW w:w="1270" w:type="dxa"/>
            <w:tcBorders>
              <w:top w:val="single" w:sz="4" w:space="0" w:color="auto"/>
              <w:left w:val="single" w:sz="4" w:space="0" w:color="auto"/>
              <w:bottom w:val="nil"/>
              <w:right w:val="single" w:sz="4" w:space="0" w:color="auto"/>
            </w:tcBorders>
            <w:noWrap/>
            <w:vAlign w:val="bottom"/>
          </w:tcPr>
          <w:p w:rsidR="009D734A" w:rsidRDefault="009D734A" w:rsidP="00B00FE7">
            <w:pPr>
              <w:jc w:val="center"/>
              <w:rPr>
                <w:rFonts w:cs="Lucida Sans Unicode"/>
                <w:b/>
                <w:bCs/>
                <w:spacing w:val="-8"/>
                <w:sz w:val="20"/>
                <w:szCs w:val="20"/>
              </w:rPr>
            </w:pPr>
            <w:r>
              <w:rPr>
                <w:rFonts w:cs="Lucida Sans Unicode"/>
                <w:b/>
                <w:bCs/>
                <w:spacing w:val="-8"/>
                <w:sz w:val="20"/>
                <w:szCs w:val="20"/>
              </w:rPr>
              <w:t>Q4/2011</w:t>
            </w:r>
          </w:p>
        </w:tc>
        <w:tc>
          <w:tcPr>
            <w:tcW w:w="1125" w:type="dxa"/>
            <w:tcBorders>
              <w:top w:val="single" w:sz="4" w:space="0" w:color="auto"/>
              <w:left w:val="single" w:sz="4" w:space="0" w:color="auto"/>
              <w:bottom w:val="nil"/>
              <w:right w:val="single" w:sz="4" w:space="0" w:color="auto"/>
            </w:tcBorders>
            <w:noWrap/>
            <w:vAlign w:val="bottom"/>
          </w:tcPr>
          <w:p w:rsidR="009D734A" w:rsidRDefault="009D734A" w:rsidP="00B00FE7">
            <w:pPr>
              <w:jc w:val="center"/>
              <w:rPr>
                <w:rFonts w:cs="Lucida Sans Unicode"/>
                <w:b/>
                <w:bCs/>
                <w:spacing w:val="-8"/>
                <w:sz w:val="20"/>
                <w:szCs w:val="20"/>
              </w:rPr>
            </w:pPr>
            <w:proofErr w:type="spellStart"/>
            <w:r>
              <w:rPr>
                <w:rFonts w:cs="Lucida Sans Unicode"/>
                <w:b/>
                <w:bCs/>
                <w:spacing w:val="-8"/>
                <w:sz w:val="20"/>
                <w:szCs w:val="20"/>
              </w:rPr>
              <w:t>Veränd</w:t>
            </w:r>
            <w:proofErr w:type="spellEnd"/>
            <w:r>
              <w:rPr>
                <w:rFonts w:cs="Lucida Sans Unicode"/>
                <w:b/>
                <w:bCs/>
                <w:spacing w:val="-8"/>
                <w:sz w:val="20"/>
                <w:szCs w:val="20"/>
              </w:rPr>
              <w:t>.</w:t>
            </w:r>
          </w:p>
        </w:tc>
        <w:tc>
          <w:tcPr>
            <w:tcW w:w="1148" w:type="dxa"/>
            <w:tcBorders>
              <w:top w:val="single" w:sz="4" w:space="0" w:color="auto"/>
              <w:left w:val="nil"/>
              <w:right w:val="single" w:sz="4" w:space="0" w:color="auto"/>
            </w:tcBorders>
            <w:shd w:val="clear" w:color="auto" w:fill="D9D9D9"/>
            <w:noWrap/>
            <w:vAlign w:val="bottom"/>
          </w:tcPr>
          <w:p w:rsidR="009D734A" w:rsidRDefault="009D734A" w:rsidP="00B00FE7">
            <w:pPr>
              <w:jc w:val="center"/>
              <w:rPr>
                <w:rFonts w:cs="Lucida Sans Unicode"/>
                <w:b/>
                <w:bCs/>
                <w:spacing w:val="-8"/>
                <w:sz w:val="20"/>
                <w:szCs w:val="20"/>
              </w:rPr>
            </w:pPr>
            <w:r>
              <w:rPr>
                <w:rFonts w:cs="Lucida Sans Unicode"/>
                <w:b/>
                <w:bCs/>
                <w:spacing w:val="-8"/>
                <w:sz w:val="20"/>
                <w:szCs w:val="20"/>
              </w:rPr>
              <w:t>Q4/2012</w:t>
            </w:r>
          </w:p>
        </w:tc>
        <w:tc>
          <w:tcPr>
            <w:tcW w:w="1161" w:type="dxa"/>
            <w:gridSpan w:val="2"/>
            <w:tcBorders>
              <w:top w:val="single" w:sz="4" w:space="0" w:color="auto"/>
              <w:left w:val="single" w:sz="4" w:space="0" w:color="auto"/>
              <w:bottom w:val="nil"/>
              <w:right w:val="single" w:sz="4" w:space="0" w:color="auto"/>
            </w:tcBorders>
            <w:noWrap/>
            <w:vAlign w:val="bottom"/>
          </w:tcPr>
          <w:p w:rsidR="009D734A" w:rsidRDefault="009D734A" w:rsidP="00B00FE7">
            <w:pPr>
              <w:jc w:val="center"/>
              <w:rPr>
                <w:rFonts w:cs="Lucida Sans Unicode"/>
                <w:b/>
                <w:bCs/>
                <w:spacing w:val="-8"/>
                <w:sz w:val="20"/>
                <w:szCs w:val="20"/>
              </w:rPr>
            </w:pPr>
            <w:r>
              <w:rPr>
                <w:rFonts w:cs="Lucida Sans Unicode"/>
                <w:b/>
                <w:bCs/>
                <w:spacing w:val="-8"/>
                <w:sz w:val="20"/>
                <w:szCs w:val="20"/>
              </w:rPr>
              <w:t>Q4/2011</w:t>
            </w:r>
          </w:p>
        </w:tc>
        <w:tc>
          <w:tcPr>
            <w:tcW w:w="1077" w:type="dxa"/>
            <w:tcBorders>
              <w:top w:val="single" w:sz="4" w:space="0" w:color="auto"/>
              <w:left w:val="single" w:sz="4" w:space="0" w:color="auto"/>
              <w:bottom w:val="nil"/>
              <w:right w:val="single" w:sz="4" w:space="0" w:color="auto"/>
            </w:tcBorders>
            <w:noWrap/>
            <w:vAlign w:val="bottom"/>
          </w:tcPr>
          <w:p w:rsidR="009D734A" w:rsidRDefault="009D734A" w:rsidP="00B00FE7">
            <w:pPr>
              <w:jc w:val="center"/>
              <w:rPr>
                <w:rFonts w:cs="Lucida Sans Unicode"/>
                <w:b/>
                <w:bCs/>
                <w:spacing w:val="-8"/>
                <w:sz w:val="20"/>
                <w:szCs w:val="20"/>
              </w:rPr>
            </w:pPr>
            <w:proofErr w:type="spellStart"/>
            <w:r>
              <w:rPr>
                <w:rFonts w:cs="Lucida Sans Unicode"/>
                <w:b/>
                <w:bCs/>
                <w:spacing w:val="-8"/>
                <w:sz w:val="20"/>
                <w:szCs w:val="20"/>
              </w:rPr>
              <w:t>Veränd</w:t>
            </w:r>
            <w:proofErr w:type="spellEnd"/>
            <w:r>
              <w:rPr>
                <w:rFonts w:cs="Lucida Sans Unicode"/>
                <w:b/>
                <w:bCs/>
                <w:spacing w:val="-8"/>
                <w:sz w:val="20"/>
                <w:szCs w:val="20"/>
              </w:rPr>
              <w:t>.</w:t>
            </w:r>
          </w:p>
        </w:tc>
      </w:tr>
      <w:tr w:rsidR="009D734A" w:rsidTr="00B00FE7">
        <w:trPr>
          <w:trHeight w:val="255"/>
        </w:trPr>
        <w:tc>
          <w:tcPr>
            <w:tcW w:w="2977" w:type="dxa"/>
            <w:tcBorders>
              <w:top w:val="nil"/>
              <w:left w:val="single" w:sz="4" w:space="0" w:color="auto"/>
              <w:bottom w:val="single" w:sz="4" w:space="0" w:color="auto"/>
              <w:right w:val="single" w:sz="4" w:space="0" w:color="auto"/>
            </w:tcBorders>
            <w:noWrap/>
            <w:vAlign w:val="center"/>
          </w:tcPr>
          <w:p w:rsidR="009D734A" w:rsidRDefault="009D734A" w:rsidP="00B00FE7">
            <w:pPr>
              <w:rPr>
                <w:rFonts w:cs="Lucida Sans Unicode"/>
                <w:b/>
                <w:bCs/>
                <w:spacing w:val="-8"/>
                <w:sz w:val="20"/>
                <w:szCs w:val="20"/>
              </w:rPr>
            </w:pPr>
            <w:r>
              <w:rPr>
                <w:rFonts w:cs="Lucida Sans Unicode"/>
                <w:b/>
                <w:bCs/>
                <w:spacing w:val="-8"/>
                <w:sz w:val="20"/>
                <w:szCs w:val="20"/>
              </w:rPr>
              <w:t> </w:t>
            </w:r>
          </w:p>
        </w:tc>
        <w:tc>
          <w:tcPr>
            <w:tcW w:w="1270" w:type="dxa"/>
            <w:tcBorders>
              <w:left w:val="nil"/>
              <w:bottom w:val="single" w:sz="4" w:space="0" w:color="auto"/>
              <w:right w:val="single" w:sz="4" w:space="0" w:color="auto"/>
            </w:tcBorders>
            <w:shd w:val="clear" w:color="auto" w:fill="D9D9D9"/>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Mio. €</w:t>
            </w:r>
          </w:p>
        </w:tc>
        <w:tc>
          <w:tcPr>
            <w:tcW w:w="1270" w:type="dxa"/>
            <w:tcBorders>
              <w:left w:val="single" w:sz="4" w:space="0" w:color="auto"/>
              <w:bottom w:val="single" w:sz="4" w:space="0" w:color="auto"/>
              <w:right w:val="single" w:sz="4" w:space="0" w:color="auto"/>
            </w:tcBorders>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Mio. €</w:t>
            </w:r>
          </w:p>
        </w:tc>
        <w:tc>
          <w:tcPr>
            <w:tcW w:w="1125" w:type="dxa"/>
            <w:tcBorders>
              <w:left w:val="single" w:sz="4" w:space="0" w:color="auto"/>
              <w:bottom w:val="single" w:sz="4" w:space="0" w:color="auto"/>
              <w:right w:val="single" w:sz="4" w:space="0" w:color="auto"/>
            </w:tcBorders>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in %</w:t>
            </w:r>
          </w:p>
        </w:tc>
        <w:tc>
          <w:tcPr>
            <w:tcW w:w="1148" w:type="dxa"/>
            <w:tcBorders>
              <w:left w:val="nil"/>
              <w:bottom w:val="single" w:sz="4" w:space="0" w:color="auto"/>
              <w:right w:val="single" w:sz="4" w:space="0" w:color="auto"/>
            </w:tcBorders>
            <w:shd w:val="clear" w:color="auto" w:fill="D9D9D9"/>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Mio. €</w:t>
            </w:r>
          </w:p>
        </w:tc>
        <w:tc>
          <w:tcPr>
            <w:tcW w:w="1161" w:type="dxa"/>
            <w:gridSpan w:val="2"/>
            <w:tcBorders>
              <w:top w:val="nil"/>
              <w:left w:val="single" w:sz="4" w:space="0" w:color="auto"/>
              <w:bottom w:val="single" w:sz="4" w:space="0" w:color="auto"/>
              <w:right w:val="single" w:sz="4" w:space="0" w:color="auto"/>
            </w:tcBorders>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Mio. €</w:t>
            </w:r>
          </w:p>
        </w:tc>
        <w:tc>
          <w:tcPr>
            <w:tcW w:w="1077" w:type="dxa"/>
            <w:tcBorders>
              <w:top w:val="nil"/>
              <w:left w:val="single" w:sz="4" w:space="0" w:color="auto"/>
              <w:bottom w:val="single" w:sz="4" w:space="0" w:color="auto"/>
              <w:right w:val="single" w:sz="4" w:space="0" w:color="auto"/>
            </w:tcBorders>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in %</w:t>
            </w:r>
          </w:p>
        </w:tc>
      </w:tr>
      <w:tr w:rsidR="009D734A" w:rsidTr="00B00FE7">
        <w:trPr>
          <w:trHeight w:val="300"/>
        </w:trPr>
        <w:tc>
          <w:tcPr>
            <w:tcW w:w="2977"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rPr>
                <w:rFonts w:cs="Lucida Sans Unicode"/>
                <w:spacing w:val="-8"/>
                <w:sz w:val="20"/>
                <w:szCs w:val="20"/>
              </w:rPr>
            </w:pPr>
            <w:r>
              <w:rPr>
                <w:rFonts w:cs="Lucida Sans Unicode"/>
                <w:spacing w:val="-8"/>
                <w:sz w:val="20"/>
                <w:szCs w:val="20"/>
              </w:rPr>
              <w:t xml:space="preserve">Consumer, </w:t>
            </w:r>
            <w:proofErr w:type="spellStart"/>
            <w:r>
              <w:rPr>
                <w:rFonts w:cs="Lucida Sans Unicode"/>
                <w:spacing w:val="-8"/>
                <w:sz w:val="20"/>
                <w:szCs w:val="20"/>
              </w:rPr>
              <w:t>Health</w:t>
            </w:r>
            <w:proofErr w:type="spellEnd"/>
            <w:r>
              <w:rPr>
                <w:rFonts w:cs="Lucida Sans Unicode"/>
                <w:spacing w:val="-8"/>
                <w:sz w:val="20"/>
                <w:szCs w:val="20"/>
              </w:rPr>
              <w:t xml:space="preserve"> &amp; Nutrition</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1.039</w:t>
            </w:r>
          </w:p>
        </w:tc>
        <w:tc>
          <w:tcPr>
            <w:tcW w:w="1270"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1.060</w:t>
            </w:r>
          </w:p>
        </w:tc>
        <w:tc>
          <w:tcPr>
            <w:tcW w:w="1125"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-2</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228</w:t>
            </w:r>
          </w:p>
        </w:tc>
        <w:tc>
          <w:tcPr>
            <w:tcW w:w="1161" w:type="dxa"/>
            <w:gridSpan w:val="2"/>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241</w:t>
            </w:r>
          </w:p>
        </w:tc>
        <w:tc>
          <w:tcPr>
            <w:tcW w:w="1077"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-5</w:t>
            </w:r>
          </w:p>
        </w:tc>
      </w:tr>
      <w:tr w:rsidR="009D734A" w:rsidTr="00B00FE7">
        <w:trPr>
          <w:trHeight w:val="300"/>
        </w:trPr>
        <w:tc>
          <w:tcPr>
            <w:tcW w:w="2977" w:type="dxa"/>
            <w:tcBorders>
              <w:top w:val="nil"/>
              <w:left w:val="single" w:sz="4" w:space="0" w:color="auto"/>
              <w:bottom w:val="single" w:sz="4" w:space="0" w:color="auto"/>
              <w:right w:val="single" w:sz="4" w:space="0" w:color="auto"/>
            </w:tcBorders>
            <w:noWrap/>
            <w:vAlign w:val="center"/>
          </w:tcPr>
          <w:p w:rsidR="009D734A" w:rsidRDefault="009D734A" w:rsidP="00B00FE7">
            <w:pPr>
              <w:rPr>
                <w:rFonts w:cs="Lucida Sans Unicode"/>
                <w:spacing w:val="-8"/>
                <w:sz w:val="20"/>
                <w:szCs w:val="20"/>
              </w:rPr>
            </w:pPr>
            <w:proofErr w:type="spellStart"/>
            <w:r>
              <w:rPr>
                <w:rFonts w:cs="Lucida Sans Unicode"/>
                <w:spacing w:val="-8"/>
                <w:sz w:val="20"/>
                <w:szCs w:val="20"/>
              </w:rPr>
              <w:t>Resource</w:t>
            </w:r>
            <w:proofErr w:type="spellEnd"/>
            <w:r>
              <w:rPr>
                <w:rFonts w:cs="Lucida Sans Unicode"/>
                <w:spacing w:val="-8"/>
                <w:sz w:val="20"/>
                <w:szCs w:val="20"/>
              </w:rPr>
              <w:t xml:space="preserve"> Efficiency </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691</w:t>
            </w:r>
          </w:p>
        </w:tc>
        <w:tc>
          <w:tcPr>
            <w:tcW w:w="1270" w:type="dxa"/>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741</w:t>
            </w:r>
          </w:p>
        </w:tc>
        <w:tc>
          <w:tcPr>
            <w:tcW w:w="1125"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-7</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115</w:t>
            </w:r>
          </w:p>
        </w:tc>
        <w:tc>
          <w:tcPr>
            <w:tcW w:w="1161" w:type="dxa"/>
            <w:gridSpan w:val="2"/>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116</w:t>
            </w:r>
          </w:p>
        </w:tc>
        <w:tc>
          <w:tcPr>
            <w:tcW w:w="1077"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-1</w:t>
            </w:r>
          </w:p>
        </w:tc>
      </w:tr>
      <w:tr w:rsidR="009D734A" w:rsidTr="00B00FE7">
        <w:trPr>
          <w:trHeight w:val="300"/>
        </w:trPr>
        <w:tc>
          <w:tcPr>
            <w:tcW w:w="2977" w:type="dxa"/>
            <w:tcBorders>
              <w:top w:val="nil"/>
              <w:left w:val="single" w:sz="4" w:space="0" w:color="auto"/>
              <w:bottom w:val="single" w:sz="4" w:space="0" w:color="auto"/>
              <w:right w:val="single" w:sz="4" w:space="0" w:color="auto"/>
            </w:tcBorders>
            <w:noWrap/>
            <w:vAlign w:val="center"/>
          </w:tcPr>
          <w:p w:rsidR="009D734A" w:rsidRDefault="009D734A" w:rsidP="00B00FE7">
            <w:pPr>
              <w:rPr>
                <w:rFonts w:cs="Lucida Sans Unicode"/>
                <w:spacing w:val="-8"/>
                <w:sz w:val="20"/>
                <w:szCs w:val="20"/>
              </w:rPr>
            </w:pPr>
            <w:r>
              <w:rPr>
                <w:rFonts w:cs="Lucida Sans Unicode"/>
                <w:spacing w:val="-8"/>
                <w:sz w:val="20"/>
                <w:szCs w:val="20"/>
              </w:rPr>
              <w:t>Specialty Materials</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1.123</w:t>
            </w:r>
          </w:p>
        </w:tc>
        <w:tc>
          <w:tcPr>
            <w:tcW w:w="1270" w:type="dxa"/>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1.125</w:t>
            </w:r>
          </w:p>
        </w:tc>
        <w:tc>
          <w:tcPr>
            <w:tcW w:w="1125"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0</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172</w:t>
            </w:r>
          </w:p>
        </w:tc>
        <w:tc>
          <w:tcPr>
            <w:tcW w:w="1161" w:type="dxa"/>
            <w:gridSpan w:val="2"/>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168</w:t>
            </w:r>
          </w:p>
        </w:tc>
        <w:tc>
          <w:tcPr>
            <w:tcW w:w="1077"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2</w:t>
            </w:r>
          </w:p>
        </w:tc>
      </w:tr>
      <w:tr w:rsidR="009D734A" w:rsidTr="00B00FE7">
        <w:trPr>
          <w:trHeight w:val="300"/>
        </w:trPr>
        <w:tc>
          <w:tcPr>
            <w:tcW w:w="2977" w:type="dxa"/>
            <w:tcBorders>
              <w:top w:val="nil"/>
              <w:left w:val="single" w:sz="4" w:space="0" w:color="auto"/>
              <w:bottom w:val="single" w:sz="4" w:space="0" w:color="auto"/>
              <w:right w:val="single" w:sz="4" w:space="0" w:color="auto"/>
            </w:tcBorders>
            <w:noWrap/>
            <w:vAlign w:val="center"/>
          </w:tcPr>
          <w:p w:rsidR="009D734A" w:rsidRDefault="009D734A" w:rsidP="00B00FE7">
            <w:pPr>
              <w:rPr>
                <w:rFonts w:cs="Lucida Sans Unicode"/>
                <w:spacing w:val="-8"/>
                <w:sz w:val="20"/>
                <w:szCs w:val="20"/>
              </w:rPr>
            </w:pPr>
            <w:r>
              <w:rPr>
                <w:rFonts w:cs="Lucida Sans Unicode"/>
                <w:spacing w:val="-8"/>
                <w:sz w:val="20"/>
                <w:szCs w:val="20"/>
              </w:rPr>
              <w:t>Services</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270</w:t>
            </w:r>
          </w:p>
        </w:tc>
        <w:tc>
          <w:tcPr>
            <w:tcW w:w="1270" w:type="dxa"/>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241</w:t>
            </w:r>
          </w:p>
        </w:tc>
        <w:tc>
          <w:tcPr>
            <w:tcW w:w="1125"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12</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19</w:t>
            </w:r>
          </w:p>
        </w:tc>
        <w:tc>
          <w:tcPr>
            <w:tcW w:w="1161" w:type="dxa"/>
            <w:gridSpan w:val="2"/>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15</w:t>
            </w:r>
          </w:p>
        </w:tc>
        <w:tc>
          <w:tcPr>
            <w:tcW w:w="1077"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27</w:t>
            </w:r>
          </w:p>
        </w:tc>
      </w:tr>
      <w:tr w:rsidR="009D734A" w:rsidTr="00B00FE7">
        <w:trPr>
          <w:trHeight w:val="300"/>
        </w:trPr>
        <w:tc>
          <w:tcPr>
            <w:tcW w:w="2977" w:type="dxa"/>
            <w:tcBorders>
              <w:top w:val="nil"/>
              <w:left w:val="single" w:sz="4" w:space="0" w:color="auto"/>
              <w:bottom w:val="single" w:sz="4" w:space="0" w:color="auto"/>
              <w:right w:val="single" w:sz="4" w:space="0" w:color="auto"/>
            </w:tcBorders>
            <w:noWrap/>
            <w:vAlign w:val="center"/>
          </w:tcPr>
          <w:p w:rsidR="009D734A" w:rsidRDefault="009D734A" w:rsidP="00B00FE7">
            <w:pPr>
              <w:rPr>
                <w:rFonts w:cs="Lucida Sans Unicode"/>
                <w:spacing w:val="-8"/>
                <w:sz w:val="20"/>
                <w:szCs w:val="20"/>
              </w:rPr>
            </w:pPr>
            <w:r>
              <w:rPr>
                <w:rFonts w:cs="Lucida Sans Unicode"/>
                <w:spacing w:val="-8"/>
                <w:sz w:val="20"/>
                <w:szCs w:val="20"/>
              </w:rPr>
              <w:t>Real Estate</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85</w:t>
            </w:r>
          </w:p>
        </w:tc>
        <w:tc>
          <w:tcPr>
            <w:tcW w:w="1270" w:type="dxa"/>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103</w:t>
            </w:r>
          </w:p>
        </w:tc>
        <w:tc>
          <w:tcPr>
            <w:tcW w:w="1125"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-17</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65</w:t>
            </w:r>
          </w:p>
        </w:tc>
        <w:tc>
          <w:tcPr>
            <w:tcW w:w="1161" w:type="dxa"/>
            <w:gridSpan w:val="2"/>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54</w:t>
            </w:r>
          </w:p>
        </w:tc>
        <w:tc>
          <w:tcPr>
            <w:tcW w:w="1077"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20</w:t>
            </w:r>
          </w:p>
        </w:tc>
      </w:tr>
      <w:tr w:rsidR="009D734A" w:rsidTr="00B00FE7">
        <w:trPr>
          <w:trHeight w:val="300"/>
        </w:trPr>
        <w:tc>
          <w:tcPr>
            <w:tcW w:w="2977" w:type="dxa"/>
            <w:tcBorders>
              <w:top w:val="nil"/>
              <w:left w:val="single" w:sz="4" w:space="0" w:color="auto"/>
              <w:bottom w:val="single" w:sz="4" w:space="0" w:color="auto"/>
              <w:right w:val="single" w:sz="4" w:space="0" w:color="auto"/>
            </w:tcBorders>
            <w:noWrap/>
            <w:vAlign w:val="center"/>
          </w:tcPr>
          <w:p w:rsidR="009D734A" w:rsidRDefault="009D734A" w:rsidP="00B00FE7">
            <w:pPr>
              <w:rPr>
                <w:rFonts w:cs="Lucida Sans Unicode"/>
                <w:spacing w:val="-8"/>
                <w:sz w:val="20"/>
                <w:szCs w:val="20"/>
              </w:rPr>
            </w:pPr>
            <w:r>
              <w:rPr>
                <w:rFonts w:cs="Lucida Sans Unicode"/>
                <w:spacing w:val="-8"/>
                <w:sz w:val="20"/>
                <w:szCs w:val="20"/>
              </w:rPr>
              <w:t>Sonstige Aktivitäten</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65</w:t>
            </w:r>
          </w:p>
        </w:tc>
        <w:tc>
          <w:tcPr>
            <w:tcW w:w="1270" w:type="dxa"/>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60</w:t>
            </w:r>
          </w:p>
        </w:tc>
        <w:tc>
          <w:tcPr>
            <w:tcW w:w="1125"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8</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-107</w:t>
            </w:r>
          </w:p>
        </w:tc>
        <w:tc>
          <w:tcPr>
            <w:tcW w:w="1161" w:type="dxa"/>
            <w:gridSpan w:val="2"/>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-72</w:t>
            </w:r>
          </w:p>
        </w:tc>
        <w:tc>
          <w:tcPr>
            <w:tcW w:w="1077"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p>
        </w:tc>
      </w:tr>
      <w:tr w:rsidR="009D734A" w:rsidTr="00B00FE7">
        <w:trPr>
          <w:trHeight w:val="300"/>
        </w:trPr>
        <w:tc>
          <w:tcPr>
            <w:tcW w:w="2977"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rPr>
                <w:rFonts w:cs="Lucida Sans Unicode"/>
                <w:b/>
                <w:bCs/>
                <w:spacing w:val="-8"/>
                <w:sz w:val="20"/>
                <w:szCs w:val="20"/>
              </w:rPr>
            </w:pPr>
            <w:r>
              <w:rPr>
                <w:rFonts w:cs="Lucida Sans Unicode"/>
                <w:b/>
                <w:bCs/>
                <w:spacing w:val="-8"/>
                <w:sz w:val="20"/>
                <w:szCs w:val="20"/>
              </w:rPr>
              <w:t xml:space="preserve">Konzern </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3.273</w:t>
            </w:r>
          </w:p>
        </w:tc>
        <w:tc>
          <w:tcPr>
            <w:tcW w:w="1270"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3.330</w:t>
            </w:r>
          </w:p>
        </w:tc>
        <w:tc>
          <w:tcPr>
            <w:tcW w:w="1125" w:type="dxa"/>
            <w:tcBorders>
              <w:top w:val="single" w:sz="4" w:space="0" w:color="auto"/>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-2</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492</w:t>
            </w:r>
          </w:p>
        </w:tc>
        <w:tc>
          <w:tcPr>
            <w:tcW w:w="1161" w:type="dxa"/>
            <w:gridSpan w:val="2"/>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522</w:t>
            </w:r>
          </w:p>
        </w:tc>
        <w:tc>
          <w:tcPr>
            <w:tcW w:w="1077" w:type="dxa"/>
            <w:tcBorders>
              <w:top w:val="single" w:sz="4" w:space="0" w:color="auto"/>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-6</w:t>
            </w:r>
          </w:p>
        </w:tc>
      </w:tr>
      <w:tr w:rsidR="009D734A" w:rsidTr="00B00FE7">
        <w:trPr>
          <w:trHeight w:val="255"/>
        </w:trPr>
        <w:tc>
          <w:tcPr>
            <w:tcW w:w="2977" w:type="dxa"/>
            <w:tcBorders>
              <w:top w:val="single" w:sz="4" w:space="0" w:color="auto"/>
              <w:left w:val="single" w:sz="4" w:space="0" w:color="auto"/>
              <w:bottom w:val="nil"/>
              <w:right w:val="single" w:sz="4" w:space="0" w:color="auto"/>
            </w:tcBorders>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 </w:t>
            </w:r>
          </w:p>
        </w:tc>
        <w:tc>
          <w:tcPr>
            <w:tcW w:w="3665" w:type="dxa"/>
            <w:gridSpan w:val="3"/>
            <w:tcBorders>
              <w:top w:val="single" w:sz="4" w:space="0" w:color="auto"/>
              <w:left w:val="nil"/>
              <w:bottom w:val="single" w:sz="4" w:space="0" w:color="auto"/>
              <w:right w:val="single" w:sz="4" w:space="0" w:color="auto"/>
            </w:tcBorders>
            <w:noWrap/>
            <w:vAlign w:val="bottom"/>
          </w:tcPr>
          <w:p w:rsidR="009D734A" w:rsidRDefault="009D734A" w:rsidP="00B00FE7">
            <w:pPr>
              <w:jc w:val="center"/>
              <w:rPr>
                <w:rFonts w:cs="Lucida Sans Unicode"/>
                <w:b/>
                <w:bCs/>
                <w:spacing w:val="-8"/>
                <w:sz w:val="20"/>
                <w:szCs w:val="20"/>
              </w:rPr>
            </w:pPr>
            <w:r>
              <w:rPr>
                <w:rFonts w:cs="Lucida Sans Unicode"/>
                <w:b/>
                <w:bCs/>
                <w:spacing w:val="-8"/>
                <w:sz w:val="20"/>
                <w:szCs w:val="20"/>
              </w:rPr>
              <w:t>Umsatz</w:t>
            </w:r>
          </w:p>
        </w:tc>
        <w:tc>
          <w:tcPr>
            <w:tcW w:w="3386" w:type="dxa"/>
            <w:gridSpan w:val="4"/>
            <w:tcBorders>
              <w:top w:val="single" w:sz="4" w:space="0" w:color="auto"/>
              <w:left w:val="single" w:sz="4" w:space="0" w:color="auto"/>
              <w:bottom w:val="single" w:sz="4" w:space="0" w:color="auto"/>
              <w:right w:val="single" w:sz="4" w:space="0" w:color="auto"/>
            </w:tcBorders>
            <w:noWrap/>
            <w:vAlign w:val="bottom"/>
          </w:tcPr>
          <w:p w:rsidR="009D734A" w:rsidRDefault="009D734A" w:rsidP="00B00FE7">
            <w:pPr>
              <w:jc w:val="center"/>
              <w:rPr>
                <w:rFonts w:cs="Lucida Sans Unicode"/>
                <w:b/>
                <w:bCs/>
                <w:spacing w:val="-8"/>
                <w:sz w:val="20"/>
                <w:szCs w:val="20"/>
              </w:rPr>
            </w:pPr>
            <w:r>
              <w:rPr>
                <w:rFonts w:cs="Lucida Sans Unicode"/>
                <w:b/>
                <w:bCs/>
                <w:spacing w:val="-8"/>
                <w:sz w:val="20"/>
                <w:szCs w:val="20"/>
              </w:rPr>
              <w:t>Bereinigtes EBITDA</w:t>
            </w:r>
          </w:p>
        </w:tc>
      </w:tr>
      <w:tr w:rsidR="009D734A" w:rsidTr="00B00FE7">
        <w:trPr>
          <w:trHeight w:val="255"/>
        </w:trPr>
        <w:tc>
          <w:tcPr>
            <w:tcW w:w="2977" w:type="dxa"/>
            <w:tcBorders>
              <w:top w:val="nil"/>
              <w:left w:val="single" w:sz="4" w:space="0" w:color="auto"/>
              <w:bottom w:val="nil"/>
              <w:right w:val="single" w:sz="4" w:space="0" w:color="auto"/>
            </w:tcBorders>
            <w:noWrap/>
            <w:vAlign w:val="center"/>
          </w:tcPr>
          <w:p w:rsidR="009D734A" w:rsidRDefault="009D734A" w:rsidP="00B00FE7">
            <w:pPr>
              <w:rPr>
                <w:rFonts w:cs="Lucida Sans Unicode"/>
                <w:b/>
                <w:bCs/>
                <w:spacing w:val="-8"/>
                <w:sz w:val="20"/>
                <w:szCs w:val="20"/>
              </w:rPr>
            </w:pPr>
          </w:p>
        </w:tc>
        <w:tc>
          <w:tcPr>
            <w:tcW w:w="1270" w:type="dxa"/>
            <w:tcBorders>
              <w:top w:val="single" w:sz="4" w:space="0" w:color="auto"/>
              <w:left w:val="nil"/>
              <w:right w:val="single" w:sz="4" w:space="0" w:color="auto"/>
            </w:tcBorders>
            <w:shd w:val="clear" w:color="auto" w:fill="D9D9D9"/>
            <w:noWrap/>
            <w:vAlign w:val="bottom"/>
          </w:tcPr>
          <w:p w:rsidR="009D734A" w:rsidRDefault="009D734A" w:rsidP="00B00FE7">
            <w:pPr>
              <w:jc w:val="center"/>
              <w:rPr>
                <w:rFonts w:cs="Lucida Sans Unicode"/>
                <w:b/>
                <w:bCs/>
                <w:spacing w:val="-8"/>
                <w:sz w:val="20"/>
                <w:szCs w:val="20"/>
              </w:rPr>
            </w:pPr>
            <w:r>
              <w:rPr>
                <w:rFonts w:cs="Lucida Sans Unicode"/>
                <w:b/>
                <w:bCs/>
                <w:spacing w:val="-8"/>
                <w:sz w:val="20"/>
                <w:szCs w:val="20"/>
              </w:rPr>
              <w:t>2012</w:t>
            </w:r>
          </w:p>
        </w:tc>
        <w:tc>
          <w:tcPr>
            <w:tcW w:w="1270" w:type="dxa"/>
            <w:tcBorders>
              <w:top w:val="single" w:sz="4" w:space="0" w:color="auto"/>
              <w:left w:val="single" w:sz="4" w:space="0" w:color="auto"/>
              <w:bottom w:val="nil"/>
              <w:right w:val="single" w:sz="4" w:space="0" w:color="auto"/>
            </w:tcBorders>
            <w:noWrap/>
            <w:vAlign w:val="bottom"/>
          </w:tcPr>
          <w:p w:rsidR="009D734A" w:rsidRDefault="009D734A" w:rsidP="00B00FE7">
            <w:pPr>
              <w:jc w:val="center"/>
              <w:rPr>
                <w:rFonts w:cs="Lucida Sans Unicode"/>
                <w:b/>
                <w:bCs/>
                <w:spacing w:val="-8"/>
                <w:sz w:val="20"/>
                <w:szCs w:val="20"/>
              </w:rPr>
            </w:pPr>
            <w:r>
              <w:rPr>
                <w:rFonts w:cs="Lucida Sans Unicode"/>
                <w:b/>
                <w:bCs/>
                <w:spacing w:val="-8"/>
                <w:sz w:val="20"/>
                <w:szCs w:val="20"/>
              </w:rPr>
              <w:t>2011</w:t>
            </w:r>
            <w:r w:rsidRPr="004128CC">
              <w:rPr>
                <w:rFonts w:cs="Lucida Sans Unicode"/>
                <w:b/>
                <w:bCs/>
                <w:spacing w:val="-8"/>
                <w:sz w:val="20"/>
                <w:szCs w:val="20"/>
                <w:vertAlign w:val="superscript"/>
              </w:rPr>
              <w:t>1)</w:t>
            </w:r>
          </w:p>
        </w:tc>
        <w:tc>
          <w:tcPr>
            <w:tcW w:w="1125" w:type="dxa"/>
            <w:tcBorders>
              <w:top w:val="single" w:sz="4" w:space="0" w:color="auto"/>
              <w:left w:val="single" w:sz="4" w:space="0" w:color="auto"/>
              <w:bottom w:val="nil"/>
              <w:right w:val="single" w:sz="4" w:space="0" w:color="auto"/>
            </w:tcBorders>
            <w:noWrap/>
            <w:vAlign w:val="bottom"/>
          </w:tcPr>
          <w:p w:rsidR="009D734A" w:rsidRDefault="009D734A" w:rsidP="00B00FE7">
            <w:pPr>
              <w:jc w:val="center"/>
              <w:rPr>
                <w:rFonts w:cs="Lucida Sans Unicode"/>
                <w:b/>
                <w:bCs/>
                <w:spacing w:val="-8"/>
                <w:sz w:val="20"/>
                <w:szCs w:val="20"/>
              </w:rPr>
            </w:pPr>
            <w:proofErr w:type="spellStart"/>
            <w:r>
              <w:rPr>
                <w:rFonts w:cs="Lucida Sans Unicode"/>
                <w:b/>
                <w:bCs/>
                <w:spacing w:val="-8"/>
                <w:sz w:val="20"/>
                <w:szCs w:val="20"/>
              </w:rPr>
              <w:t>Veränd</w:t>
            </w:r>
            <w:proofErr w:type="spellEnd"/>
            <w:r>
              <w:rPr>
                <w:rFonts w:cs="Lucida Sans Unicode"/>
                <w:b/>
                <w:bCs/>
                <w:spacing w:val="-8"/>
                <w:sz w:val="20"/>
                <w:szCs w:val="20"/>
              </w:rPr>
              <w:t>.</w:t>
            </w:r>
          </w:p>
        </w:tc>
        <w:tc>
          <w:tcPr>
            <w:tcW w:w="1148" w:type="dxa"/>
            <w:tcBorders>
              <w:top w:val="single" w:sz="4" w:space="0" w:color="auto"/>
              <w:left w:val="nil"/>
              <w:right w:val="single" w:sz="4" w:space="0" w:color="auto"/>
            </w:tcBorders>
            <w:shd w:val="clear" w:color="auto" w:fill="D9D9D9"/>
            <w:noWrap/>
            <w:vAlign w:val="bottom"/>
          </w:tcPr>
          <w:p w:rsidR="009D734A" w:rsidRDefault="009D734A" w:rsidP="00B00FE7">
            <w:pPr>
              <w:jc w:val="center"/>
              <w:rPr>
                <w:rFonts w:cs="Lucida Sans Unicode"/>
                <w:b/>
                <w:bCs/>
                <w:spacing w:val="-8"/>
                <w:sz w:val="20"/>
                <w:szCs w:val="20"/>
              </w:rPr>
            </w:pPr>
            <w:r>
              <w:rPr>
                <w:rFonts w:cs="Lucida Sans Unicode"/>
                <w:b/>
                <w:bCs/>
                <w:spacing w:val="-8"/>
                <w:sz w:val="20"/>
                <w:szCs w:val="20"/>
              </w:rPr>
              <w:t>2012</w:t>
            </w:r>
          </w:p>
        </w:tc>
        <w:tc>
          <w:tcPr>
            <w:tcW w:w="1116" w:type="dxa"/>
            <w:tcBorders>
              <w:top w:val="single" w:sz="4" w:space="0" w:color="auto"/>
              <w:left w:val="single" w:sz="4" w:space="0" w:color="auto"/>
              <w:bottom w:val="nil"/>
              <w:right w:val="single" w:sz="4" w:space="0" w:color="auto"/>
            </w:tcBorders>
            <w:noWrap/>
            <w:vAlign w:val="bottom"/>
          </w:tcPr>
          <w:p w:rsidR="009D734A" w:rsidRDefault="009D734A" w:rsidP="00B00FE7">
            <w:pPr>
              <w:jc w:val="center"/>
              <w:rPr>
                <w:rFonts w:cs="Lucida Sans Unicode"/>
                <w:b/>
                <w:bCs/>
                <w:spacing w:val="-8"/>
                <w:sz w:val="20"/>
                <w:szCs w:val="20"/>
              </w:rPr>
            </w:pPr>
            <w:r>
              <w:rPr>
                <w:rFonts w:cs="Lucida Sans Unicode"/>
                <w:b/>
                <w:bCs/>
                <w:spacing w:val="-8"/>
                <w:sz w:val="20"/>
                <w:szCs w:val="20"/>
              </w:rPr>
              <w:t>2011</w:t>
            </w:r>
            <w:r w:rsidRPr="004128CC">
              <w:rPr>
                <w:rFonts w:cs="Lucida Sans Unicode"/>
                <w:b/>
                <w:bCs/>
                <w:spacing w:val="-8"/>
                <w:sz w:val="20"/>
                <w:szCs w:val="20"/>
                <w:vertAlign w:val="superscript"/>
              </w:rPr>
              <w:t>1)</w:t>
            </w:r>
          </w:p>
        </w:tc>
        <w:tc>
          <w:tcPr>
            <w:tcW w:w="1122" w:type="dxa"/>
            <w:gridSpan w:val="2"/>
            <w:tcBorders>
              <w:top w:val="single" w:sz="4" w:space="0" w:color="auto"/>
              <w:left w:val="single" w:sz="4" w:space="0" w:color="auto"/>
              <w:bottom w:val="nil"/>
              <w:right w:val="single" w:sz="4" w:space="0" w:color="auto"/>
            </w:tcBorders>
            <w:noWrap/>
            <w:vAlign w:val="bottom"/>
          </w:tcPr>
          <w:p w:rsidR="009D734A" w:rsidRDefault="009D734A" w:rsidP="00B00FE7">
            <w:pPr>
              <w:jc w:val="center"/>
              <w:rPr>
                <w:rFonts w:cs="Lucida Sans Unicode"/>
                <w:b/>
                <w:bCs/>
                <w:spacing w:val="-8"/>
                <w:sz w:val="20"/>
                <w:szCs w:val="20"/>
              </w:rPr>
            </w:pPr>
            <w:proofErr w:type="spellStart"/>
            <w:r>
              <w:rPr>
                <w:rFonts w:cs="Lucida Sans Unicode"/>
                <w:b/>
                <w:bCs/>
                <w:spacing w:val="-8"/>
                <w:sz w:val="20"/>
                <w:szCs w:val="20"/>
              </w:rPr>
              <w:t>Veränd</w:t>
            </w:r>
            <w:proofErr w:type="spellEnd"/>
            <w:r>
              <w:rPr>
                <w:rFonts w:cs="Lucida Sans Unicode"/>
                <w:b/>
                <w:bCs/>
                <w:spacing w:val="-8"/>
                <w:sz w:val="20"/>
                <w:szCs w:val="20"/>
              </w:rPr>
              <w:t>.</w:t>
            </w:r>
          </w:p>
        </w:tc>
      </w:tr>
      <w:tr w:rsidR="009D734A" w:rsidTr="00B00FE7">
        <w:trPr>
          <w:trHeight w:val="255"/>
        </w:trPr>
        <w:tc>
          <w:tcPr>
            <w:tcW w:w="2977" w:type="dxa"/>
            <w:tcBorders>
              <w:top w:val="nil"/>
              <w:left w:val="single" w:sz="4" w:space="0" w:color="auto"/>
              <w:bottom w:val="single" w:sz="4" w:space="0" w:color="auto"/>
              <w:right w:val="single" w:sz="4" w:space="0" w:color="auto"/>
            </w:tcBorders>
            <w:noWrap/>
            <w:vAlign w:val="center"/>
          </w:tcPr>
          <w:p w:rsidR="009D734A" w:rsidRDefault="009D734A" w:rsidP="00B00FE7">
            <w:pPr>
              <w:rPr>
                <w:rFonts w:cs="Lucida Sans Unicode"/>
                <w:b/>
                <w:bCs/>
                <w:spacing w:val="-8"/>
                <w:sz w:val="20"/>
                <w:szCs w:val="20"/>
              </w:rPr>
            </w:pPr>
            <w:r>
              <w:rPr>
                <w:rFonts w:cs="Lucida Sans Unicode"/>
                <w:b/>
                <w:bCs/>
                <w:spacing w:val="-8"/>
                <w:sz w:val="20"/>
                <w:szCs w:val="20"/>
              </w:rPr>
              <w:t> </w:t>
            </w:r>
          </w:p>
        </w:tc>
        <w:tc>
          <w:tcPr>
            <w:tcW w:w="1270" w:type="dxa"/>
            <w:tcBorders>
              <w:left w:val="nil"/>
              <w:bottom w:val="single" w:sz="4" w:space="0" w:color="auto"/>
              <w:right w:val="single" w:sz="4" w:space="0" w:color="auto"/>
            </w:tcBorders>
            <w:shd w:val="clear" w:color="auto" w:fill="D9D9D9"/>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Mio. €</w:t>
            </w:r>
          </w:p>
        </w:tc>
        <w:tc>
          <w:tcPr>
            <w:tcW w:w="1270" w:type="dxa"/>
            <w:tcBorders>
              <w:left w:val="single" w:sz="4" w:space="0" w:color="auto"/>
              <w:bottom w:val="single" w:sz="4" w:space="0" w:color="auto"/>
              <w:right w:val="single" w:sz="4" w:space="0" w:color="auto"/>
            </w:tcBorders>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Mio. €</w:t>
            </w:r>
          </w:p>
        </w:tc>
        <w:tc>
          <w:tcPr>
            <w:tcW w:w="1125" w:type="dxa"/>
            <w:tcBorders>
              <w:left w:val="single" w:sz="4" w:space="0" w:color="auto"/>
              <w:bottom w:val="single" w:sz="4" w:space="0" w:color="auto"/>
              <w:right w:val="single" w:sz="4" w:space="0" w:color="auto"/>
            </w:tcBorders>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in %</w:t>
            </w:r>
          </w:p>
        </w:tc>
        <w:tc>
          <w:tcPr>
            <w:tcW w:w="1148" w:type="dxa"/>
            <w:tcBorders>
              <w:left w:val="nil"/>
              <w:bottom w:val="single" w:sz="4" w:space="0" w:color="auto"/>
              <w:right w:val="single" w:sz="4" w:space="0" w:color="auto"/>
            </w:tcBorders>
            <w:shd w:val="clear" w:color="auto" w:fill="D9D9D9"/>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Mio. €</w:t>
            </w:r>
          </w:p>
        </w:tc>
        <w:tc>
          <w:tcPr>
            <w:tcW w:w="1116" w:type="dxa"/>
            <w:tcBorders>
              <w:top w:val="nil"/>
              <w:left w:val="single" w:sz="4" w:space="0" w:color="auto"/>
              <w:bottom w:val="single" w:sz="4" w:space="0" w:color="auto"/>
              <w:right w:val="single" w:sz="4" w:space="0" w:color="auto"/>
            </w:tcBorders>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Mio. €</w:t>
            </w:r>
          </w:p>
        </w:tc>
        <w:tc>
          <w:tcPr>
            <w:tcW w:w="1122" w:type="dxa"/>
            <w:gridSpan w:val="2"/>
            <w:tcBorders>
              <w:top w:val="nil"/>
              <w:left w:val="single" w:sz="4" w:space="0" w:color="auto"/>
              <w:bottom w:val="single" w:sz="4" w:space="0" w:color="auto"/>
              <w:right w:val="single" w:sz="4" w:space="0" w:color="auto"/>
            </w:tcBorders>
            <w:vAlign w:val="center"/>
          </w:tcPr>
          <w:p w:rsidR="009D734A" w:rsidRDefault="009D734A" w:rsidP="00B00FE7">
            <w:pPr>
              <w:jc w:val="center"/>
              <w:rPr>
                <w:rFonts w:cs="Lucida Sans Unicode"/>
                <w:b/>
                <w:bCs/>
                <w:spacing w:val="-8"/>
                <w:sz w:val="20"/>
                <w:szCs w:val="20"/>
              </w:rPr>
            </w:pPr>
            <w:r>
              <w:rPr>
                <w:rFonts w:cs="Lucida Sans Unicode"/>
                <w:b/>
                <w:bCs/>
                <w:spacing w:val="-8"/>
                <w:sz w:val="20"/>
                <w:szCs w:val="20"/>
              </w:rPr>
              <w:t>in %</w:t>
            </w:r>
          </w:p>
        </w:tc>
      </w:tr>
      <w:tr w:rsidR="009D734A" w:rsidTr="00B00FE7">
        <w:trPr>
          <w:trHeight w:val="255"/>
        </w:trPr>
        <w:tc>
          <w:tcPr>
            <w:tcW w:w="2977"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rPr>
                <w:rFonts w:cs="Lucida Sans Unicode"/>
                <w:spacing w:val="-8"/>
                <w:sz w:val="20"/>
                <w:szCs w:val="20"/>
              </w:rPr>
            </w:pPr>
            <w:r>
              <w:rPr>
                <w:rFonts w:cs="Lucida Sans Unicode"/>
                <w:spacing w:val="-8"/>
                <w:sz w:val="20"/>
                <w:szCs w:val="20"/>
              </w:rPr>
              <w:t xml:space="preserve">Consumer, </w:t>
            </w:r>
            <w:proofErr w:type="spellStart"/>
            <w:r>
              <w:rPr>
                <w:rFonts w:cs="Lucida Sans Unicode"/>
                <w:spacing w:val="-8"/>
                <w:sz w:val="20"/>
                <w:szCs w:val="20"/>
              </w:rPr>
              <w:t>Health</w:t>
            </w:r>
            <w:proofErr w:type="spellEnd"/>
            <w:r>
              <w:rPr>
                <w:rFonts w:cs="Lucida Sans Unicode"/>
                <w:spacing w:val="-8"/>
                <w:sz w:val="20"/>
                <w:szCs w:val="20"/>
              </w:rPr>
              <w:t xml:space="preserve"> &amp; Nutrition</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4.204</w:t>
            </w:r>
          </w:p>
        </w:tc>
        <w:tc>
          <w:tcPr>
            <w:tcW w:w="1270"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4.081</w:t>
            </w:r>
          </w:p>
        </w:tc>
        <w:tc>
          <w:tcPr>
            <w:tcW w:w="1125"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3</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1.050</w:t>
            </w:r>
          </w:p>
        </w:tc>
        <w:tc>
          <w:tcPr>
            <w:tcW w:w="1116"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1.049</w:t>
            </w:r>
          </w:p>
        </w:tc>
        <w:tc>
          <w:tcPr>
            <w:tcW w:w="1122" w:type="dxa"/>
            <w:gridSpan w:val="2"/>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0</w:t>
            </w:r>
          </w:p>
        </w:tc>
      </w:tr>
      <w:tr w:rsidR="009D734A" w:rsidTr="00B00FE7">
        <w:trPr>
          <w:trHeight w:val="255"/>
        </w:trPr>
        <w:tc>
          <w:tcPr>
            <w:tcW w:w="2977"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rPr>
                <w:rFonts w:cs="Lucida Sans Unicode"/>
                <w:spacing w:val="-8"/>
                <w:sz w:val="20"/>
                <w:szCs w:val="20"/>
              </w:rPr>
            </w:pPr>
            <w:proofErr w:type="spellStart"/>
            <w:r>
              <w:rPr>
                <w:rFonts w:cs="Lucida Sans Unicode"/>
                <w:spacing w:val="-8"/>
                <w:sz w:val="20"/>
                <w:szCs w:val="20"/>
              </w:rPr>
              <w:t>Resource</w:t>
            </w:r>
            <w:proofErr w:type="spellEnd"/>
            <w:r>
              <w:rPr>
                <w:rFonts w:cs="Lucida Sans Unicode"/>
                <w:spacing w:val="-8"/>
                <w:sz w:val="20"/>
                <w:szCs w:val="20"/>
              </w:rPr>
              <w:t xml:space="preserve"> Efficiency </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3.131</w:t>
            </w:r>
          </w:p>
        </w:tc>
        <w:tc>
          <w:tcPr>
            <w:tcW w:w="1270"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4.045</w:t>
            </w:r>
          </w:p>
        </w:tc>
        <w:tc>
          <w:tcPr>
            <w:tcW w:w="1125"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-23</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655</w:t>
            </w:r>
          </w:p>
        </w:tc>
        <w:tc>
          <w:tcPr>
            <w:tcW w:w="1116"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765</w:t>
            </w:r>
          </w:p>
        </w:tc>
        <w:tc>
          <w:tcPr>
            <w:tcW w:w="1122" w:type="dxa"/>
            <w:gridSpan w:val="2"/>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-14</w:t>
            </w:r>
          </w:p>
        </w:tc>
      </w:tr>
      <w:tr w:rsidR="009D734A" w:rsidTr="00B00FE7">
        <w:trPr>
          <w:trHeight w:val="255"/>
        </w:trPr>
        <w:tc>
          <w:tcPr>
            <w:tcW w:w="2977"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rPr>
                <w:rFonts w:cs="Lucida Sans Unicode"/>
                <w:spacing w:val="-8"/>
                <w:sz w:val="20"/>
                <w:szCs w:val="20"/>
              </w:rPr>
            </w:pPr>
            <w:r>
              <w:rPr>
                <w:rFonts w:cs="Lucida Sans Unicode"/>
                <w:spacing w:val="-8"/>
                <w:sz w:val="20"/>
                <w:szCs w:val="20"/>
              </w:rPr>
              <w:t>Specialty Materials</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4.843</w:t>
            </w:r>
          </w:p>
        </w:tc>
        <w:tc>
          <w:tcPr>
            <w:tcW w:w="1270"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4.880</w:t>
            </w:r>
          </w:p>
        </w:tc>
        <w:tc>
          <w:tcPr>
            <w:tcW w:w="1125"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-1</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843</w:t>
            </w:r>
          </w:p>
        </w:tc>
        <w:tc>
          <w:tcPr>
            <w:tcW w:w="1116"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907</w:t>
            </w:r>
          </w:p>
        </w:tc>
        <w:tc>
          <w:tcPr>
            <w:tcW w:w="1122" w:type="dxa"/>
            <w:gridSpan w:val="2"/>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-7</w:t>
            </w:r>
          </w:p>
        </w:tc>
      </w:tr>
      <w:tr w:rsidR="009D734A" w:rsidTr="00B00FE7">
        <w:trPr>
          <w:trHeight w:val="255"/>
        </w:trPr>
        <w:tc>
          <w:tcPr>
            <w:tcW w:w="2977" w:type="dxa"/>
            <w:tcBorders>
              <w:top w:val="nil"/>
              <w:left w:val="single" w:sz="4" w:space="0" w:color="auto"/>
              <w:bottom w:val="single" w:sz="4" w:space="0" w:color="auto"/>
              <w:right w:val="single" w:sz="4" w:space="0" w:color="auto"/>
            </w:tcBorders>
            <w:noWrap/>
            <w:vAlign w:val="center"/>
          </w:tcPr>
          <w:p w:rsidR="009D734A" w:rsidRDefault="009D734A" w:rsidP="00B00FE7">
            <w:pPr>
              <w:rPr>
                <w:rFonts w:cs="Lucida Sans Unicode"/>
                <w:spacing w:val="-8"/>
                <w:sz w:val="20"/>
                <w:szCs w:val="20"/>
              </w:rPr>
            </w:pPr>
            <w:r>
              <w:rPr>
                <w:rFonts w:cs="Lucida Sans Unicode"/>
                <w:spacing w:val="-8"/>
                <w:sz w:val="20"/>
                <w:szCs w:val="20"/>
              </w:rPr>
              <w:t>Services</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999</w:t>
            </w:r>
          </w:p>
        </w:tc>
        <w:tc>
          <w:tcPr>
            <w:tcW w:w="1270" w:type="dxa"/>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952</w:t>
            </w:r>
          </w:p>
        </w:tc>
        <w:tc>
          <w:tcPr>
            <w:tcW w:w="1125"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5</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163</w:t>
            </w:r>
          </w:p>
        </w:tc>
        <w:tc>
          <w:tcPr>
            <w:tcW w:w="1116" w:type="dxa"/>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139</w:t>
            </w:r>
          </w:p>
        </w:tc>
        <w:tc>
          <w:tcPr>
            <w:tcW w:w="1122" w:type="dxa"/>
            <w:gridSpan w:val="2"/>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17</w:t>
            </w:r>
          </w:p>
        </w:tc>
      </w:tr>
      <w:tr w:rsidR="009D734A" w:rsidTr="00B00FE7">
        <w:trPr>
          <w:trHeight w:val="255"/>
        </w:trPr>
        <w:tc>
          <w:tcPr>
            <w:tcW w:w="2977" w:type="dxa"/>
            <w:tcBorders>
              <w:top w:val="nil"/>
              <w:left w:val="single" w:sz="4" w:space="0" w:color="auto"/>
              <w:bottom w:val="single" w:sz="4" w:space="0" w:color="auto"/>
              <w:right w:val="single" w:sz="4" w:space="0" w:color="auto"/>
            </w:tcBorders>
            <w:noWrap/>
            <w:vAlign w:val="center"/>
          </w:tcPr>
          <w:p w:rsidR="009D734A" w:rsidRDefault="009D734A" w:rsidP="00B00FE7">
            <w:pPr>
              <w:rPr>
                <w:rFonts w:cs="Lucida Sans Unicode"/>
                <w:spacing w:val="-8"/>
                <w:sz w:val="20"/>
                <w:szCs w:val="20"/>
              </w:rPr>
            </w:pPr>
            <w:r>
              <w:rPr>
                <w:rFonts w:cs="Lucida Sans Unicode"/>
                <w:spacing w:val="-8"/>
                <w:sz w:val="20"/>
                <w:szCs w:val="20"/>
              </w:rPr>
              <w:t>Real Estate</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239</w:t>
            </w:r>
          </w:p>
        </w:tc>
        <w:tc>
          <w:tcPr>
            <w:tcW w:w="1270" w:type="dxa"/>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412</w:t>
            </w:r>
          </w:p>
        </w:tc>
        <w:tc>
          <w:tcPr>
            <w:tcW w:w="1125"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-42</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199</w:t>
            </w:r>
          </w:p>
        </w:tc>
        <w:tc>
          <w:tcPr>
            <w:tcW w:w="1116" w:type="dxa"/>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219</w:t>
            </w:r>
          </w:p>
        </w:tc>
        <w:tc>
          <w:tcPr>
            <w:tcW w:w="1122" w:type="dxa"/>
            <w:gridSpan w:val="2"/>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-9</w:t>
            </w:r>
          </w:p>
        </w:tc>
      </w:tr>
      <w:tr w:rsidR="009D734A" w:rsidTr="00B00FE7">
        <w:trPr>
          <w:trHeight w:val="255"/>
        </w:trPr>
        <w:tc>
          <w:tcPr>
            <w:tcW w:w="2977" w:type="dxa"/>
            <w:tcBorders>
              <w:top w:val="nil"/>
              <w:left w:val="single" w:sz="4" w:space="0" w:color="auto"/>
              <w:bottom w:val="single" w:sz="4" w:space="0" w:color="auto"/>
              <w:right w:val="single" w:sz="4" w:space="0" w:color="auto"/>
            </w:tcBorders>
            <w:noWrap/>
            <w:vAlign w:val="center"/>
          </w:tcPr>
          <w:p w:rsidR="009D734A" w:rsidRDefault="009D734A" w:rsidP="00B00FE7">
            <w:pPr>
              <w:rPr>
                <w:rFonts w:cs="Lucida Sans Unicode"/>
                <w:spacing w:val="-8"/>
                <w:sz w:val="20"/>
                <w:szCs w:val="20"/>
              </w:rPr>
            </w:pPr>
            <w:r>
              <w:rPr>
                <w:rFonts w:cs="Lucida Sans Unicode"/>
                <w:spacing w:val="-8"/>
                <w:sz w:val="20"/>
                <w:szCs w:val="20"/>
              </w:rPr>
              <w:t>Sonstige Aktivitäten</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213</w:t>
            </w:r>
          </w:p>
        </w:tc>
        <w:tc>
          <w:tcPr>
            <w:tcW w:w="1270" w:type="dxa"/>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170</w:t>
            </w:r>
          </w:p>
        </w:tc>
        <w:tc>
          <w:tcPr>
            <w:tcW w:w="1125" w:type="dxa"/>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r>
              <w:rPr>
                <w:rFonts w:cs="Lucida Sans Unicode"/>
                <w:spacing w:val="-8"/>
                <w:sz w:val="20"/>
                <w:szCs w:val="20"/>
              </w:rPr>
              <w:t>26</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spacing w:val="-8"/>
                <w:sz w:val="20"/>
                <w:szCs w:val="20"/>
              </w:rPr>
            </w:pPr>
            <w:r>
              <w:rPr>
                <w:rFonts w:cs="Lucida Sans Unicode"/>
                <w:spacing w:val="-8"/>
                <w:sz w:val="20"/>
                <w:szCs w:val="20"/>
              </w:rPr>
              <w:t>-321</w:t>
            </w:r>
          </w:p>
        </w:tc>
        <w:tc>
          <w:tcPr>
            <w:tcW w:w="1116" w:type="dxa"/>
            <w:tcBorders>
              <w:top w:val="nil"/>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spacing w:val="-8"/>
                <w:sz w:val="20"/>
                <w:szCs w:val="20"/>
              </w:rPr>
            </w:pPr>
            <w:r>
              <w:rPr>
                <w:rFonts w:cs="Lucida Sans Unicode"/>
                <w:spacing w:val="-8"/>
                <w:sz w:val="20"/>
                <w:szCs w:val="20"/>
              </w:rPr>
              <w:t>-311</w:t>
            </w:r>
          </w:p>
        </w:tc>
        <w:tc>
          <w:tcPr>
            <w:tcW w:w="1122" w:type="dxa"/>
            <w:gridSpan w:val="2"/>
            <w:tcBorders>
              <w:top w:val="nil"/>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spacing w:val="-8"/>
                <w:sz w:val="20"/>
                <w:szCs w:val="20"/>
              </w:rPr>
            </w:pPr>
          </w:p>
        </w:tc>
      </w:tr>
      <w:tr w:rsidR="009D734A" w:rsidTr="00B00FE7">
        <w:trPr>
          <w:trHeight w:val="255"/>
        </w:trPr>
        <w:tc>
          <w:tcPr>
            <w:tcW w:w="2977"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rPr>
                <w:rFonts w:cs="Lucida Sans Unicode"/>
                <w:b/>
                <w:bCs/>
                <w:spacing w:val="-8"/>
                <w:sz w:val="20"/>
                <w:szCs w:val="20"/>
              </w:rPr>
            </w:pPr>
            <w:r>
              <w:rPr>
                <w:rFonts w:cs="Lucida Sans Unicode"/>
                <w:b/>
                <w:bCs/>
                <w:spacing w:val="-8"/>
                <w:sz w:val="20"/>
                <w:szCs w:val="20"/>
              </w:rPr>
              <w:t xml:space="preserve">Konzern </w:t>
            </w:r>
          </w:p>
        </w:tc>
        <w:tc>
          <w:tcPr>
            <w:tcW w:w="1270"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13.629</w:t>
            </w:r>
          </w:p>
        </w:tc>
        <w:tc>
          <w:tcPr>
            <w:tcW w:w="1270"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14.540</w:t>
            </w:r>
          </w:p>
        </w:tc>
        <w:tc>
          <w:tcPr>
            <w:tcW w:w="1125" w:type="dxa"/>
            <w:tcBorders>
              <w:top w:val="single" w:sz="4" w:space="0" w:color="auto"/>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-6</w:t>
            </w:r>
          </w:p>
        </w:tc>
        <w:tc>
          <w:tcPr>
            <w:tcW w:w="1148" w:type="dxa"/>
            <w:tcBorders>
              <w:top w:val="single" w:sz="4" w:space="0" w:color="auto"/>
              <w:left w:val="nil"/>
              <w:bottom w:val="single" w:sz="4" w:space="0" w:color="auto"/>
              <w:right w:val="single" w:sz="4" w:space="0" w:color="auto"/>
            </w:tcBorders>
            <w:shd w:val="clear" w:color="auto" w:fill="D9D9D9"/>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2.589</w:t>
            </w:r>
          </w:p>
        </w:tc>
        <w:tc>
          <w:tcPr>
            <w:tcW w:w="1116" w:type="dxa"/>
            <w:tcBorders>
              <w:top w:val="single" w:sz="4" w:space="0" w:color="auto"/>
              <w:left w:val="single" w:sz="4" w:space="0" w:color="auto"/>
              <w:bottom w:val="single" w:sz="4" w:space="0" w:color="auto"/>
              <w:right w:val="single" w:sz="4" w:space="0" w:color="auto"/>
            </w:tcBorders>
            <w:noWrap/>
            <w:vAlign w:val="center"/>
          </w:tcPr>
          <w:p w:rsidR="009D734A" w:rsidRDefault="009D734A" w:rsidP="00B00FE7">
            <w:pPr>
              <w:jc w:val="right"/>
              <w:rPr>
                <w:rFonts w:cs="Lucida Sans Unicode"/>
                <w:b/>
                <w:bCs/>
                <w:spacing w:val="-8"/>
                <w:sz w:val="20"/>
                <w:szCs w:val="20"/>
              </w:rPr>
            </w:pPr>
            <w:r>
              <w:rPr>
                <w:rFonts w:cs="Lucida Sans Unicode"/>
                <w:b/>
                <w:bCs/>
                <w:spacing w:val="-8"/>
                <w:sz w:val="20"/>
                <w:szCs w:val="20"/>
              </w:rPr>
              <w:t>2.768</w:t>
            </w:r>
          </w:p>
        </w:tc>
        <w:tc>
          <w:tcPr>
            <w:tcW w:w="1122" w:type="dxa"/>
            <w:gridSpan w:val="2"/>
            <w:tcBorders>
              <w:top w:val="single" w:sz="4" w:space="0" w:color="auto"/>
              <w:left w:val="single" w:sz="4" w:space="0" w:color="auto"/>
              <w:bottom w:val="single" w:sz="4" w:space="0" w:color="auto"/>
              <w:right w:val="single" w:sz="4" w:space="0" w:color="auto"/>
            </w:tcBorders>
            <w:noWrap/>
            <w:vAlign w:val="bottom"/>
          </w:tcPr>
          <w:p w:rsidR="009D734A" w:rsidRDefault="009D734A" w:rsidP="00B00FE7">
            <w:pPr>
              <w:jc w:val="right"/>
              <w:rPr>
                <w:rFonts w:cs="Lucida Sans Unicode"/>
                <w:b/>
                <w:bCs/>
                <w:spacing w:val="-8"/>
                <w:sz w:val="20"/>
                <w:szCs w:val="20"/>
              </w:rPr>
            </w:pPr>
            <w:r>
              <w:rPr>
                <w:rFonts w:cs="Lucida Sans Unicode"/>
                <w:b/>
                <w:bCs/>
                <w:spacing w:val="-8"/>
                <w:sz w:val="20"/>
                <w:szCs w:val="20"/>
              </w:rPr>
              <w:t>-6</w:t>
            </w:r>
          </w:p>
        </w:tc>
      </w:tr>
    </w:tbl>
    <w:p w:rsidR="009D734A" w:rsidRDefault="009D734A" w:rsidP="009D734A">
      <w:pPr>
        <w:spacing w:line="240" w:lineRule="auto"/>
        <w:rPr>
          <w:rFonts w:cs="Lucida Sans Unicode"/>
          <w:sz w:val="16"/>
          <w:szCs w:val="16"/>
        </w:rPr>
      </w:pPr>
      <w:r>
        <w:rPr>
          <w:rFonts w:cs="Lucida Sans Unicode"/>
          <w:sz w:val="16"/>
          <w:szCs w:val="16"/>
          <w:vertAlign w:val="superscript"/>
        </w:rPr>
        <w:t>1)</w:t>
      </w:r>
      <w:r>
        <w:rPr>
          <w:rFonts w:cs="Lucida Sans Unicode"/>
          <w:sz w:val="16"/>
          <w:szCs w:val="16"/>
        </w:rPr>
        <w:t xml:space="preserve"> Einschließlich des im Juli 2011 verkauften Carbon-Black-Geschäfts</w:t>
      </w:r>
    </w:p>
    <w:p w:rsidR="009D734A" w:rsidRDefault="009D734A" w:rsidP="009D734A">
      <w:pPr>
        <w:spacing w:line="300" w:lineRule="exact"/>
        <w:rPr>
          <w:rFonts w:cs="Lucida Sans Unicode"/>
          <w:b/>
          <w:bCs/>
          <w:sz w:val="20"/>
          <w:szCs w:val="20"/>
        </w:rPr>
      </w:pPr>
    </w:p>
    <w:p w:rsidR="009D734A" w:rsidRDefault="009D734A" w:rsidP="009D734A">
      <w:pPr>
        <w:spacing w:line="160" w:lineRule="exact"/>
        <w:rPr>
          <w:rFonts w:cs="Lucida Sans Unicode"/>
          <w:b/>
          <w:bCs/>
          <w:sz w:val="20"/>
          <w:szCs w:val="20"/>
        </w:rPr>
      </w:pPr>
    </w:p>
    <w:p w:rsidR="009D734A" w:rsidRDefault="009D734A" w:rsidP="009D734A">
      <w:pPr>
        <w:spacing w:line="160" w:lineRule="exact"/>
        <w:rPr>
          <w:rFonts w:cs="Lucida Sans Unicode"/>
          <w:b/>
          <w:bCs/>
          <w:sz w:val="20"/>
          <w:szCs w:val="20"/>
        </w:rPr>
      </w:pPr>
    </w:p>
    <w:p w:rsidR="009D734A" w:rsidRDefault="009D734A" w:rsidP="009D734A">
      <w:pPr>
        <w:spacing w:line="300" w:lineRule="exact"/>
        <w:rPr>
          <w:rFonts w:cs="Lucida Sans Unicode"/>
          <w:b/>
          <w:bCs/>
          <w:sz w:val="20"/>
          <w:szCs w:val="20"/>
        </w:rPr>
      </w:pPr>
      <w:r>
        <w:rPr>
          <w:rFonts w:cs="Lucida Sans Unicode"/>
          <w:b/>
          <w:bCs/>
          <w:sz w:val="20"/>
          <w:szCs w:val="20"/>
        </w:rPr>
        <w:t>Evonik-Konzern: Mitarbeiter nach Segmenten</w:t>
      </w:r>
    </w:p>
    <w:p w:rsidR="009D734A" w:rsidRDefault="009D734A" w:rsidP="009D734A">
      <w:pPr>
        <w:spacing w:line="160" w:lineRule="exact"/>
        <w:rPr>
          <w:rFonts w:cs="Lucida Sans Unicode"/>
          <w:b/>
          <w:bCs/>
          <w:sz w:val="20"/>
          <w:szCs w:val="20"/>
        </w:rPr>
      </w:pPr>
    </w:p>
    <w:tbl>
      <w:tblPr>
        <w:tblW w:w="7601" w:type="dxa"/>
        <w:tblInd w:w="55" w:type="dxa"/>
        <w:tblLayout w:type="fixed"/>
        <w:tblCellMar>
          <w:left w:w="70" w:type="dxa"/>
          <w:right w:w="70" w:type="dxa"/>
        </w:tblCellMar>
        <w:tblLook w:val="0000" w:firstRow="0" w:lastRow="0" w:firstColumn="0" w:lastColumn="0" w:noHBand="0" w:noVBand="0"/>
      </w:tblPr>
      <w:tblGrid>
        <w:gridCol w:w="4335"/>
        <w:gridCol w:w="1633"/>
        <w:gridCol w:w="1633"/>
      </w:tblGrid>
      <w:tr w:rsidR="009D734A" w:rsidTr="00B00FE7">
        <w:trPr>
          <w:trHeight w:val="255"/>
        </w:trPr>
        <w:tc>
          <w:tcPr>
            <w:tcW w:w="4335" w:type="dxa"/>
            <w:tcBorders>
              <w:top w:val="single" w:sz="12" w:space="0" w:color="auto"/>
              <w:left w:val="single" w:sz="12" w:space="0" w:color="auto"/>
              <w:right w:val="single" w:sz="12" w:space="0" w:color="auto"/>
            </w:tcBorders>
            <w:noWrap/>
          </w:tcPr>
          <w:p w:rsidR="009D734A" w:rsidRDefault="009D734A" w:rsidP="00B00FE7">
            <w:pPr>
              <w:jc w:val="both"/>
              <w:rPr>
                <w:rFonts w:cs="Lucida Sans Unicode"/>
                <w:sz w:val="20"/>
                <w:szCs w:val="20"/>
              </w:rPr>
            </w:pPr>
          </w:p>
        </w:tc>
        <w:tc>
          <w:tcPr>
            <w:tcW w:w="1633" w:type="dxa"/>
            <w:vMerge w:val="restart"/>
            <w:tcBorders>
              <w:top w:val="single" w:sz="12" w:space="0" w:color="auto"/>
              <w:left w:val="single" w:sz="12" w:space="0" w:color="auto"/>
              <w:bottom w:val="single" w:sz="12" w:space="0" w:color="auto"/>
              <w:right w:val="single" w:sz="12" w:space="0" w:color="auto"/>
            </w:tcBorders>
            <w:shd w:val="clear" w:color="auto" w:fill="D9D9D9"/>
            <w:noWrap/>
          </w:tcPr>
          <w:p w:rsidR="009D734A" w:rsidRDefault="009D734A" w:rsidP="00B00FE7">
            <w:pPr>
              <w:jc w:val="center"/>
              <w:rPr>
                <w:rFonts w:cs="Lucida Sans Unicode"/>
                <w:b/>
                <w:sz w:val="20"/>
                <w:szCs w:val="20"/>
              </w:rPr>
            </w:pPr>
            <w:r>
              <w:rPr>
                <w:rFonts w:cs="Lucida Sans Unicode"/>
                <w:b/>
                <w:sz w:val="20"/>
                <w:szCs w:val="20"/>
              </w:rPr>
              <w:t>31.12.2012</w:t>
            </w:r>
          </w:p>
          <w:p w:rsidR="009D734A" w:rsidRDefault="009D734A" w:rsidP="00B00FE7">
            <w:pPr>
              <w:jc w:val="center"/>
              <w:rPr>
                <w:rFonts w:cs="Lucida Sans Unicode"/>
                <w:b/>
                <w:sz w:val="20"/>
                <w:szCs w:val="20"/>
              </w:rPr>
            </w:pPr>
          </w:p>
        </w:tc>
        <w:tc>
          <w:tcPr>
            <w:tcW w:w="1633" w:type="dxa"/>
            <w:vMerge w:val="restart"/>
            <w:tcBorders>
              <w:top w:val="single" w:sz="12" w:space="0" w:color="auto"/>
              <w:left w:val="single" w:sz="12" w:space="0" w:color="auto"/>
              <w:bottom w:val="single" w:sz="12" w:space="0" w:color="auto"/>
              <w:right w:val="single" w:sz="12" w:space="0" w:color="auto"/>
            </w:tcBorders>
            <w:noWrap/>
          </w:tcPr>
          <w:p w:rsidR="009D734A" w:rsidRDefault="009D734A" w:rsidP="00B00FE7">
            <w:pPr>
              <w:jc w:val="center"/>
              <w:rPr>
                <w:rFonts w:cs="Lucida Sans Unicode"/>
                <w:b/>
                <w:sz w:val="20"/>
                <w:szCs w:val="20"/>
                <w:lang w:val="en-GB"/>
              </w:rPr>
            </w:pPr>
            <w:r>
              <w:rPr>
                <w:rFonts w:cs="Lucida Sans Unicode"/>
                <w:b/>
                <w:sz w:val="20"/>
                <w:szCs w:val="20"/>
                <w:lang w:val="en-GB"/>
              </w:rPr>
              <w:t>31.12.2011</w:t>
            </w:r>
          </w:p>
          <w:p w:rsidR="009D734A" w:rsidRDefault="009D734A" w:rsidP="00B00FE7">
            <w:pPr>
              <w:rPr>
                <w:rFonts w:cs="Lucida Sans Unicode"/>
                <w:b/>
                <w:sz w:val="20"/>
                <w:szCs w:val="20"/>
                <w:lang w:val="en-GB"/>
              </w:rPr>
            </w:pPr>
          </w:p>
        </w:tc>
      </w:tr>
      <w:tr w:rsidR="009D734A" w:rsidTr="00B00FE7">
        <w:trPr>
          <w:trHeight w:val="255"/>
        </w:trPr>
        <w:tc>
          <w:tcPr>
            <w:tcW w:w="4335" w:type="dxa"/>
            <w:tcBorders>
              <w:left w:val="single" w:sz="12" w:space="0" w:color="auto"/>
              <w:bottom w:val="single" w:sz="12" w:space="0" w:color="auto"/>
              <w:right w:val="single" w:sz="12" w:space="0" w:color="auto"/>
            </w:tcBorders>
            <w:noWrap/>
          </w:tcPr>
          <w:p w:rsidR="009D734A" w:rsidRDefault="009D734A" w:rsidP="00B00FE7">
            <w:pPr>
              <w:rPr>
                <w:rFonts w:cs="Lucida Sans Unicode"/>
                <w:sz w:val="20"/>
                <w:szCs w:val="20"/>
                <w:lang w:val="en-GB"/>
              </w:rPr>
            </w:pPr>
          </w:p>
        </w:tc>
        <w:tc>
          <w:tcPr>
            <w:tcW w:w="1633" w:type="dxa"/>
            <w:vMerge/>
            <w:tcBorders>
              <w:top w:val="single" w:sz="12" w:space="0" w:color="auto"/>
              <w:left w:val="single" w:sz="12" w:space="0" w:color="auto"/>
              <w:bottom w:val="single" w:sz="12" w:space="0" w:color="auto"/>
              <w:right w:val="single" w:sz="12" w:space="0" w:color="auto"/>
            </w:tcBorders>
            <w:shd w:val="clear" w:color="auto" w:fill="D9D9D9"/>
          </w:tcPr>
          <w:p w:rsidR="009D734A" w:rsidRDefault="009D734A" w:rsidP="00B00FE7">
            <w:pPr>
              <w:rPr>
                <w:rFonts w:cs="Lucida Sans Unicode"/>
                <w:b/>
                <w:bCs/>
                <w:sz w:val="20"/>
                <w:szCs w:val="20"/>
              </w:rPr>
            </w:pPr>
          </w:p>
        </w:tc>
        <w:tc>
          <w:tcPr>
            <w:tcW w:w="1633" w:type="dxa"/>
            <w:vMerge/>
            <w:tcBorders>
              <w:top w:val="single" w:sz="12" w:space="0" w:color="auto"/>
              <w:left w:val="single" w:sz="12" w:space="0" w:color="auto"/>
              <w:bottom w:val="single" w:sz="12" w:space="0" w:color="auto"/>
              <w:right w:val="single" w:sz="12" w:space="0" w:color="auto"/>
            </w:tcBorders>
          </w:tcPr>
          <w:p w:rsidR="009D734A" w:rsidRDefault="009D734A" w:rsidP="00B00FE7">
            <w:pPr>
              <w:rPr>
                <w:rFonts w:cs="Lucida Sans Unicode"/>
                <w:b/>
                <w:bCs/>
                <w:sz w:val="20"/>
                <w:szCs w:val="20"/>
              </w:rPr>
            </w:pPr>
          </w:p>
        </w:tc>
      </w:tr>
      <w:tr w:rsidR="009D734A" w:rsidTr="00B00FE7">
        <w:trPr>
          <w:trHeight w:val="285"/>
        </w:trPr>
        <w:tc>
          <w:tcPr>
            <w:tcW w:w="4335" w:type="dxa"/>
            <w:tcBorders>
              <w:top w:val="single" w:sz="12" w:space="0" w:color="auto"/>
              <w:left w:val="single" w:sz="12" w:space="0" w:color="auto"/>
              <w:bottom w:val="single" w:sz="6" w:space="0" w:color="auto"/>
              <w:right w:val="single" w:sz="12" w:space="0" w:color="auto"/>
            </w:tcBorders>
            <w:noWrap/>
          </w:tcPr>
          <w:p w:rsidR="009D734A" w:rsidRDefault="009D734A" w:rsidP="00B00FE7">
            <w:pPr>
              <w:jc w:val="both"/>
              <w:rPr>
                <w:rFonts w:cs="Lucida Sans Unicode"/>
                <w:sz w:val="20"/>
                <w:szCs w:val="20"/>
                <w:lang w:val="en-GB"/>
              </w:rPr>
            </w:pPr>
            <w:r>
              <w:rPr>
                <w:rFonts w:cs="Lucida Sans Unicode"/>
                <w:sz w:val="20"/>
                <w:szCs w:val="20"/>
                <w:lang w:val="en-GB"/>
              </w:rPr>
              <w:t>Consumer, Health &amp; Nutrition</w:t>
            </w:r>
          </w:p>
        </w:tc>
        <w:tc>
          <w:tcPr>
            <w:tcW w:w="1633" w:type="dxa"/>
            <w:tcBorders>
              <w:top w:val="single" w:sz="12" w:space="0" w:color="auto"/>
              <w:left w:val="single" w:sz="12" w:space="0" w:color="auto"/>
              <w:bottom w:val="single" w:sz="6" w:space="0" w:color="auto"/>
              <w:right w:val="single" w:sz="12" w:space="0" w:color="auto"/>
            </w:tcBorders>
            <w:shd w:val="clear" w:color="auto" w:fill="D9D9D9"/>
            <w:noWrap/>
          </w:tcPr>
          <w:p w:rsidR="009D734A" w:rsidRDefault="009D734A" w:rsidP="00B00FE7">
            <w:pPr>
              <w:jc w:val="right"/>
              <w:rPr>
                <w:rFonts w:cs="Lucida Sans Unicode"/>
                <w:sz w:val="20"/>
                <w:szCs w:val="20"/>
                <w:lang w:val="en-GB"/>
              </w:rPr>
            </w:pPr>
            <w:r>
              <w:rPr>
                <w:rFonts w:cs="Lucida Sans Unicode"/>
                <w:sz w:val="20"/>
                <w:szCs w:val="20"/>
                <w:lang w:val="en-GB"/>
              </w:rPr>
              <w:t>6.821</w:t>
            </w:r>
          </w:p>
        </w:tc>
        <w:tc>
          <w:tcPr>
            <w:tcW w:w="1633" w:type="dxa"/>
            <w:tcBorders>
              <w:top w:val="single" w:sz="12" w:space="0" w:color="auto"/>
              <w:left w:val="single" w:sz="12" w:space="0" w:color="auto"/>
              <w:bottom w:val="single" w:sz="6" w:space="0" w:color="auto"/>
              <w:right w:val="single" w:sz="12" w:space="0" w:color="auto"/>
            </w:tcBorders>
            <w:noWrap/>
          </w:tcPr>
          <w:p w:rsidR="009D734A" w:rsidRDefault="009D734A" w:rsidP="00B00FE7">
            <w:pPr>
              <w:jc w:val="right"/>
              <w:rPr>
                <w:rFonts w:cs="Lucida Sans Unicode"/>
                <w:sz w:val="20"/>
                <w:szCs w:val="20"/>
                <w:lang w:val="en-GB"/>
              </w:rPr>
            </w:pPr>
            <w:r>
              <w:rPr>
                <w:rFonts w:cs="Lucida Sans Unicode"/>
                <w:sz w:val="20"/>
                <w:szCs w:val="20"/>
                <w:lang w:val="en-GB"/>
              </w:rPr>
              <w:t>6.384</w:t>
            </w:r>
          </w:p>
        </w:tc>
      </w:tr>
      <w:tr w:rsidR="009D734A" w:rsidTr="00B00FE7">
        <w:trPr>
          <w:trHeight w:val="285"/>
        </w:trPr>
        <w:tc>
          <w:tcPr>
            <w:tcW w:w="4335" w:type="dxa"/>
            <w:tcBorders>
              <w:top w:val="single" w:sz="6" w:space="0" w:color="auto"/>
              <w:left w:val="single" w:sz="12" w:space="0" w:color="auto"/>
              <w:bottom w:val="single" w:sz="6" w:space="0" w:color="auto"/>
              <w:right w:val="single" w:sz="12" w:space="0" w:color="auto"/>
            </w:tcBorders>
            <w:noWrap/>
          </w:tcPr>
          <w:p w:rsidR="009D734A" w:rsidRDefault="009D734A" w:rsidP="00B00FE7">
            <w:pPr>
              <w:jc w:val="both"/>
              <w:rPr>
                <w:rFonts w:cs="Lucida Sans Unicode"/>
                <w:sz w:val="20"/>
                <w:szCs w:val="20"/>
                <w:lang w:val="en-GB"/>
              </w:rPr>
            </w:pPr>
            <w:r>
              <w:rPr>
                <w:rFonts w:cs="Lucida Sans Unicode"/>
                <w:sz w:val="20"/>
                <w:szCs w:val="20"/>
                <w:lang w:val="en-GB"/>
              </w:rPr>
              <w:t>Resource Efficiency</w:t>
            </w:r>
          </w:p>
        </w:tc>
        <w:tc>
          <w:tcPr>
            <w:tcW w:w="1633" w:type="dxa"/>
            <w:tcBorders>
              <w:top w:val="single" w:sz="6" w:space="0" w:color="auto"/>
              <w:left w:val="single" w:sz="12" w:space="0" w:color="auto"/>
              <w:bottom w:val="single" w:sz="6" w:space="0" w:color="auto"/>
              <w:right w:val="single" w:sz="12" w:space="0" w:color="auto"/>
            </w:tcBorders>
            <w:shd w:val="clear" w:color="auto" w:fill="D9D9D9"/>
            <w:noWrap/>
          </w:tcPr>
          <w:p w:rsidR="009D734A" w:rsidRDefault="009D734A" w:rsidP="00B00FE7">
            <w:pPr>
              <w:jc w:val="right"/>
              <w:rPr>
                <w:rFonts w:cs="Lucida Sans Unicode"/>
                <w:sz w:val="20"/>
                <w:szCs w:val="20"/>
                <w:lang w:val="en-GB"/>
              </w:rPr>
            </w:pPr>
            <w:r>
              <w:rPr>
                <w:rFonts w:cs="Lucida Sans Unicode"/>
                <w:sz w:val="20"/>
                <w:szCs w:val="20"/>
                <w:lang w:val="en-GB"/>
              </w:rPr>
              <w:t>5.755</w:t>
            </w:r>
          </w:p>
        </w:tc>
        <w:tc>
          <w:tcPr>
            <w:tcW w:w="1633" w:type="dxa"/>
            <w:tcBorders>
              <w:top w:val="single" w:sz="6" w:space="0" w:color="auto"/>
              <w:left w:val="single" w:sz="12" w:space="0" w:color="auto"/>
              <w:bottom w:val="single" w:sz="6" w:space="0" w:color="auto"/>
              <w:right w:val="single" w:sz="12" w:space="0" w:color="auto"/>
            </w:tcBorders>
            <w:noWrap/>
          </w:tcPr>
          <w:p w:rsidR="009D734A" w:rsidRDefault="009D734A" w:rsidP="00B00FE7">
            <w:pPr>
              <w:jc w:val="right"/>
              <w:rPr>
                <w:rFonts w:cs="Lucida Sans Unicode"/>
                <w:sz w:val="20"/>
                <w:szCs w:val="20"/>
                <w:lang w:val="en-GB"/>
              </w:rPr>
            </w:pPr>
            <w:r>
              <w:rPr>
                <w:rFonts w:cs="Lucida Sans Unicode"/>
                <w:sz w:val="20"/>
                <w:szCs w:val="20"/>
                <w:lang w:val="en-GB"/>
              </w:rPr>
              <w:t>6.381</w:t>
            </w:r>
          </w:p>
        </w:tc>
      </w:tr>
      <w:tr w:rsidR="009D734A" w:rsidTr="00B00FE7">
        <w:trPr>
          <w:trHeight w:val="285"/>
        </w:trPr>
        <w:tc>
          <w:tcPr>
            <w:tcW w:w="4335" w:type="dxa"/>
            <w:tcBorders>
              <w:top w:val="single" w:sz="6" w:space="0" w:color="auto"/>
              <w:left w:val="single" w:sz="12" w:space="0" w:color="auto"/>
              <w:bottom w:val="single" w:sz="6" w:space="0" w:color="auto"/>
              <w:right w:val="single" w:sz="12" w:space="0" w:color="auto"/>
            </w:tcBorders>
            <w:noWrap/>
          </w:tcPr>
          <w:p w:rsidR="009D734A" w:rsidRDefault="009D734A" w:rsidP="00B00FE7">
            <w:pPr>
              <w:jc w:val="both"/>
              <w:rPr>
                <w:rFonts w:cs="Lucida Sans Unicode"/>
                <w:sz w:val="20"/>
                <w:szCs w:val="20"/>
                <w:lang w:val="en-GB"/>
              </w:rPr>
            </w:pPr>
            <w:r>
              <w:rPr>
                <w:rFonts w:cs="Lucida Sans Unicode"/>
                <w:sz w:val="20"/>
                <w:szCs w:val="20"/>
                <w:lang w:val="en-GB"/>
              </w:rPr>
              <w:t>Specialty Materials</w:t>
            </w:r>
          </w:p>
        </w:tc>
        <w:tc>
          <w:tcPr>
            <w:tcW w:w="1633" w:type="dxa"/>
            <w:tcBorders>
              <w:top w:val="single" w:sz="6" w:space="0" w:color="auto"/>
              <w:left w:val="single" w:sz="12" w:space="0" w:color="auto"/>
              <w:bottom w:val="single" w:sz="6" w:space="0" w:color="auto"/>
              <w:right w:val="single" w:sz="12" w:space="0" w:color="auto"/>
            </w:tcBorders>
            <w:shd w:val="clear" w:color="auto" w:fill="D9D9D9"/>
            <w:noWrap/>
          </w:tcPr>
          <w:p w:rsidR="009D734A" w:rsidRDefault="009D734A" w:rsidP="00B00FE7">
            <w:pPr>
              <w:jc w:val="right"/>
              <w:rPr>
                <w:rFonts w:cs="Lucida Sans Unicode"/>
                <w:sz w:val="20"/>
                <w:szCs w:val="20"/>
                <w:lang w:val="en-GB"/>
              </w:rPr>
            </w:pPr>
            <w:r>
              <w:rPr>
                <w:rFonts w:cs="Lucida Sans Unicode"/>
                <w:sz w:val="20"/>
                <w:szCs w:val="20"/>
                <w:lang w:val="en-GB"/>
              </w:rPr>
              <w:t>6.134</w:t>
            </w:r>
          </w:p>
        </w:tc>
        <w:tc>
          <w:tcPr>
            <w:tcW w:w="1633" w:type="dxa"/>
            <w:tcBorders>
              <w:top w:val="single" w:sz="6" w:space="0" w:color="auto"/>
              <w:left w:val="single" w:sz="12" w:space="0" w:color="auto"/>
              <w:bottom w:val="single" w:sz="6" w:space="0" w:color="auto"/>
              <w:right w:val="single" w:sz="12" w:space="0" w:color="auto"/>
            </w:tcBorders>
            <w:noWrap/>
          </w:tcPr>
          <w:p w:rsidR="009D734A" w:rsidRDefault="009D734A" w:rsidP="00B00FE7">
            <w:pPr>
              <w:jc w:val="right"/>
              <w:rPr>
                <w:rFonts w:cs="Lucida Sans Unicode"/>
                <w:sz w:val="20"/>
                <w:szCs w:val="20"/>
                <w:lang w:val="en-GB"/>
              </w:rPr>
            </w:pPr>
            <w:r>
              <w:rPr>
                <w:rFonts w:cs="Lucida Sans Unicode"/>
                <w:sz w:val="20"/>
                <w:szCs w:val="20"/>
                <w:lang w:val="en-GB"/>
              </w:rPr>
              <w:t>6.846</w:t>
            </w:r>
          </w:p>
        </w:tc>
      </w:tr>
      <w:tr w:rsidR="009D734A" w:rsidTr="00B00FE7">
        <w:trPr>
          <w:trHeight w:val="285"/>
        </w:trPr>
        <w:tc>
          <w:tcPr>
            <w:tcW w:w="4335" w:type="dxa"/>
            <w:tcBorders>
              <w:top w:val="single" w:sz="6" w:space="0" w:color="auto"/>
              <w:left w:val="single" w:sz="12" w:space="0" w:color="auto"/>
              <w:bottom w:val="single" w:sz="6" w:space="0" w:color="auto"/>
              <w:right w:val="single" w:sz="12" w:space="0" w:color="auto"/>
            </w:tcBorders>
            <w:noWrap/>
          </w:tcPr>
          <w:p w:rsidR="009D734A" w:rsidRDefault="009D734A" w:rsidP="00B00FE7">
            <w:pPr>
              <w:jc w:val="both"/>
              <w:rPr>
                <w:rFonts w:cs="Lucida Sans Unicode"/>
                <w:sz w:val="20"/>
                <w:szCs w:val="20"/>
                <w:lang w:val="en-GB"/>
              </w:rPr>
            </w:pPr>
            <w:r>
              <w:rPr>
                <w:rFonts w:cs="Lucida Sans Unicode"/>
                <w:sz w:val="20"/>
                <w:szCs w:val="20"/>
                <w:lang w:val="en-GB"/>
              </w:rPr>
              <w:t>Services</w:t>
            </w:r>
          </w:p>
        </w:tc>
        <w:tc>
          <w:tcPr>
            <w:tcW w:w="1633" w:type="dxa"/>
            <w:tcBorders>
              <w:top w:val="single" w:sz="6" w:space="0" w:color="auto"/>
              <w:left w:val="single" w:sz="12" w:space="0" w:color="auto"/>
              <w:bottom w:val="single" w:sz="6" w:space="0" w:color="auto"/>
              <w:right w:val="single" w:sz="12" w:space="0" w:color="auto"/>
            </w:tcBorders>
            <w:shd w:val="clear" w:color="auto" w:fill="D9D9D9"/>
            <w:noWrap/>
          </w:tcPr>
          <w:p w:rsidR="009D734A" w:rsidRDefault="009D734A" w:rsidP="00B00FE7">
            <w:pPr>
              <w:jc w:val="right"/>
              <w:rPr>
                <w:rFonts w:cs="Lucida Sans Unicode"/>
                <w:sz w:val="20"/>
                <w:szCs w:val="20"/>
                <w:lang w:val="en-GB"/>
              </w:rPr>
            </w:pPr>
            <w:r>
              <w:rPr>
                <w:rFonts w:cs="Lucida Sans Unicode"/>
                <w:sz w:val="20"/>
                <w:szCs w:val="20"/>
                <w:lang w:val="en-GB"/>
              </w:rPr>
              <w:t>11.900</w:t>
            </w:r>
          </w:p>
        </w:tc>
        <w:tc>
          <w:tcPr>
            <w:tcW w:w="1633" w:type="dxa"/>
            <w:tcBorders>
              <w:top w:val="single" w:sz="6" w:space="0" w:color="auto"/>
              <w:left w:val="single" w:sz="12" w:space="0" w:color="auto"/>
              <w:bottom w:val="single" w:sz="6" w:space="0" w:color="auto"/>
              <w:right w:val="single" w:sz="12" w:space="0" w:color="auto"/>
            </w:tcBorders>
            <w:noWrap/>
          </w:tcPr>
          <w:p w:rsidR="009D734A" w:rsidRDefault="009D734A" w:rsidP="00B00FE7">
            <w:pPr>
              <w:jc w:val="right"/>
              <w:rPr>
                <w:rFonts w:cs="Lucida Sans Unicode"/>
                <w:sz w:val="20"/>
                <w:szCs w:val="20"/>
                <w:lang w:val="en-GB"/>
              </w:rPr>
            </w:pPr>
            <w:r>
              <w:rPr>
                <w:rFonts w:cs="Lucida Sans Unicode"/>
                <w:sz w:val="20"/>
                <w:szCs w:val="20"/>
                <w:lang w:val="en-GB"/>
              </w:rPr>
              <w:t>10.946</w:t>
            </w:r>
          </w:p>
        </w:tc>
      </w:tr>
      <w:tr w:rsidR="009D734A" w:rsidTr="00B00FE7">
        <w:trPr>
          <w:trHeight w:val="285"/>
        </w:trPr>
        <w:tc>
          <w:tcPr>
            <w:tcW w:w="4335" w:type="dxa"/>
            <w:tcBorders>
              <w:top w:val="single" w:sz="6" w:space="0" w:color="auto"/>
              <w:left w:val="single" w:sz="12" w:space="0" w:color="auto"/>
              <w:bottom w:val="single" w:sz="6" w:space="0" w:color="auto"/>
              <w:right w:val="single" w:sz="12" w:space="0" w:color="auto"/>
            </w:tcBorders>
            <w:noWrap/>
          </w:tcPr>
          <w:p w:rsidR="009D734A" w:rsidRDefault="009D734A" w:rsidP="00B00FE7">
            <w:pPr>
              <w:jc w:val="both"/>
              <w:rPr>
                <w:rFonts w:cs="Lucida Sans Unicode"/>
                <w:sz w:val="20"/>
                <w:szCs w:val="20"/>
                <w:lang w:val="en-GB"/>
              </w:rPr>
            </w:pPr>
            <w:r>
              <w:rPr>
                <w:rFonts w:cs="Lucida Sans Unicode"/>
                <w:sz w:val="20"/>
                <w:szCs w:val="20"/>
                <w:lang w:val="en-GB"/>
              </w:rPr>
              <w:t>Real Estate</w:t>
            </w:r>
          </w:p>
        </w:tc>
        <w:tc>
          <w:tcPr>
            <w:tcW w:w="1633" w:type="dxa"/>
            <w:tcBorders>
              <w:top w:val="single" w:sz="6" w:space="0" w:color="auto"/>
              <w:left w:val="single" w:sz="12" w:space="0" w:color="auto"/>
              <w:bottom w:val="single" w:sz="6" w:space="0" w:color="auto"/>
              <w:right w:val="single" w:sz="12" w:space="0" w:color="auto"/>
            </w:tcBorders>
            <w:shd w:val="clear" w:color="auto" w:fill="D9D9D9"/>
            <w:noWrap/>
          </w:tcPr>
          <w:p w:rsidR="009D734A" w:rsidRDefault="009D734A" w:rsidP="00B00FE7">
            <w:pPr>
              <w:jc w:val="right"/>
              <w:rPr>
                <w:rFonts w:cs="Lucida Sans Unicode"/>
                <w:sz w:val="20"/>
                <w:szCs w:val="20"/>
                <w:lang w:val="en-GB"/>
              </w:rPr>
            </w:pPr>
            <w:r>
              <w:rPr>
                <w:rFonts w:cs="Lucida Sans Unicode"/>
                <w:sz w:val="20"/>
                <w:szCs w:val="20"/>
                <w:lang w:val="en-GB"/>
              </w:rPr>
              <w:t>617</w:t>
            </w:r>
          </w:p>
        </w:tc>
        <w:tc>
          <w:tcPr>
            <w:tcW w:w="1633" w:type="dxa"/>
            <w:tcBorders>
              <w:top w:val="single" w:sz="6" w:space="0" w:color="auto"/>
              <w:left w:val="single" w:sz="12" w:space="0" w:color="auto"/>
              <w:bottom w:val="single" w:sz="6" w:space="0" w:color="auto"/>
              <w:right w:val="single" w:sz="12" w:space="0" w:color="auto"/>
            </w:tcBorders>
            <w:noWrap/>
          </w:tcPr>
          <w:p w:rsidR="009D734A" w:rsidRDefault="009D734A" w:rsidP="00B00FE7">
            <w:pPr>
              <w:jc w:val="right"/>
              <w:rPr>
                <w:rFonts w:cs="Lucida Sans Unicode"/>
                <w:sz w:val="20"/>
                <w:szCs w:val="20"/>
                <w:lang w:val="en-GB"/>
              </w:rPr>
            </w:pPr>
            <w:r>
              <w:rPr>
                <w:rFonts w:cs="Lucida Sans Unicode"/>
                <w:sz w:val="20"/>
                <w:szCs w:val="20"/>
                <w:lang w:val="en-GB"/>
              </w:rPr>
              <w:t>1.135</w:t>
            </w:r>
          </w:p>
        </w:tc>
      </w:tr>
      <w:tr w:rsidR="009D734A" w:rsidTr="00B00FE7">
        <w:trPr>
          <w:trHeight w:val="285"/>
        </w:trPr>
        <w:tc>
          <w:tcPr>
            <w:tcW w:w="4335" w:type="dxa"/>
            <w:tcBorders>
              <w:top w:val="single" w:sz="6" w:space="0" w:color="auto"/>
              <w:left w:val="single" w:sz="12" w:space="0" w:color="auto"/>
              <w:bottom w:val="single" w:sz="12" w:space="0" w:color="auto"/>
              <w:right w:val="single" w:sz="12" w:space="0" w:color="auto"/>
            </w:tcBorders>
            <w:noWrap/>
          </w:tcPr>
          <w:p w:rsidR="009D734A" w:rsidRDefault="009D734A" w:rsidP="00B00FE7">
            <w:pPr>
              <w:jc w:val="both"/>
              <w:rPr>
                <w:rFonts w:cs="Lucida Sans Unicode"/>
                <w:sz w:val="20"/>
                <w:szCs w:val="20"/>
                <w:lang w:val="en-GB"/>
              </w:rPr>
            </w:pPr>
            <w:proofErr w:type="spellStart"/>
            <w:r>
              <w:rPr>
                <w:rFonts w:cs="Lucida Sans Unicode"/>
                <w:sz w:val="20"/>
                <w:szCs w:val="20"/>
                <w:lang w:val="en-GB"/>
              </w:rPr>
              <w:t>Sonstige</w:t>
            </w:r>
            <w:proofErr w:type="spellEnd"/>
            <w:r>
              <w:rPr>
                <w:rFonts w:cs="Lucida Sans Unicode"/>
                <w:sz w:val="20"/>
                <w:szCs w:val="20"/>
                <w:lang w:val="en-GB"/>
              </w:rPr>
              <w:t xml:space="preserve"> </w:t>
            </w:r>
            <w:proofErr w:type="spellStart"/>
            <w:r>
              <w:rPr>
                <w:rFonts w:cs="Lucida Sans Unicode"/>
                <w:sz w:val="20"/>
                <w:szCs w:val="20"/>
                <w:lang w:val="en-GB"/>
              </w:rPr>
              <w:t>Aktivitäten</w:t>
            </w:r>
            <w:proofErr w:type="spellEnd"/>
          </w:p>
        </w:tc>
        <w:tc>
          <w:tcPr>
            <w:tcW w:w="1633" w:type="dxa"/>
            <w:tcBorders>
              <w:top w:val="single" w:sz="6" w:space="0" w:color="auto"/>
              <w:left w:val="single" w:sz="12" w:space="0" w:color="auto"/>
              <w:bottom w:val="single" w:sz="6" w:space="0" w:color="auto"/>
              <w:right w:val="single" w:sz="12" w:space="0" w:color="auto"/>
            </w:tcBorders>
            <w:shd w:val="clear" w:color="auto" w:fill="D9D9D9"/>
            <w:noWrap/>
          </w:tcPr>
          <w:p w:rsidR="009D734A" w:rsidRDefault="009D734A" w:rsidP="00B00FE7">
            <w:pPr>
              <w:jc w:val="right"/>
              <w:rPr>
                <w:rFonts w:cs="Lucida Sans Unicode"/>
                <w:sz w:val="20"/>
                <w:szCs w:val="20"/>
                <w:lang w:val="en-GB"/>
              </w:rPr>
            </w:pPr>
            <w:r>
              <w:rPr>
                <w:rFonts w:cs="Lucida Sans Unicode"/>
                <w:sz w:val="20"/>
                <w:szCs w:val="20"/>
                <w:lang w:val="en-GB"/>
              </w:rPr>
              <w:t>2.071</w:t>
            </w:r>
          </w:p>
        </w:tc>
        <w:tc>
          <w:tcPr>
            <w:tcW w:w="1633" w:type="dxa"/>
            <w:tcBorders>
              <w:top w:val="single" w:sz="6" w:space="0" w:color="auto"/>
              <w:left w:val="single" w:sz="12" w:space="0" w:color="auto"/>
              <w:bottom w:val="single" w:sz="6" w:space="0" w:color="auto"/>
              <w:right w:val="single" w:sz="12" w:space="0" w:color="auto"/>
            </w:tcBorders>
            <w:noWrap/>
          </w:tcPr>
          <w:p w:rsidR="009D734A" w:rsidRDefault="009D734A" w:rsidP="00B00FE7">
            <w:pPr>
              <w:jc w:val="right"/>
              <w:rPr>
                <w:rFonts w:cs="Lucida Sans Unicode"/>
                <w:sz w:val="20"/>
                <w:szCs w:val="20"/>
                <w:lang w:val="en-GB"/>
              </w:rPr>
            </w:pPr>
            <w:r>
              <w:rPr>
                <w:rFonts w:cs="Lucida Sans Unicode"/>
                <w:sz w:val="20"/>
                <w:szCs w:val="20"/>
                <w:lang w:val="en-GB"/>
              </w:rPr>
              <w:t>1.864</w:t>
            </w:r>
          </w:p>
        </w:tc>
      </w:tr>
      <w:tr w:rsidR="009D734A" w:rsidTr="00B00FE7">
        <w:trPr>
          <w:trHeight w:val="285"/>
        </w:trPr>
        <w:tc>
          <w:tcPr>
            <w:tcW w:w="4335" w:type="dxa"/>
            <w:tcBorders>
              <w:top w:val="single" w:sz="12" w:space="0" w:color="auto"/>
              <w:left w:val="single" w:sz="12" w:space="0" w:color="auto"/>
              <w:bottom w:val="single" w:sz="12" w:space="0" w:color="auto"/>
              <w:right w:val="single" w:sz="12" w:space="0" w:color="auto"/>
            </w:tcBorders>
            <w:noWrap/>
          </w:tcPr>
          <w:p w:rsidR="009D734A" w:rsidRDefault="009D734A" w:rsidP="00B00FE7">
            <w:pPr>
              <w:jc w:val="both"/>
              <w:rPr>
                <w:rFonts w:cs="Lucida Sans Unicode"/>
                <w:sz w:val="20"/>
                <w:szCs w:val="20"/>
              </w:rPr>
            </w:pPr>
            <w:r>
              <w:rPr>
                <w:rFonts w:cs="Lucida Sans Unicode"/>
                <w:sz w:val="20"/>
                <w:szCs w:val="20"/>
              </w:rPr>
              <w:t>Fortgeführte Aktivitäten</w:t>
            </w:r>
          </w:p>
        </w:tc>
        <w:tc>
          <w:tcPr>
            <w:tcW w:w="1633" w:type="dxa"/>
            <w:tcBorders>
              <w:top w:val="single" w:sz="6" w:space="0" w:color="auto"/>
              <w:left w:val="single" w:sz="12" w:space="0" w:color="auto"/>
              <w:bottom w:val="single" w:sz="12" w:space="0" w:color="auto"/>
              <w:right w:val="single" w:sz="12" w:space="0" w:color="auto"/>
            </w:tcBorders>
            <w:shd w:val="clear" w:color="auto" w:fill="D9D9D9"/>
            <w:noWrap/>
          </w:tcPr>
          <w:p w:rsidR="009D734A" w:rsidRDefault="009D734A" w:rsidP="00B00FE7">
            <w:pPr>
              <w:jc w:val="right"/>
              <w:rPr>
                <w:rFonts w:cs="Lucida Sans Unicode"/>
                <w:sz w:val="20"/>
                <w:szCs w:val="20"/>
              </w:rPr>
            </w:pPr>
            <w:r>
              <w:rPr>
                <w:rFonts w:cs="Lucida Sans Unicode"/>
                <w:sz w:val="20"/>
                <w:szCs w:val="20"/>
              </w:rPr>
              <w:t>33.298</w:t>
            </w:r>
          </w:p>
        </w:tc>
        <w:tc>
          <w:tcPr>
            <w:tcW w:w="1633" w:type="dxa"/>
            <w:tcBorders>
              <w:top w:val="single" w:sz="6" w:space="0" w:color="auto"/>
              <w:left w:val="single" w:sz="12" w:space="0" w:color="auto"/>
              <w:bottom w:val="single" w:sz="12" w:space="0" w:color="auto"/>
              <w:right w:val="single" w:sz="12" w:space="0" w:color="auto"/>
            </w:tcBorders>
            <w:noWrap/>
          </w:tcPr>
          <w:p w:rsidR="009D734A" w:rsidRDefault="009D734A" w:rsidP="00B00FE7">
            <w:pPr>
              <w:jc w:val="right"/>
              <w:rPr>
                <w:rFonts w:cs="Lucida Sans Unicode"/>
                <w:sz w:val="20"/>
                <w:szCs w:val="20"/>
              </w:rPr>
            </w:pPr>
            <w:r>
              <w:rPr>
                <w:rFonts w:cs="Lucida Sans Unicode"/>
                <w:sz w:val="20"/>
                <w:szCs w:val="20"/>
              </w:rPr>
              <w:t>33.556</w:t>
            </w:r>
          </w:p>
        </w:tc>
      </w:tr>
    </w:tbl>
    <w:p w:rsidR="009D734A" w:rsidRDefault="009D734A" w:rsidP="009D734A">
      <w:pPr>
        <w:autoSpaceDE w:val="0"/>
        <w:autoSpaceDN w:val="0"/>
        <w:adjustRightInd w:val="0"/>
        <w:spacing w:line="220" w:lineRule="exact"/>
        <w:rPr>
          <w:rFonts w:cs="Lucida Sans Unicode"/>
          <w:sz w:val="16"/>
          <w:szCs w:val="16"/>
        </w:rPr>
      </w:pPr>
    </w:p>
    <w:p w:rsidR="009D734A" w:rsidRDefault="009D734A" w:rsidP="009D734A">
      <w:pPr>
        <w:autoSpaceDE w:val="0"/>
        <w:autoSpaceDN w:val="0"/>
        <w:adjustRightInd w:val="0"/>
        <w:spacing w:line="220" w:lineRule="exact"/>
        <w:jc w:val="both"/>
        <w:rPr>
          <w:rFonts w:cs="Lucida Sans Unicode"/>
          <w:b/>
          <w:szCs w:val="18"/>
        </w:rPr>
      </w:pPr>
    </w:p>
    <w:p w:rsidR="009D734A" w:rsidRDefault="009D734A" w:rsidP="009D734A">
      <w:pPr>
        <w:autoSpaceDE w:val="0"/>
        <w:autoSpaceDN w:val="0"/>
        <w:adjustRightInd w:val="0"/>
        <w:spacing w:line="220" w:lineRule="exact"/>
        <w:jc w:val="both"/>
        <w:rPr>
          <w:rFonts w:cs="Lucida Sans Unicode"/>
          <w:b/>
          <w:szCs w:val="18"/>
        </w:rPr>
      </w:pPr>
    </w:p>
    <w:p w:rsidR="009D734A" w:rsidRPr="006B08C8" w:rsidRDefault="009D734A" w:rsidP="00FB35AF">
      <w:pPr>
        <w:autoSpaceDE w:val="0"/>
        <w:autoSpaceDN w:val="0"/>
        <w:adjustRightInd w:val="0"/>
        <w:spacing w:line="220" w:lineRule="exact"/>
        <w:ind w:left="0"/>
        <w:rPr>
          <w:rFonts w:cs="Lucida Sans Unicode"/>
          <w:b/>
          <w:bCs/>
          <w:szCs w:val="18"/>
        </w:rPr>
      </w:pPr>
      <w:r w:rsidRPr="006B08C8">
        <w:rPr>
          <w:rFonts w:cs="Lucida Sans Unicode"/>
          <w:b/>
          <w:bCs/>
          <w:szCs w:val="18"/>
        </w:rPr>
        <w:t>Rechtlicher Hinweis:</w:t>
      </w:r>
    </w:p>
    <w:p w:rsidR="00A910EA" w:rsidRPr="00A910EA" w:rsidRDefault="00A910EA" w:rsidP="00A910EA">
      <w:pPr>
        <w:autoSpaceDE w:val="0"/>
        <w:autoSpaceDN w:val="0"/>
        <w:adjustRightInd w:val="0"/>
        <w:spacing w:line="240" w:lineRule="auto"/>
        <w:ind w:left="0" w:right="0"/>
        <w:rPr>
          <w:rFonts w:cs="Lucida Sans Unicode"/>
          <w:position w:val="0"/>
          <w:szCs w:val="18"/>
        </w:rPr>
      </w:pPr>
      <w:r w:rsidRPr="00A910EA">
        <w:rPr>
          <w:rFonts w:cs="Lucida Sans Unicode"/>
          <w:position w:val="0"/>
          <w:szCs w:val="18"/>
        </w:rPr>
        <w:t xml:space="preserve">Diese Mitteilung darf nicht in den Vereinigten Staaten von Amerika, Kanada, Australien oder Japan veröffentlicht, verteilt oder übermittelt werden. Diese Mitteilung stellt weder ein Angebot zum Kauf von Wertpapieren noch die Aufforderung zur Abgabe eines Angebots zum Kauf von Wertpapieren (die „Aktien“) der Evonik Industries AG (die „Gesellschaft”) in den Vereinigten Staaten von Amerika, Deutschland oder sonstigen Staaten dar. Die Aktien der Gesellschaft dürfen in den Vereinigten Staaten von Amerika nur nach vorheriger Registrierung oder ohne vorherige Registrierung nur aufgrund einer Ausnahmeregelung von dem Registrierungserfordernis nach den Vorschriften des U.S. Securities </w:t>
      </w:r>
      <w:proofErr w:type="spellStart"/>
      <w:r w:rsidRPr="00A910EA">
        <w:rPr>
          <w:rFonts w:cs="Lucida Sans Unicode"/>
          <w:position w:val="0"/>
          <w:szCs w:val="18"/>
        </w:rPr>
        <w:t>Act</w:t>
      </w:r>
      <w:proofErr w:type="spellEnd"/>
      <w:r w:rsidRPr="00A910EA">
        <w:rPr>
          <w:rFonts w:cs="Lucida Sans Unicode"/>
          <w:position w:val="0"/>
          <w:szCs w:val="18"/>
        </w:rPr>
        <w:t xml:space="preserve"> von 1933 in der geltenden Fassung (der „Securities </w:t>
      </w:r>
      <w:proofErr w:type="spellStart"/>
      <w:r w:rsidRPr="00A910EA">
        <w:rPr>
          <w:rFonts w:cs="Lucida Sans Unicode"/>
          <w:position w:val="0"/>
          <w:szCs w:val="18"/>
        </w:rPr>
        <w:t>Act</w:t>
      </w:r>
      <w:proofErr w:type="spellEnd"/>
      <w:r w:rsidRPr="00A910EA">
        <w:rPr>
          <w:rFonts w:cs="Lucida Sans Unicode"/>
          <w:position w:val="0"/>
          <w:szCs w:val="18"/>
        </w:rPr>
        <w:t xml:space="preserve">“) verkauft oder zum Kauf angeboten werden. Die Aktien der Gesellschaft sind nicht und werden nicht unter dem Securities </w:t>
      </w:r>
      <w:proofErr w:type="spellStart"/>
      <w:r w:rsidRPr="00A910EA">
        <w:rPr>
          <w:rFonts w:cs="Lucida Sans Unicode"/>
          <w:position w:val="0"/>
          <w:szCs w:val="18"/>
        </w:rPr>
        <w:t>Act</w:t>
      </w:r>
      <w:proofErr w:type="spellEnd"/>
      <w:r w:rsidRPr="00A910EA">
        <w:rPr>
          <w:rFonts w:cs="Lucida Sans Unicode"/>
          <w:position w:val="0"/>
          <w:szCs w:val="18"/>
        </w:rPr>
        <w:t xml:space="preserve"> registriert.</w:t>
      </w:r>
    </w:p>
    <w:p w:rsidR="00A910EA" w:rsidRPr="00A910EA" w:rsidRDefault="00A910EA" w:rsidP="00A910EA">
      <w:pPr>
        <w:autoSpaceDE w:val="0"/>
        <w:autoSpaceDN w:val="0"/>
        <w:adjustRightInd w:val="0"/>
        <w:spacing w:line="240" w:lineRule="auto"/>
        <w:ind w:left="0" w:right="0"/>
        <w:rPr>
          <w:rFonts w:cs="Lucida Sans Unicode"/>
          <w:position w:val="0"/>
          <w:szCs w:val="18"/>
        </w:rPr>
      </w:pPr>
      <w:r w:rsidRPr="00A910EA">
        <w:rPr>
          <w:rFonts w:cs="Lucida Sans Unicode"/>
          <w:position w:val="0"/>
          <w:szCs w:val="18"/>
        </w:rPr>
        <w:t xml:space="preserve"> </w:t>
      </w:r>
    </w:p>
    <w:p w:rsidR="00A910EA" w:rsidRPr="00A910EA" w:rsidRDefault="00A910EA" w:rsidP="00A910EA">
      <w:pPr>
        <w:autoSpaceDE w:val="0"/>
        <w:autoSpaceDN w:val="0"/>
        <w:adjustRightInd w:val="0"/>
        <w:spacing w:line="240" w:lineRule="auto"/>
        <w:ind w:left="0" w:right="0"/>
        <w:rPr>
          <w:rFonts w:cs="Lucida Sans Unicode"/>
          <w:position w:val="0"/>
          <w:szCs w:val="18"/>
        </w:rPr>
      </w:pPr>
      <w:r w:rsidRPr="00A910EA">
        <w:rPr>
          <w:rFonts w:cs="Lucida Sans Unicode"/>
          <w:position w:val="0"/>
          <w:szCs w:val="18"/>
        </w:rPr>
        <w:t>Diese Veröffentlichung stellt weder ein Angebot zum Verkauf noch eine Aufforderung zum Kauf von Wertpapieren dar. Für den Fall eines öffentlichen Angebots, erfolgt das Angebot ausschließlich durch und auf Basis eines zu veröffentlichenden Wertpapierprospekts.  Eine Anlageentscheidung hinsichtlich etwaiger öffentlich angebotener Wertpapiere von Evonik Industries AG sollte für den Fall eines öffentlichen Angebots nur auf der Grundlage des Wertpapierprospekts erfolgen. Der Wertpapierprospekt würde im Fall eines öffentlichen Angebots unverzüglich nach Billigung durch die Bundesanstalt für Finanzdienstleistungsaufsicht (</w:t>
      </w:r>
      <w:proofErr w:type="spellStart"/>
      <w:r w:rsidRPr="00A910EA">
        <w:rPr>
          <w:rFonts w:cs="Lucida Sans Unicode"/>
          <w:position w:val="0"/>
          <w:szCs w:val="18"/>
        </w:rPr>
        <w:t>BaFin</w:t>
      </w:r>
      <w:proofErr w:type="spellEnd"/>
      <w:r w:rsidRPr="00A910EA">
        <w:rPr>
          <w:rFonts w:cs="Lucida Sans Unicode"/>
          <w:position w:val="0"/>
          <w:szCs w:val="18"/>
        </w:rPr>
        <w:t xml:space="preserve">) veröffentlicht werden und bei </w:t>
      </w:r>
      <w:proofErr w:type="spellStart"/>
      <w:r w:rsidRPr="00A910EA">
        <w:rPr>
          <w:rFonts w:cs="Lucida Sans Unicode"/>
          <w:position w:val="0"/>
          <w:szCs w:val="18"/>
        </w:rPr>
        <w:t>Evonik</w:t>
      </w:r>
      <w:proofErr w:type="spellEnd"/>
      <w:r w:rsidRPr="00A910EA">
        <w:rPr>
          <w:rFonts w:cs="Lucida Sans Unicode"/>
          <w:position w:val="0"/>
          <w:szCs w:val="18"/>
        </w:rPr>
        <w:t xml:space="preserve"> Industries AG, </w:t>
      </w:r>
      <w:proofErr w:type="spellStart"/>
      <w:r w:rsidRPr="00A910EA">
        <w:rPr>
          <w:rFonts w:cs="Lucida Sans Unicode"/>
          <w:position w:val="0"/>
          <w:szCs w:val="18"/>
        </w:rPr>
        <w:t>Rellinghauser</w:t>
      </w:r>
      <w:proofErr w:type="spellEnd"/>
      <w:r w:rsidRPr="00A910EA">
        <w:rPr>
          <w:rFonts w:cs="Lucida Sans Unicode"/>
          <w:position w:val="0"/>
          <w:szCs w:val="18"/>
        </w:rPr>
        <w:t xml:space="preserve"> Straße 1-11, 45128 Essen, Deutschland, oder auf der Evonik Industries AG Webseite kostenfrei erhältlich sein.</w:t>
      </w:r>
    </w:p>
    <w:p w:rsidR="00A910EA" w:rsidRDefault="00A910EA" w:rsidP="00A910EA">
      <w:pPr>
        <w:autoSpaceDE w:val="0"/>
        <w:autoSpaceDN w:val="0"/>
        <w:adjustRightInd w:val="0"/>
        <w:spacing w:line="240" w:lineRule="auto"/>
        <w:ind w:left="0" w:right="0"/>
        <w:rPr>
          <w:rFonts w:ascii="Calibri" w:hAnsi="Calibri" w:cs="Calibri"/>
          <w:i/>
          <w:iCs/>
          <w:color w:val="004080"/>
          <w:position w:val="0"/>
          <w:sz w:val="24"/>
        </w:rPr>
      </w:pPr>
      <w:r>
        <w:rPr>
          <w:rFonts w:ascii="Calibri" w:hAnsi="Calibri" w:cs="Calibri"/>
          <w:i/>
          <w:iCs/>
          <w:color w:val="004080"/>
          <w:position w:val="0"/>
          <w:sz w:val="24"/>
        </w:rPr>
        <w:t xml:space="preserve"> </w:t>
      </w:r>
    </w:p>
    <w:p w:rsidR="00FB35AF" w:rsidRDefault="00A910EA" w:rsidP="00A910EA">
      <w:pPr>
        <w:autoSpaceDE w:val="0"/>
        <w:autoSpaceDN w:val="0"/>
        <w:adjustRightInd w:val="0"/>
        <w:spacing w:line="240" w:lineRule="auto"/>
        <w:ind w:left="0" w:right="0"/>
        <w:rPr>
          <w:rFonts w:cs="Lucida Sans Unicode"/>
          <w:position w:val="0"/>
          <w:szCs w:val="18"/>
        </w:rPr>
      </w:pPr>
      <w:r w:rsidRPr="00A910EA">
        <w:rPr>
          <w:rFonts w:cs="Lucida Sans Unicode"/>
          <w:position w:val="0"/>
          <w:szCs w:val="18"/>
        </w:rPr>
        <w:t xml:space="preserve">In dem Vereinigten Königreich wird dieses Dokument nur verteilt und es richtet sich nur an Personen, die (i) professionelle Anleger sind und unter Artikel 19(5) des Financial Services </w:t>
      </w:r>
      <w:proofErr w:type="spellStart"/>
      <w:r w:rsidRPr="00A910EA">
        <w:rPr>
          <w:rFonts w:cs="Lucida Sans Unicode"/>
          <w:position w:val="0"/>
          <w:szCs w:val="18"/>
        </w:rPr>
        <w:t>and</w:t>
      </w:r>
      <w:proofErr w:type="spellEnd"/>
      <w:r w:rsidRPr="00A910EA">
        <w:rPr>
          <w:rFonts w:cs="Lucida Sans Unicode"/>
          <w:position w:val="0"/>
          <w:szCs w:val="18"/>
        </w:rPr>
        <w:t xml:space="preserve"> </w:t>
      </w:r>
      <w:proofErr w:type="spellStart"/>
      <w:r w:rsidRPr="00A910EA">
        <w:rPr>
          <w:rFonts w:cs="Lucida Sans Unicode"/>
          <w:position w:val="0"/>
          <w:szCs w:val="18"/>
        </w:rPr>
        <w:t>Markets</w:t>
      </w:r>
      <w:proofErr w:type="spellEnd"/>
      <w:r w:rsidRPr="00A910EA">
        <w:rPr>
          <w:rFonts w:cs="Lucida Sans Unicode"/>
          <w:position w:val="0"/>
          <w:szCs w:val="18"/>
        </w:rPr>
        <w:t xml:space="preserve"> </w:t>
      </w:r>
      <w:proofErr w:type="spellStart"/>
      <w:r w:rsidRPr="00A910EA">
        <w:rPr>
          <w:rFonts w:cs="Lucida Sans Unicode"/>
          <w:position w:val="0"/>
          <w:szCs w:val="18"/>
        </w:rPr>
        <w:t>Act</w:t>
      </w:r>
      <w:proofErr w:type="spellEnd"/>
      <w:r w:rsidRPr="00A910EA">
        <w:rPr>
          <w:rFonts w:cs="Lucida Sans Unicode"/>
          <w:position w:val="0"/>
          <w:szCs w:val="18"/>
        </w:rPr>
        <w:t xml:space="preserve"> 2000 (Financial Promotion) Order 2005 in der geltenden Fassung (die „Verordnung”) fallen oder (ii) Personen sind, die unter </w:t>
      </w:r>
      <w:r w:rsidRPr="00A910EA">
        <w:rPr>
          <w:rFonts w:cs="Lucida Sans Unicode"/>
          <w:position w:val="0"/>
          <w:szCs w:val="18"/>
        </w:rPr>
        <w:lastRenderedPageBreak/>
        <w:t xml:space="preserve">Artikel 49(2)(a) </w:t>
      </w:r>
      <w:proofErr w:type="spellStart"/>
      <w:r w:rsidRPr="00A910EA">
        <w:rPr>
          <w:rFonts w:cs="Lucida Sans Unicode"/>
          <w:position w:val="0"/>
          <w:szCs w:val="18"/>
        </w:rPr>
        <w:t>to</w:t>
      </w:r>
      <w:proofErr w:type="spellEnd"/>
      <w:r w:rsidRPr="00A910EA">
        <w:rPr>
          <w:rFonts w:cs="Lucida Sans Unicode"/>
          <w:position w:val="0"/>
          <w:szCs w:val="18"/>
        </w:rPr>
        <w:t xml:space="preserve"> (d) der Verordnung fallen („high </w:t>
      </w:r>
      <w:proofErr w:type="spellStart"/>
      <w:r w:rsidRPr="00A910EA">
        <w:rPr>
          <w:rFonts w:cs="Lucida Sans Unicode"/>
          <w:position w:val="0"/>
          <w:szCs w:val="18"/>
        </w:rPr>
        <w:t>net</w:t>
      </w:r>
      <w:proofErr w:type="spellEnd"/>
      <w:r w:rsidRPr="00A910EA">
        <w:rPr>
          <w:rFonts w:cs="Lucida Sans Unicode"/>
          <w:position w:val="0"/>
          <w:szCs w:val="18"/>
        </w:rPr>
        <w:t xml:space="preserve"> </w:t>
      </w:r>
      <w:proofErr w:type="spellStart"/>
      <w:r w:rsidRPr="00A910EA">
        <w:rPr>
          <w:rFonts w:cs="Lucida Sans Unicode"/>
          <w:position w:val="0"/>
          <w:szCs w:val="18"/>
        </w:rPr>
        <w:t>worth</w:t>
      </w:r>
      <w:proofErr w:type="spellEnd"/>
      <w:r w:rsidRPr="00A910EA">
        <w:rPr>
          <w:rFonts w:cs="Lucida Sans Unicode"/>
          <w:position w:val="0"/>
          <w:szCs w:val="18"/>
        </w:rPr>
        <w:t xml:space="preserve"> </w:t>
      </w:r>
      <w:proofErr w:type="spellStart"/>
      <w:r w:rsidRPr="00A910EA">
        <w:rPr>
          <w:rFonts w:cs="Lucida Sans Unicode"/>
          <w:position w:val="0"/>
          <w:szCs w:val="18"/>
        </w:rPr>
        <w:t>companies</w:t>
      </w:r>
      <w:proofErr w:type="spellEnd"/>
      <w:r w:rsidRPr="00A910EA">
        <w:rPr>
          <w:rFonts w:cs="Lucida Sans Unicode"/>
          <w:position w:val="0"/>
          <w:szCs w:val="18"/>
        </w:rPr>
        <w:t>”, „</w:t>
      </w:r>
      <w:proofErr w:type="spellStart"/>
      <w:r w:rsidRPr="00A910EA">
        <w:rPr>
          <w:rFonts w:cs="Lucida Sans Unicode"/>
          <w:position w:val="0"/>
          <w:szCs w:val="18"/>
        </w:rPr>
        <w:t>unincorporated</w:t>
      </w:r>
      <w:proofErr w:type="spellEnd"/>
      <w:r w:rsidRPr="00A910EA">
        <w:rPr>
          <w:rFonts w:cs="Lucida Sans Unicode"/>
          <w:position w:val="0"/>
          <w:szCs w:val="18"/>
        </w:rPr>
        <w:t xml:space="preserve"> </w:t>
      </w:r>
      <w:proofErr w:type="spellStart"/>
      <w:r w:rsidRPr="00A910EA">
        <w:rPr>
          <w:rFonts w:cs="Lucida Sans Unicode"/>
          <w:position w:val="0"/>
          <w:szCs w:val="18"/>
        </w:rPr>
        <w:t>associations</w:t>
      </w:r>
      <w:proofErr w:type="spellEnd"/>
      <w:r w:rsidRPr="00A910EA">
        <w:rPr>
          <w:rFonts w:cs="Lucida Sans Unicode"/>
          <w:position w:val="0"/>
          <w:szCs w:val="18"/>
        </w:rPr>
        <w:t>“ etc.) (wobei diese Personen zusammen als „Relevante Personen“ bezeichnet werden).  Dieses Dokument richtet sich nur an Relevante Personen und auf Basis dieses Dokuments dürfen Personen nicht handeln und nicht vertrauen, die keine Relevante Personen sind.  Jede Investition oder jede Investitionstätigkeit, auf die sich dieses Dokument bezieht, steht nur den Relevanten Personen offen und wird nur mit Relevanten Personen eingegangen.</w:t>
      </w:r>
    </w:p>
    <w:p w:rsidR="00A910EA" w:rsidRPr="00FB35AF" w:rsidRDefault="00A910EA" w:rsidP="00A910EA">
      <w:pPr>
        <w:autoSpaceDE w:val="0"/>
        <w:autoSpaceDN w:val="0"/>
        <w:adjustRightInd w:val="0"/>
        <w:spacing w:line="220" w:lineRule="exact"/>
        <w:ind w:left="0"/>
        <w:rPr>
          <w:rFonts w:cs="Lucida Sans Unicode"/>
          <w:position w:val="0"/>
          <w:szCs w:val="18"/>
        </w:rPr>
      </w:pPr>
    </w:p>
    <w:p w:rsidR="009D734A" w:rsidRDefault="00FB35AF" w:rsidP="00FB35AF">
      <w:pPr>
        <w:autoSpaceDE w:val="0"/>
        <w:autoSpaceDN w:val="0"/>
        <w:adjustRightInd w:val="0"/>
        <w:spacing w:line="220" w:lineRule="exact"/>
        <w:ind w:left="0"/>
        <w:jc w:val="both"/>
        <w:rPr>
          <w:rFonts w:cs="Lucida Sans Unicode"/>
          <w:b/>
          <w:szCs w:val="18"/>
        </w:rPr>
      </w:pPr>
      <w:r w:rsidRPr="00FB35AF">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9D734A" w:rsidRDefault="009D734A" w:rsidP="009D734A"/>
    <w:p w:rsidR="009D734A" w:rsidRDefault="009D734A">
      <w:pPr>
        <w:spacing w:line="240" w:lineRule="auto"/>
        <w:ind w:left="0" w:right="0"/>
        <w:rPr>
          <w:rFonts w:cs="Lucida Sans Unicode"/>
          <w:b/>
          <w:bCs/>
          <w:szCs w:val="18"/>
        </w:rPr>
      </w:pPr>
    </w:p>
    <w:p w:rsidR="009D734A" w:rsidRDefault="009D734A" w:rsidP="009D734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9D734A" w:rsidRPr="009D734A" w:rsidRDefault="009D734A" w:rsidP="009D734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9D734A" w:rsidRPr="009D734A" w:rsidRDefault="009D734A" w:rsidP="009D734A">
      <w:pPr>
        <w:autoSpaceDE w:val="0"/>
        <w:autoSpaceDN w:val="0"/>
        <w:adjustRightInd w:val="0"/>
        <w:spacing w:line="220" w:lineRule="exact"/>
        <w:ind w:left="0" w:right="0"/>
        <w:rPr>
          <w:rFonts w:cs="Lucida Sans Unicode"/>
          <w:position w:val="0"/>
          <w:szCs w:val="18"/>
        </w:rPr>
      </w:pPr>
    </w:p>
    <w:p w:rsidR="009D734A" w:rsidRPr="009D734A" w:rsidRDefault="009D734A" w:rsidP="009D734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Ländern der Welt aktiv. Über 33.000 Mitarbeiter erwirtschafteten im Geschäftsjahr 2012 einen Umsatz von rund 13,6 Milliarden € und ein operatives Ergebnis (bereinigtes EBITDA) von rund 2,6 Milliarden €.</w:t>
      </w:r>
    </w:p>
    <w:p w:rsidR="009D734A" w:rsidRDefault="009D734A" w:rsidP="009D734A">
      <w:pPr>
        <w:autoSpaceDE w:val="0"/>
        <w:autoSpaceDN w:val="0"/>
        <w:adjustRightInd w:val="0"/>
        <w:spacing w:line="220" w:lineRule="exact"/>
        <w:rPr>
          <w:rFonts w:cs="Lucida Sans Unicode"/>
          <w:szCs w:val="18"/>
        </w:rPr>
      </w:pPr>
    </w:p>
    <w:sectPr w:rsidR="009D734A" w:rsidSect="00407B10">
      <w:headerReference w:type="even" r:id="rId13"/>
      <w:type w:val="continuous"/>
      <w:pgSz w:w="11906" w:h="16838" w:code="9"/>
      <w:pgMar w:top="324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7FD" w:rsidRDefault="00A827FD">
      <w:r>
        <w:separator/>
      </w:r>
    </w:p>
    <w:p w:rsidR="00A827FD" w:rsidRDefault="00A827FD"/>
  </w:endnote>
  <w:endnote w:type="continuationSeparator" w:id="0">
    <w:p w:rsidR="00A827FD" w:rsidRDefault="00A827FD">
      <w:r>
        <w:continuationSeparator/>
      </w:r>
    </w:p>
    <w:p w:rsidR="00A827FD" w:rsidRDefault="00A82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altName w:val="Consolas"/>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B6136F">
      <w:trPr>
        <w:trHeight w:val="5348"/>
      </w:trPr>
      <w:tc>
        <w:tcPr>
          <w:tcW w:w="2562" w:type="dxa"/>
          <w:tcBorders>
            <w:top w:val="nil"/>
          </w:tcBorders>
          <w:vAlign w:val="bottom"/>
        </w:tcPr>
        <w:p w:rsidR="00B6136F" w:rsidRDefault="00B6136F">
          <w:pPr>
            <w:pStyle w:val="Fuzeile"/>
            <w:spacing w:line="180" w:lineRule="exact"/>
            <w:ind w:left="0" w:right="0"/>
            <w:rPr>
              <w:sz w:val="13"/>
              <w:szCs w:val="13"/>
            </w:rPr>
          </w:pPr>
        </w:p>
      </w:tc>
    </w:tr>
  </w:tbl>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B4434">
      <w:rPr>
        <w:rStyle w:val="Seitenzahl"/>
        <w:noProof/>
      </w:rPr>
      <w:t>11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B4434">
      <w:rPr>
        <w:rStyle w:val="Seitenzahl"/>
        <w:noProof/>
      </w:rPr>
      <w:t>11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B443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B4434">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7FD" w:rsidRDefault="00A827FD">
      <w:r>
        <w:separator/>
      </w:r>
    </w:p>
    <w:p w:rsidR="00A827FD" w:rsidRDefault="00A827FD"/>
  </w:footnote>
  <w:footnote w:type="continuationSeparator" w:id="0">
    <w:p w:rsidR="00A827FD" w:rsidRDefault="00A827FD">
      <w:r>
        <w:continuationSeparator/>
      </w:r>
    </w:p>
    <w:p w:rsidR="00A827FD" w:rsidRDefault="00A827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B6136F">
      <w:trPr>
        <w:trHeight w:hRule="exact" w:val="227"/>
      </w:trPr>
      <w:tc>
        <w:tcPr>
          <w:tcW w:w="2552" w:type="dxa"/>
          <w:shd w:val="clear" w:color="auto" w:fill="auto"/>
        </w:tcPr>
        <w:p w:rsidR="00B6136F" w:rsidRDefault="00B6136F">
          <w:pPr>
            <w:pStyle w:val="E-Datum"/>
            <w:framePr w:wrap="auto" w:vAnchor="margin" w:hAnchor="text" w:xAlign="left" w:yAlign="inline"/>
            <w:suppressOverlap w:val="0"/>
          </w:pPr>
        </w:p>
      </w:tc>
    </w:tr>
    <w:tr w:rsidR="00B6136F">
      <w:trPr>
        <w:trHeight w:hRule="exact" w:val="397"/>
      </w:trPr>
      <w:tc>
        <w:tcPr>
          <w:tcW w:w="2552" w:type="dxa"/>
          <w:shd w:val="clear" w:color="auto" w:fill="auto"/>
        </w:tcPr>
        <w:p w:rsidR="00B6136F" w:rsidRDefault="00B6136F">
          <w:pPr>
            <w:spacing w:line="180" w:lineRule="exact"/>
            <w:ind w:left="0"/>
            <w:rPr>
              <w:sz w:val="13"/>
              <w:szCs w:val="13"/>
            </w:rPr>
          </w:pPr>
        </w:p>
      </w:tc>
    </w:tr>
    <w:tr w:rsidR="00B6136F">
      <w:trPr>
        <w:trHeight w:hRule="exact" w:val="1304"/>
      </w:trPr>
      <w:tc>
        <w:tcPr>
          <w:tcW w:w="2552" w:type="dxa"/>
          <w:shd w:val="clear" w:color="auto" w:fill="auto"/>
        </w:tcPr>
        <w:p w:rsidR="00B6136F" w:rsidRDefault="00B6136F">
          <w:pPr>
            <w:spacing w:line="180" w:lineRule="exact"/>
            <w:ind w:left="0"/>
            <w:rPr>
              <w:sz w:val="13"/>
              <w:szCs w:val="13"/>
            </w:rPr>
          </w:pPr>
        </w:p>
      </w:tc>
    </w:tr>
    <w:tr w:rsidR="00B6136F">
      <w:trPr>
        <w:trHeight w:val="1374"/>
      </w:trPr>
      <w:tc>
        <w:tcPr>
          <w:tcW w:w="2552" w:type="dxa"/>
          <w:shd w:val="clear" w:color="auto" w:fill="auto"/>
        </w:tcPr>
        <w:p w:rsidR="00B6136F" w:rsidRDefault="00B6136F">
          <w:pPr>
            <w:spacing w:line="180" w:lineRule="exact"/>
            <w:ind w:left="0"/>
            <w:rPr>
              <w:sz w:val="13"/>
              <w:szCs w:val="13"/>
            </w:rPr>
          </w:pPr>
        </w:p>
      </w:tc>
    </w:tr>
  </w:tbl>
  <w:p w:rsidR="006B08C8" w:rsidRDefault="006B08C8">
    <w:pPr>
      <w:pStyle w:val="Kopfzeile"/>
      <w:ind w:left="0"/>
    </w:pPr>
  </w:p>
  <w:p w:rsidR="006B08C8" w:rsidRDefault="006B08C8">
    <w:pPr>
      <w:pStyle w:val="Kopfzeile"/>
      <w:ind w:left="0"/>
    </w:pPr>
  </w:p>
  <w:p w:rsidR="006B08C8" w:rsidRDefault="006B08C8">
    <w:pPr>
      <w:pStyle w:val="Kopfzeile"/>
      <w:ind w:left="0"/>
    </w:pPr>
  </w:p>
  <w:p w:rsidR="006B08C8" w:rsidRDefault="006B08C8">
    <w:pPr>
      <w:pStyle w:val="Kopfzeile"/>
      <w:ind w:left="0"/>
    </w:pPr>
  </w:p>
  <w:p w:rsidR="00B6136F" w:rsidRPr="00067DAF" w:rsidRDefault="00B14022" w:rsidP="00067DAF">
    <w:pPr>
      <w:pStyle w:val="Kopfzeile"/>
      <w:ind w:left="0" w:right="-3"/>
    </w:pPr>
    <w:r>
      <w:rPr>
        <w:noProof/>
        <w:lang w:val="en-US" w:eastAsia="en-US"/>
      </w:rPr>
      <w:drawing>
        <wp:anchor distT="0" distB="0" distL="114300" distR="114300" simplePos="0" relativeHeight="251659264" behindDoc="0" locked="0" layoutInCell="1" allowOverlap="1" wp14:anchorId="61972E8F" wp14:editId="7FE21B4E">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g">
          <w:drawing>
            <wp:anchor distT="0" distB="0" distL="114300" distR="114300" simplePos="0" relativeHeight="251657216" behindDoc="1" locked="0" layoutInCell="1" allowOverlap="1" wp14:anchorId="203E8D1A" wp14:editId="1AB7EB66">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r w:rsidR="00067DAF" w:rsidRPr="00067DAF">
      <w:rPr>
        <w:b/>
        <w:u w:val="single"/>
      </w:rPr>
      <w:t xml:space="preserve">Nicht zur Verteilung, Veröffentlichung oder Weitergabe in bzw. </w:t>
    </w:r>
    <w:r w:rsidR="00067DAF">
      <w:rPr>
        <w:b/>
        <w:u w:val="single"/>
      </w:rPr>
      <w:t>innerhalb der Vereinigten Staaten von Amerika, Australien, Kanada oder Japan bestimmt.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63" w:rsidRDefault="009D5463">
    <w:pPr>
      <w:pStyle w:val="Kopfzeile"/>
      <w:ind w:left="0"/>
    </w:pPr>
  </w:p>
  <w:p w:rsidR="009D5463" w:rsidRDefault="009D5463">
    <w:pPr>
      <w:pStyle w:val="Kopfzeile"/>
      <w:ind w:left="0"/>
    </w:pPr>
  </w:p>
  <w:p w:rsidR="009D5463" w:rsidRDefault="009D5463">
    <w:pPr>
      <w:pStyle w:val="Kopfzeile"/>
      <w:ind w:left="0"/>
    </w:pPr>
  </w:p>
  <w:p w:rsidR="009D5463" w:rsidRDefault="000B1542">
    <w:pPr>
      <w:pStyle w:val="Kopfzeile"/>
      <w:ind w:left="0"/>
    </w:pPr>
    <w:r>
      <w:rPr>
        <w:b/>
        <w:u w:val="single"/>
      </w:rPr>
      <w:br/>
    </w:r>
    <w:r>
      <w:rPr>
        <w:b/>
        <w:u w:val="single"/>
      </w:rPr>
      <w:br/>
    </w:r>
    <w:r w:rsidRPr="00067DAF">
      <w:rPr>
        <w:b/>
        <w:u w:val="single"/>
      </w:rPr>
      <w:t xml:space="preserve">Nicht zur Verteilung, Veröffentlichung oder Weitergabe in bzw. </w:t>
    </w:r>
    <w:r>
      <w:rPr>
        <w:b/>
        <w:u w:val="single"/>
      </w:rPr>
      <w:t>innerhalb der Vereinigten Staaten von Amerika, Australien, Kanada oder Japan bestimmt</w:t>
    </w:r>
  </w:p>
  <w:p w:rsidR="009D5463" w:rsidRDefault="009D5463">
    <w:pPr>
      <w:pStyle w:val="Kopfzeile"/>
      <w:ind w:left="0"/>
    </w:pPr>
  </w:p>
  <w:p w:rsidR="00367767" w:rsidRDefault="00367767">
    <w:pPr>
      <w:pStyle w:val="Kopfzeile"/>
      <w:ind w:left="0"/>
      <w:rPr>
        <w:u w:val="single"/>
      </w:rPr>
    </w:pPr>
  </w:p>
  <w:p w:rsidR="00B6136F" w:rsidRPr="009D5463" w:rsidRDefault="00B14022">
    <w:pPr>
      <w:pStyle w:val="Kopfzeile"/>
      <w:ind w:left="0"/>
      <w:rPr>
        <w:u w:val="single"/>
      </w:rPr>
    </w:pPr>
    <w:r w:rsidRPr="009D5463">
      <w:rPr>
        <w:noProof/>
        <w:u w:val="single"/>
        <w:lang w:val="en-US" w:eastAsia="en-US"/>
      </w:rPr>
      <w:drawing>
        <wp:anchor distT="0" distB="0" distL="114300" distR="114300" simplePos="0" relativeHeight="251658240" behindDoc="0" locked="0" layoutInCell="1" allowOverlap="1" wp14:anchorId="1CCE7070" wp14:editId="36BC3DFF">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5463">
      <w:rPr>
        <w:noProof/>
        <w:u w:val="single"/>
        <w:lang w:val="en-US" w:eastAsia="en-US"/>
      </w:rPr>
      <mc:AlternateContent>
        <mc:Choice Requires="wpg">
          <w:drawing>
            <wp:anchor distT="0" distB="0" distL="114300" distR="114300" simplePos="0" relativeHeight="251656192" behindDoc="1" locked="0" layoutInCell="1" allowOverlap="1" wp14:anchorId="6EA33A26" wp14:editId="06FAADD5">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36F" w:rsidRDefault="00B613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63"/>
    <w:rsid w:val="000259C1"/>
    <w:rsid w:val="00067DAF"/>
    <w:rsid w:val="000B1542"/>
    <w:rsid w:val="00141D6E"/>
    <w:rsid w:val="00357B72"/>
    <w:rsid w:val="00367767"/>
    <w:rsid w:val="00392875"/>
    <w:rsid w:val="00395AF0"/>
    <w:rsid w:val="003E1B59"/>
    <w:rsid w:val="00407B10"/>
    <w:rsid w:val="006769E9"/>
    <w:rsid w:val="006B08C8"/>
    <w:rsid w:val="006E6BA0"/>
    <w:rsid w:val="00724DCF"/>
    <w:rsid w:val="007B4434"/>
    <w:rsid w:val="007D60EF"/>
    <w:rsid w:val="008136C4"/>
    <w:rsid w:val="00860375"/>
    <w:rsid w:val="008C15B4"/>
    <w:rsid w:val="0093475A"/>
    <w:rsid w:val="00946403"/>
    <w:rsid w:val="009D5463"/>
    <w:rsid w:val="009D734A"/>
    <w:rsid w:val="009E687A"/>
    <w:rsid w:val="00A200B5"/>
    <w:rsid w:val="00A64D60"/>
    <w:rsid w:val="00A72C03"/>
    <w:rsid w:val="00A827FD"/>
    <w:rsid w:val="00A910EA"/>
    <w:rsid w:val="00AD7F34"/>
    <w:rsid w:val="00AF044A"/>
    <w:rsid w:val="00B14022"/>
    <w:rsid w:val="00B36A42"/>
    <w:rsid w:val="00B6136F"/>
    <w:rsid w:val="00B6701A"/>
    <w:rsid w:val="00B879F7"/>
    <w:rsid w:val="00CA1DE9"/>
    <w:rsid w:val="00D65FC7"/>
    <w:rsid w:val="00DC0BC4"/>
    <w:rsid w:val="00F00F5D"/>
    <w:rsid w:val="00F60883"/>
    <w:rsid w:val="00FB35AF"/>
    <w:rsid w:val="00FE07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KopfzeileZchn">
    <w:name w:val="Kopfzeile Zchn"/>
    <w:basedOn w:val="Absatz-Standardschriftart"/>
    <w:link w:val="Kopfzeile"/>
    <w:uiPriority w:val="99"/>
    <w:rsid w:val="009D5463"/>
    <w:rPr>
      <w:rFonts w:ascii="Lucida Sans Unicode" w:hAnsi="Lucida Sans Unicode"/>
      <w:position w:val="-2"/>
      <w:sz w:val="18"/>
      <w:szCs w:val="24"/>
    </w:rPr>
  </w:style>
  <w:style w:type="paragraph" w:customStyle="1" w:styleId="AONormal">
    <w:name w:val="AONormal"/>
    <w:uiPriority w:val="99"/>
    <w:rsid w:val="006B08C8"/>
    <w:pPr>
      <w:spacing w:line="260" w:lineRule="atLeast"/>
    </w:pPr>
    <w:rPr>
      <w:rFonts w:eastAsia="SimSu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84F27-4264-4E7F-98DB-B4D55853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5C7B2AE6</Template>
  <TotalTime>0</TotalTime>
  <Pages>11</Pages>
  <Words>3234</Words>
  <Characters>18436</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Wirtschaftliche Eckdaten:</dc:title>
  <dc:creator>IDM_C_Evonik Industries AG</dc:creator>
  <cp:lastModifiedBy>Bach, Katrin</cp:lastModifiedBy>
  <cp:revision>2</cp:revision>
  <cp:lastPrinted>2013-03-11T19:24:00Z</cp:lastPrinted>
  <dcterms:created xsi:type="dcterms:W3CDTF">2013-04-22T11:58:00Z</dcterms:created>
  <dcterms:modified xsi:type="dcterms:W3CDTF">2013-04-22T11:58:00Z</dcterms:modified>
</cp:coreProperties>
</file>