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8224A5" w:rsidRDefault="00F00F5D">
      <w:pPr>
        <w:spacing w:line="300" w:lineRule="exact"/>
        <w:ind w:left="0"/>
        <w:rPr>
          <w:b/>
          <w:szCs w:val="18"/>
          <w:u w:val="single"/>
        </w:rPr>
      </w:pPr>
      <w:bookmarkStart w:id="0" w:name="_GoBack"/>
      <w:bookmarkEnd w:id="0"/>
      <w:r w:rsidRPr="008224A5">
        <w:rPr>
          <w:b/>
          <w:szCs w:val="18"/>
          <w:u w:val="single"/>
        </w:rPr>
        <w:t xml:space="preserve">Sendesperrfrist: </w:t>
      </w:r>
      <w:r w:rsidR="00A02C86" w:rsidRPr="008224A5">
        <w:rPr>
          <w:b/>
          <w:szCs w:val="18"/>
          <w:u w:val="single"/>
        </w:rPr>
        <w:t>8</w:t>
      </w:r>
      <w:r w:rsidRPr="008224A5">
        <w:rPr>
          <w:b/>
          <w:szCs w:val="18"/>
          <w:u w:val="single"/>
        </w:rPr>
        <w:t>. M</w:t>
      </w:r>
      <w:r w:rsidR="00A02C86" w:rsidRPr="008224A5">
        <w:rPr>
          <w:b/>
          <w:szCs w:val="18"/>
          <w:u w:val="single"/>
        </w:rPr>
        <w:t>ai</w:t>
      </w:r>
      <w:r w:rsidRPr="008224A5">
        <w:rPr>
          <w:b/>
          <w:szCs w:val="18"/>
          <w:u w:val="single"/>
        </w:rPr>
        <w:t xml:space="preserve"> 2013, </w:t>
      </w:r>
      <w:r w:rsidR="0095118D" w:rsidRPr="008224A5">
        <w:rPr>
          <w:b/>
          <w:szCs w:val="18"/>
          <w:u w:val="single"/>
        </w:rPr>
        <w:t>7:15</w:t>
      </w:r>
      <w:r w:rsidRPr="008224A5">
        <w:rPr>
          <w:b/>
          <w:szCs w:val="18"/>
          <w:u w:val="single"/>
        </w:rPr>
        <w:t xml:space="preserve"> Uhr</w:t>
      </w:r>
    </w:p>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A02C86">
            <w:pPr>
              <w:pStyle w:val="E-Datum"/>
              <w:framePr w:wrap="auto" w:vAnchor="margin" w:hAnchor="text" w:xAlign="left" w:yAlign="inline"/>
              <w:suppressOverlap w:val="0"/>
            </w:pPr>
            <w:r>
              <w:t>08. Mai</w:t>
            </w:r>
            <w:r w:rsidR="009D5463">
              <w:t xml:space="preserve"> 2013</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br/>
              <w:t>Alexandra Boy</w:t>
            </w:r>
          </w:p>
          <w:p w:rsidR="00617B2D" w:rsidRDefault="00617B2D" w:rsidP="00617B2D">
            <w:pPr>
              <w:pStyle w:val="M8"/>
              <w:framePr w:wrap="auto" w:vAnchor="margin" w:hAnchor="text" w:xAlign="left" w:yAlign="inline"/>
              <w:suppressOverlap w:val="0"/>
            </w:pPr>
            <w:proofErr w:type="spellStart"/>
            <w:r>
              <w:t>Stellvertr</w:t>
            </w:r>
            <w:proofErr w:type="spellEnd"/>
            <w:r>
              <w:t xml:space="preserve">.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26C39">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26C39">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26C39">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26C39">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26C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26C39">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26C39">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26C39">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26C39">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26C39">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26C39">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26C39">
              <w:rPr>
                <w:noProof/>
              </w:rPr>
              <w:t>Vorsitzender</w:t>
            </w:r>
            <w:r>
              <w:fldChar w:fldCharType="end"/>
            </w:r>
          </w:p>
          <w:p w:rsidR="00B6136F"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D26C39">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D26C39">
              <w:rPr>
                <w:noProof/>
              </w:rPr>
              <w:t>Dr. Thomas Haeberle</w:t>
            </w:r>
            <w:r>
              <w:fldChar w:fldCharType="end"/>
            </w:r>
            <w:r>
              <w:t xml:space="preserve">, </w:t>
            </w:r>
            <w:r w:rsidR="000B1542">
              <w:br/>
            </w:r>
            <w:r>
              <w:t>Thomas Wessel,</w:t>
            </w:r>
            <w:r w:rsidR="000B1542">
              <w:t xml:space="preserve"> </w:t>
            </w:r>
            <w:r>
              <w:fldChar w:fldCharType="begin">
                <w:ffData>
                  <w:name w:val=""/>
                  <w:enabled/>
                  <w:calcOnExit w:val="0"/>
                  <w:textInput>
                    <w:default w:val="Patrik Wohlhauser"/>
                  </w:textInput>
                </w:ffData>
              </w:fldChar>
            </w:r>
            <w:r>
              <w:instrText xml:space="preserve"> FORMTEXT </w:instrText>
            </w:r>
            <w:r>
              <w:fldChar w:fldCharType="separate"/>
            </w:r>
            <w:r w:rsidR="00D26C39">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D26C39">
              <w:rPr>
                <w:noProof/>
              </w:rPr>
              <w:t>Dr. Dahai Yu</w:t>
            </w:r>
            <w:r>
              <w:fldChar w:fldCharType="end"/>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26C3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6C39">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26C39">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26C3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26C39">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26C39">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26C39">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407B10" w:rsidRDefault="00395AF0" w:rsidP="009D5463">
      <w:pPr>
        <w:ind w:left="0"/>
        <w:rPr>
          <w:u w:val="single"/>
        </w:rPr>
      </w:pPr>
      <w:r>
        <w:rPr>
          <w:noProof/>
        </w:rPr>
        <mc:AlternateContent>
          <mc:Choice Requires="wps">
            <w:drawing>
              <wp:anchor distT="0" distB="0" distL="114300" distR="114300" simplePos="0" relativeHeight="251659264" behindDoc="0" locked="0" layoutInCell="1" allowOverlap="1" wp14:anchorId="77EE5D9D" wp14:editId="0E8A3AD0">
                <wp:simplePos x="0" y="0"/>
                <wp:positionH relativeFrom="column">
                  <wp:posOffset>738</wp:posOffset>
                </wp:positionH>
                <wp:positionV relativeFrom="paragraph">
                  <wp:posOffset>47144</wp:posOffset>
                </wp:positionV>
                <wp:extent cx="4291913" cy="1009650"/>
                <wp:effectExtent l="0" t="0" r="1397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13" cy="1009650"/>
                        </a:xfrm>
                        <a:prstGeom prst="rect">
                          <a:avLst/>
                        </a:prstGeom>
                        <a:solidFill>
                          <a:srgbClr val="FFFFFF"/>
                        </a:solidFill>
                        <a:ln w="6350">
                          <a:solidFill>
                            <a:srgbClr val="000000"/>
                          </a:solidFill>
                          <a:miter lim="800000"/>
                          <a:headEnd/>
                          <a:tailEnd/>
                        </a:ln>
                      </wps:spPr>
                      <wps:txbx>
                        <w:txbxContent>
                          <w:p w:rsidR="00395AF0" w:rsidRPr="00067DAF" w:rsidRDefault="00395AF0" w:rsidP="00395AF0">
                            <w:pPr>
                              <w:ind w:left="0"/>
                              <w:rPr>
                                <w:rFonts w:ascii="Arial" w:hAnsi="Arial" w:cs="Arial"/>
                                <w:b/>
                                <w:caps/>
                                <w:sz w:val="16"/>
                                <w:szCs w:val="16"/>
                              </w:rPr>
                            </w:pPr>
                            <w:r w:rsidRPr="00067DAF">
                              <w:rPr>
                                <w:rFonts w:ascii="Arial" w:hAnsi="Arial" w:cs="Arial"/>
                                <w:caps/>
                                <w:sz w:val="16"/>
                                <w:szCs w:val="16"/>
                              </w:rPr>
                              <w:t xml:space="preserve">Nicht zur Verteilung, Veröffentlichung oder Weitergabe in </w:t>
                            </w:r>
                            <w:r>
                              <w:rPr>
                                <w:rFonts w:ascii="Arial" w:hAnsi="Arial" w:cs="Arial"/>
                                <w:caps/>
                                <w:sz w:val="16"/>
                                <w:szCs w:val="16"/>
                              </w:rPr>
                              <w:t xml:space="preserve">DIE </w:t>
                            </w:r>
                            <w:r w:rsidRPr="00067DAF">
                              <w:rPr>
                                <w:rFonts w:ascii="Arial" w:hAnsi="Arial" w:cs="Arial"/>
                                <w:caps/>
                                <w:sz w:val="16"/>
                                <w:szCs w:val="16"/>
                              </w:rPr>
                              <w:t>bzw. innerhalb de</w:t>
                            </w:r>
                            <w:r>
                              <w:rPr>
                                <w:rFonts w:ascii="Arial" w:hAnsi="Arial" w:cs="Arial"/>
                                <w:caps/>
                                <w:sz w:val="16"/>
                                <w:szCs w:val="16"/>
                              </w:rPr>
                              <w:t xml:space="preserve">r Vereinigten Staaten von AmeriKa, </w:t>
                            </w:r>
                            <w:r w:rsidRPr="00067DAF">
                              <w:rPr>
                                <w:rFonts w:ascii="Arial" w:hAnsi="Arial" w:cs="Arial"/>
                                <w:caps/>
                                <w:sz w:val="16"/>
                                <w:szCs w:val="16"/>
                              </w:rPr>
                              <w:t xml:space="preserve"> Australien, Kanada oder Japan oder jedes bzw. jedem andere</w:t>
                            </w:r>
                            <w:r w:rsidR="00DC0BC4">
                              <w:rPr>
                                <w:rFonts w:ascii="Arial" w:hAnsi="Arial" w:cs="Arial"/>
                                <w:caps/>
                                <w:sz w:val="16"/>
                                <w:szCs w:val="16"/>
                              </w:rPr>
                              <w:t>/</w:t>
                            </w:r>
                            <w:r w:rsidRPr="00067DAF">
                              <w:rPr>
                                <w:rFonts w:ascii="Arial" w:hAnsi="Arial" w:cs="Arial"/>
                                <w:caps/>
                                <w:sz w:val="16"/>
                                <w:szCs w:val="16"/>
                              </w:rPr>
                              <w:t xml:space="preserve">n Land bestimmt, in dem die Verteilung oder Veröffentlichung unzulässig ist. Es gelten zudem </w:t>
                            </w:r>
                            <w:r>
                              <w:rPr>
                                <w:rFonts w:ascii="Arial" w:hAnsi="Arial" w:cs="Arial"/>
                                <w:caps/>
                                <w:sz w:val="16"/>
                                <w:szCs w:val="16"/>
                              </w:rPr>
                              <w:t>weitere</w:t>
                            </w:r>
                            <w:r w:rsidRPr="00067DAF">
                              <w:rPr>
                                <w:rFonts w:ascii="Arial" w:hAnsi="Arial" w:cs="Arial"/>
                                <w:caps/>
                                <w:sz w:val="16"/>
                                <w:szCs w:val="16"/>
                              </w:rPr>
                              <w:t xml:space="preserve"> Beschränkungen. </w:t>
                            </w:r>
                            <w:r w:rsidRPr="00067DAF">
                              <w:rPr>
                                <w:rFonts w:ascii="Arial" w:hAnsi="Arial" w:cs="Arial"/>
                                <w:b/>
                                <w:caps/>
                                <w:sz w:val="16"/>
                                <w:szCs w:val="16"/>
                              </w:rPr>
                              <w:t>Auf den wichtigen Hinweis am Ende dieser Veröffentlichung wird verwiesen.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5pt;margin-top:3.7pt;width:337.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" strokeweight=".5pt">
                <v:textbox>
                  <w:txbxContent>
                    <w:p w:rsidR="00395AF0" w:rsidRPr="00067DAF" w:rsidRDefault="00395AF0" w:rsidP="00395AF0">
                      <w:pPr>
                        <w:ind w:left="0"/>
                        <w:rPr>
                          <w:rFonts w:ascii="Arial" w:hAnsi="Arial" w:cs="Arial"/>
                          <w:b/>
                          <w:caps/>
                          <w:sz w:val="16"/>
                          <w:szCs w:val="16"/>
                        </w:rPr>
                      </w:pPr>
                      <w:r w:rsidRPr="00067DAF">
                        <w:rPr>
                          <w:rFonts w:ascii="Arial" w:hAnsi="Arial" w:cs="Arial"/>
                          <w:caps/>
                          <w:sz w:val="16"/>
                          <w:szCs w:val="16"/>
                        </w:rPr>
                        <w:t xml:space="preserve">Nicht zur Verteilung, Veröffentlichung oder Weitergabe in </w:t>
                      </w:r>
                      <w:r>
                        <w:rPr>
                          <w:rFonts w:ascii="Arial" w:hAnsi="Arial" w:cs="Arial"/>
                          <w:caps/>
                          <w:sz w:val="16"/>
                          <w:szCs w:val="16"/>
                        </w:rPr>
                        <w:t xml:space="preserve">DIE </w:t>
                      </w:r>
                      <w:r w:rsidRPr="00067DAF">
                        <w:rPr>
                          <w:rFonts w:ascii="Arial" w:hAnsi="Arial" w:cs="Arial"/>
                          <w:caps/>
                          <w:sz w:val="16"/>
                          <w:szCs w:val="16"/>
                        </w:rPr>
                        <w:t>bzw. innerhalb de</w:t>
                      </w:r>
                      <w:r>
                        <w:rPr>
                          <w:rFonts w:ascii="Arial" w:hAnsi="Arial" w:cs="Arial"/>
                          <w:caps/>
                          <w:sz w:val="16"/>
                          <w:szCs w:val="16"/>
                        </w:rPr>
                        <w:t xml:space="preserve">r Vereinigten Staaten von AmeriKa, </w:t>
                      </w:r>
                      <w:r w:rsidRPr="00067DAF">
                        <w:rPr>
                          <w:rFonts w:ascii="Arial" w:hAnsi="Arial" w:cs="Arial"/>
                          <w:caps/>
                          <w:sz w:val="16"/>
                          <w:szCs w:val="16"/>
                        </w:rPr>
                        <w:t xml:space="preserve"> Australien, Kanada oder Japan oder jedes bzw. jedem andere</w:t>
                      </w:r>
                      <w:r w:rsidR="00DC0BC4">
                        <w:rPr>
                          <w:rFonts w:ascii="Arial" w:hAnsi="Arial" w:cs="Arial"/>
                          <w:caps/>
                          <w:sz w:val="16"/>
                          <w:szCs w:val="16"/>
                        </w:rPr>
                        <w:t>/</w:t>
                      </w:r>
                      <w:r w:rsidRPr="00067DAF">
                        <w:rPr>
                          <w:rFonts w:ascii="Arial" w:hAnsi="Arial" w:cs="Arial"/>
                          <w:caps/>
                          <w:sz w:val="16"/>
                          <w:szCs w:val="16"/>
                        </w:rPr>
                        <w:t xml:space="preserve">n Land bestimmt, in dem die Verteilung oder Veröffentlichung unzulässig ist. Es gelten zudem </w:t>
                      </w:r>
                      <w:r>
                        <w:rPr>
                          <w:rFonts w:ascii="Arial" w:hAnsi="Arial" w:cs="Arial"/>
                          <w:caps/>
                          <w:sz w:val="16"/>
                          <w:szCs w:val="16"/>
                        </w:rPr>
                        <w:t>weitere</w:t>
                      </w:r>
                      <w:r w:rsidRPr="00067DAF">
                        <w:rPr>
                          <w:rFonts w:ascii="Arial" w:hAnsi="Arial" w:cs="Arial"/>
                          <w:caps/>
                          <w:sz w:val="16"/>
                          <w:szCs w:val="16"/>
                        </w:rPr>
                        <w:t xml:space="preserve"> Beschränkungen. </w:t>
                      </w:r>
                      <w:r w:rsidRPr="00067DAF">
                        <w:rPr>
                          <w:rFonts w:ascii="Arial" w:hAnsi="Arial" w:cs="Arial"/>
                          <w:b/>
                          <w:caps/>
                          <w:sz w:val="16"/>
                          <w:szCs w:val="16"/>
                        </w:rPr>
                        <w:t>Auf den wichtigen Hinweis am Ende dieser Veröffentlichung wird verwiesen.</w:t>
                      </w:r>
                    </w:p>
                  </w:txbxContent>
                </v:textbox>
              </v:shape>
            </w:pict>
          </mc:Fallback>
        </mc:AlternateContent>
      </w: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9D734A" w:rsidRDefault="009D734A" w:rsidP="009D734A">
      <w:pPr>
        <w:rPr>
          <w:u w:val="single"/>
        </w:rPr>
      </w:pPr>
      <w:r>
        <w:rPr>
          <w:u w:val="single"/>
        </w:rPr>
        <w:t>Wirtschaftliche Eckdaten:</w:t>
      </w:r>
    </w:p>
    <w:p w:rsidR="009D734A" w:rsidRDefault="009D734A" w:rsidP="009D734A">
      <w:pPr>
        <w:rPr>
          <w:u w:val="single"/>
        </w:rPr>
      </w:pPr>
      <w:r>
        <w:rPr>
          <w:u w:val="single"/>
        </w:rPr>
        <w:t xml:space="preserve">1. Januar – 31. </w:t>
      </w:r>
      <w:r w:rsidR="00A02C86">
        <w:rPr>
          <w:u w:val="single"/>
        </w:rPr>
        <w:t>März 2013</w:t>
      </w:r>
      <w:r>
        <w:rPr>
          <w:u w:val="single"/>
        </w:rPr>
        <w:t xml:space="preserve"> / </w:t>
      </w:r>
      <w:r w:rsidR="00A02C86">
        <w:rPr>
          <w:u w:val="single"/>
        </w:rPr>
        <w:t>1. Quartal 2013</w:t>
      </w:r>
    </w:p>
    <w:p w:rsidR="009D734A" w:rsidRDefault="009D734A" w:rsidP="009D734A">
      <w:pPr>
        <w:spacing w:line="300" w:lineRule="exact"/>
        <w:rPr>
          <w:u w:val="single"/>
        </w:rPr>
      </w:pPr>
    </w:p>
    <w:p w:rsidR="00A02C86" w:rsidRPr="00A02C86" w:rsidRDefault="00A02C86" w:rsidP="00A02C86">
      <w:pPr>
        <w:rPr>
          <w:b/>
          <w:bCs/>
          <w:sz w:val="22"/>
          <w:szCs w:val="22"/>
        </w:rPr>
      </w:pPr>
      <w:r w:rsidRPr="00A02C86">
        <w:rPr>
          <w:b/>
          <w:bCs/>
          <w:sz w:val="22"/>
          <w:szCs w:val="22"/>
        </w:rPr>
        <w:t>Verhaltener Start ins Jahr 2013 – Ausblick für Gesamtjahr bestätigt</w:t>
      </w:r>
    </w:p>
    <w:p w:rsidR="00A02C86" w:rsidRPr="00B13E9A" w:rsidRDefault="00A02C86" w:rsidP="00A02C86">
      <w:pPr>
        <w:rPr>
          <w:bCs/>
          <w:lang w:eastAsia="en-US"/>
        </w:rPr>
      </w:pPr>
    </w:p>
    <w:p w:rsidR="00A02C86" w:rsidRPr="00A02C86" w:rsidRDefault="00A02C86" w:rsidP="00A02C86">
      <w:pPr>
        <w:numPr>
          <w:ilvl w:val="0"/>
          <w:numId w:val="14"/>
        </w:numPr>
        <w:tabs>
          <w:tab w:val="clear" w:pos="1425"/>
          <w:tab w:val="num" w:pos="340"/>
        </w:tabs>
        <w:spacing w:line="300" w:lineRule="exact"/>
        <w:ind w:left="340" w:hanging="340"/>
        <w:rPr>
          <w:rFonts w:cs="Lucida Sans Unicode"/>
          <w:b/>
          <w:bCs/>
          <w:position w:val="0"/>
          <w:sz w:val="20"/>
          <w:szCs w:val="20"/>
        </w:rPr>
      </w:pPr>
      <w:r w:rsidRPr="00A02C86">
        <w:rPr>
          <w:rFonts w:cs="Lucida Sans Unicode"/>
          <w:b/>
          <w:bCs/>
          <w:position w:val="0"/>
          <w:sz w:val="20"/>
          <w:szCs w:val="20"/>
        </w:rPr>
        <w:t>Vorstandsvorsitzender Klaus Engel: „In einem weiterhin anspruchsvollen Umfeld bleibt Evonik auf Kurs.“</w:t>
      </w:r>
    </w:p>
    <w:p w:rsidR="00A02C86" w:rsidRPr="00A02C86" w:rsidRDefault="00A02C86" w:rsidP="00A02C86">
      <w:pPr>
        <w:numPr>
          <w:ilvl w:val="0"/>
          <w:numId w:val="14"/>
        </w:numPr>
        <w:tabs>
          <w:tab w:val="clear" w:pos="1425"/>
          <w:tab w:val="num" w:pos="340"/>
        </w:tabs>
        <w:spacing w:line="300" w:lineRule="exact"/>
        <w:ind w:left="340" w:hanging="340"/>
        <w:rPr>
          <w:rFonts w:cs="Lucida Sans Unicode"/>
          <w:b/>
          <w:bCs/>
          <w:position w:val="0"/>
          <w:sz w:val="20"/>
          <w:szCs w:val="20"/>
        </w:rPr>
      </w:pPr>
      <w:r w:rsidRPr="00A02C86">
        <w:rPr>
          <w:rFonts w:cs="Lucida Sans Unicode"/>
          <w:b/>
          <w:bCs/>
          <w:position w:val="0"/>
          <w:sz w:val="20"/>
          <w:szCs w:val="20"/>
        </w:rPr>
        <w:t>Operative Geschäft</w:t>
      </w:r>
      <w:r w:rsidR="0095118D">
        <w:rPr>
          <w:rFonts w:cs="Lucida Sans Unicode"/>
          <w:b/>
          <w:bCs/>
          <w:position w:val="0"/>
          <w:sz w:val="20"/>
          <w:szCs w:val="20"/>
        </w:rPr>
        <w:t>sentwicklung</w:t>
      </w:r>
      <w:r w:rsidRPr="00A02C86">
        <w:rPr>
          <w:rFonts w:cs="Lucida Sans Unicode"/>
          <w:b/>
          <w:bCs/>
          <w:position w:val="0"/>
          <w:sz w:val="20"/>
          <w:szCs w:val="20"/>
        </w:rPr>
        <w:t xml:space="preserve"> unter starkem Vor</w:t>
      </w:r>
      <w:r w:rsidR="00901ED4">
        <w:rPr>
          <w:rFonts w:cs="Lucida Sans Unicode"/>
          <w:b/>
          <w:bCs/>
          <w:position w:val="0"/>
          <w:sz w:val="20"/>
          <w:szCs w:val="20"/>
        </w:rPr>
        <w:t>jahresquartal</w:t>
      </w:r>
      <w:r w:rsidRPr="00A02C86">
        <w:rPr>
          <w:rFonts w:cs="Lucida Sans Unicode"/>
          <w:b/>
          <w:bCs/>
          <w:position w:val="0"/>
          <w:sz w:val="20"/>
          <w:szCs w:val="20"/>
        </w:rPr>
        <w:t xml:space="preserve">: </w:t>
      </w:r>
    </w:p>
    <w:p w:rsidR="00A02C86" w:rsidRPr="00A02C86" w:rsidRDefault="0095118D" w:rsidP="00A02C86">
      <w:pPr>
        <w:numPr>
          <w:ilvl w:val="0"/>
          <w:numId w:val="14"/>
        </w:numPr>
        <w:tabs>
          <w:tab w:val="clear" w:pos="1425"/>
          <w:tab w:val="num" w:pos="851"/>
        </w:tabs>
        <w:spacing w:line="300" w:lineRule="exact"/>
        <w:ind w:left="851" w:hanging="425"/>
        <w:rPr>
          <w:rFonts w:cs="Lucida Sans Unicode"/>
          <w:b/>
          <w:bCs/>
          <w:position w:val="0"/>
          <w:sz w:val="20"/>
          <w:szCs w:val="20"/>
        </w:rPr>
      </w:pPr>
      <w:r>
        <w:rPr>
          <w:rFonts w:cs="Lucida Sans Unicode"/>
          <w:b/>
          <w:bCs/>
          <w:position w:val="0"/>
          <w:sz w:val="20"/>
          <w:szCs w:val="20"/>
        </w:rPr>
        <w:t>Konzernumsatz mit</w:t>
      </w:r>
      <w:r w:rsidR="00A02C86" w:rsidRPr="00A02C86">
        <w:rPr>
          <w:rFonts w:cs="Lucida Sans Unicode"/>
          <w:b/>
          <w:bCs/>
          <w:position w:val="0"/>
          <w:sz w:val="20"/>
          <w:szCs w:val="20"/>
        </w:rPr>
        <w:t xml:space="preserve"> 3,3 Milliarden € organisch leicht rückläufig</w:t>
      </w:r>
    </w:p>
    <w:p w:rsidR="00A02C86" w:rsidRPr="00A02C86" w:rsidRDefault="00A02C86" w:rsidP="00A02C86">
      <w:pPr>
        <w:numPr>
          <w:ilvl w:val="0"/>
          <w:numId w:val="14"/>
        </w:numPr>
        <w:tabs>
          <w:tab w:val="clear" w:pos="1425"/>
          <w:tab w:val="num" w:pos="851"/>
        </w:tabs>
        <w:spacing w:line="300" w:lineRule="exact"/>
        <w:ind w:left="851" w:hanging="425"/>
        <w:rPr>
          <w:rFonts w:cs="Lucida Sans Unicode"/>
          <w:b/>
          <w:bCs/>
          <w:position w:val="0"/>
          <w:sz w:val="20"/>
          <w:szCs w:val="20"/>
        </w:rPr>
      </w:pPr>
      <w:r w:rsidRPr="00A02C86">
        <w:rPr>
          <w:rFonts w:cs="Lucida Sans Unicode"/>
          <w:b/>
          <w:bCs/>
          <w:position w:val="0"/>
          <w:sz w:val="20"/>
          <w:szCs w:val="20"/>
        </w:rPr>
        <w:t>Bereinigte</w:t>
      </w:r>
      <w:r w:rsidR="00157016">
        <w:rPr>
          <w:rFonts w:cs="Lucida Sans Unicode"/>
          <w:b/>
          <w:bCs/>
          <w:position w:val="0"/>
          <w:sz w:val="20"/>
          <w:szCs w:val="20"/>
        </w:rPr>
        <w:t>s</w:t>
      </w:r>
      <w:r w:rsidRPr="00A02C86">
        <w:rPr>
          <w:rFonts w:cs="Lucida Sans Unicode"/>
          <w:b/>
          <w:bCs/>
          <w:position w:val="0"/>
          <w:sz w:val="20"/>
          <w:szCs w:val="20"/>
        </w:rPr>
        <w:t xml:space="preserve"> EBITDA und bereinigtes EBIT unter hohen </w:t>
      </w:r>
      <w:r w:rsidR="00752B24">
        <w:rPr>
          <w:rFonts w:cs="Lucida Sans Unicode"/>
          <w:b/>
          <w:bCs/>
          <w:position w:val="0"/>
          <w:sz w:val="20"/>
          <w:szCs w:val="20"/>
        </w:rPr>
        <w:t>Werten des Vorjahresquartals</w:t>
      </w:r>
    </w:p>
    <w:p w:rsidR="00A02C86" w:rsidRPr="00A02C86" w:rsidRDefault="0095118D" w:rsidP="00A02C86">
      <w:pPr>
        <w:numPr>
          <w:ilvl w:val="0"/>
          <w:numId w:val="14"/>
        </w:numPr>
        <w:tabs>
          <w:tab w:val="clear" w:pos="1425"/>
          <w:tab w:val="num" w:pos="851"/>
        </w:tabs>
        <w:spacing w:line="300" w:lineRule="exact"/>
        <w:ind w:left="851" w:hanging="425"/>
        <w:rPr>
          <w:rFonts w:cs="Lucida Sans Unicode"/>
          <w:b/>
          <w:bCs/>
          <w:position w:val="0"/>
          <w:sz w:val="20"/>
          <w:szCs w:val="20"/>
        </w:rPr>
      </w:pPr>
      <w:r>
        <w:rPr>
          <w:rFonts w:cs="Lucida Sans Unicode"/>
          <w:b/>
          <w:bCs/>
          <w:position w:val="0"/>
          <w:sz w:val="20"/>
          <w:szCs w:val="20"/>
        </w:rPr>
        <w:t xml:space="preserve">Bereinigte </w:t>
      </w:r>
      <w:r w:rsidR="00A02C86" w:rsidRPr="00A02C86">
        <w:rPr>
          <w:rFonts w:cs="Lucida Sans Unicode"/>
          <w:b/>
          <w:bCs/>
          <w:position w:val="0"/>
          <w:sz w:val="20"/>
          <w:szCs w:val="20"/>
        </w:rPr>
        <w:t>EBITDA-Marge mit 18,1 Prozent weiterhin auf gutem Niveau</w:t>
      </w:r>
    </w:p>
    <w:p w:rsidR="00A02C86" w:rsidRDefault="00A02C86" w:rsidP="00A02C86">
      <w:pPr>
        <w:numPr>
          <w:ilvl w:val="0"/>
          <w:numId w:val="14"/>
        </w:numPr>
        <w:tabs>
          <w:tab w:val="clear" w:pos="1425"/>
          <w:tab w:val="num" w:pos="340"/>
        </w:tabs>
        <w:spacing w:line="300" w:lineRule="exact"/>
        <w:ind w:left="340" w:hanging="340"/>
        <w:rPr>
          <w:rFonts w:cs="Lucida Sans Unicode"/>
          <w:b/>
          <w:bCs/>
          <w:position w:val="0"/>
          <w:sz w:val="20"/>
          <w:szCs w:val="20"/>
        </w:rPr>
      </w:pPr>
      <w:r w:rsidRPr="00A02C86">
        <w:rPr>
          <w:rFonts w:cs="Lucida Sans Unicode"/>
          <w:b/>
          <w:bCs/>
          <w:position w:val="0"/>
          <w:sz w:val="20"/>
          <w:szCs w:val="20"/>
        </w:rPr>
        <w:t xml:space="preserve">Konzernergebnis um 7 </w:t>
      </w:r>
      <w:r w:rsidR="0095118D">
        <w:rPr>
          <w:rFonts w:cs="Lucida Sans Unicode"/>
          <w:b/>
          <w:bCs/>
          <w:position w:val="0"/>
          <w:sz w:val="20"/>
          <w:szCs w:val="20"/>
        </w:rPr>
        <w:t>Prozent auf 289 Millionen €</w:t>
      </w:r>
      <w:r w:rsidR="0095118D" w:rsidRPr="00A02C86">
        <w:rPr>
          <w:rFonts w:cs="Lucida Sans Unicode"/>
          <w:b/>
          <w:bCs/>
          <w:position w:val="0"/>
          <w:sz w:val="20"/>
          <w:szCs w:val="20"/>
        </w:rPr>
        <w:t xml:space="preserve"> </w:t>
      </w:r>
      <w:r w:rsidRPr="00A02C86">
        <w:rPr>
          <w:rFonts w:cs="Lucida Sans Unicode"/>
          <w:b/>
          <w:bCs/>
          <w:position w:val="0"/>
          <w:sz w:val="20"/>
          <w:szCs w:val="20"/>
        </w:rPr>
        <w:t>verbessert</w:t>
      </w:r>
    </w:p>
    <w:p w:rsidR="0095118D" w:rsidRPr="00A02C86" w:rsidRDefault="0095118D" w:rsidP="00A02C86">
      <w:pPr>
        <w:numPr>
          <w:ilvl w:val="0"/>
          <w:numId w:val="14"/>
        </w:numPr>
        <w:tabs>
          <w:tab w:val="clear" w:pos="1425"/>
          <w:tab w:val="num" w:pos="340"/>
        </w:tabs>
        <w:spacing w:line="300" w:lineRule="exact"/>
        <w:ind w:left="340" w:hanging="340"/>
        <w:rPr>
          <w:rFonts w:cs="Lucida Sans Unicode"/>
          <w:b/>
          <w:bCs/>
          <w:position w:val="0"/>
          <w:sz w:val="20"/>
          <w:szCs w:val="20"/>
        </w:rPr>
      </w:pPr>
      <w:r>
        <w:rPr>
          <w:rFonts w:cs="Lucida Sans Unicode"/>
          <w:b/>
          <w:bCs/>
          <w:position w:val="0"/>
          <w:sz w:val="20"/>
          <w:szCs w:val="20"/>
        </w:rPr>
        <w:t>Stufenplan zur Abgabe des Immobilien-Geschäfts beschlossen</w:t>
      </w:r>
    </w:p>
    <w:p w:rsidR="00A02C86" w:rsidRPr="00A02C86" w:rsidRDefault="00A02C86" w:rsidP="00A02C86">
      <w:pPr>
        <w:numPr>
          <w:ilvl w:val="0"/>
          <w:numId w:val="14"/>
        </w:numPr>
        <w:tabs>
          <w:tab w:val="clear" w:pos="1425"/>
          <w:tab w:val="num" w:pos="340"/>
        </w:tabs>
        <w:spacing w:line="300" w:lineRule="exact"/>
        <w:ind w:left="340" w:hanging="340"/>
        <w:rPr>
          <w:rFonts w:cs="Lucida Sans Unicode"/>
          <w:b/>
          <w:bCs/>
          <w:position w:val="0"/>
          <w:sz w:val="20"/>
          <w:szCs w:val="20"/>
        </w:rPr>
      </w:pPr>
      <w:r w:rsidRPr="00A02C86">
        <w:rPr>
          <w:rFonts w:cs="Lucida Sans Unicode"/>
          <w:b/>
          <w:bCs/>
          <w:position w:val="0"/>
          <w:sz w:val="20"/>
          <w:szCs w:val="20"/>
        </w:rPr>
        <w:t>Börsen</w:t>
      </w:r>
      <w:r w:rsidR="00901ED4">
        <w:rPr>
          <w:rFonts w:cs="Lucida Sans Unicode"/>
          <w:b/>
          <w:bCs/>
          <w:position w:val="0"/>
          <w:sz w:val="20"/>
          <w:szCs w:val="20"/>
        </w:rPr>
        <w:t>notierung</w:t>
      </w:r>
      <w:r w:rsidRPr="00A02C86">
        <w:rPr>
          <w:rFonts w:cs="Lucida Sans Unicode"/>
          <w:b/>
          <w:bCs/>
          <w:position w:val="0"/>
          <w:sz w:val="20"/>
          <w:szCs w:val="20"/>
        </w:rPr>
        <w:t xml:space="preserve"> der Evonik-Aktie</w:t>
      </w:r>
      <w:r w:rsidR="0095118D">
        <w:rPr>
          <w:rFonts w:cs="Lucida Sans Unicode"/>
          <w:b/>
          <w:bCs/>
          <w:position w:val="0"/>
          <w:sz w:val="20"/>
          <w:szCs w:val="20"/>
        </w:rPr>
        <w:t xml:space="preserve"> am 25. April 2013 erfolgt</w:t>
      </w:r>
      <w:r w:rsidRPr="00A02C86">
        <w:rPr>
          <w:rFonts w:cs="Lucida Sans Unicode"/>
          <w:b/>
          <w:bCs/>
          <w:position w:val="0"/>
          <w:sz w:val="20"/>
          <w:szCs w:val="20"/>
        </w:rPr>
        <w:t xml:space="preserve"> </w:t>
      </w:r>
    </w:p>
    <w:p w:rsidR="00A02C86" w:rsidRPr="00A02C86" w:rsidRDefault="00A02C86" w:rsidP="00A02C86">
      <w:pPr>
        <w:numPr>
          <w:ilvl w:val="0"/>
          <w:numId w:val="14"/>
        </w:numPr>
        <w:tabs>
          <w:tab w:val="clear" w:pos="1425"/>
          <w:tab w:val="num" w:pos="340"/>
        </w:tabs>
        <w:spacing w:line="300" w:lineRule="exact"/>
        <w:ind w:left="340" w:hanging="340"/>
        <w:rPr>
          <w:rFonts w:cs="Lucida Sans Unicode"/>
          <w:b/>
          <w:bCs/>
          <w:position w:val="0"/>
          <w:sz w:val="20"/>
          <w:szCs w:val="20"/>
        </w:rPr>
      </w:pPr>
      <w:r w:rsidRPr="00A02C86">
        <w:rPr>
          <w:rFonts w:cs="Lucida Sans Unicode"/>
          <w:b/>
          <w:bCs/>
          <w:position w:val="0"/>
          <w:sz w:val="20"/>
          <w:szCs w:val="20"/>
        </w:rPr>
        <w:t>Ausblick für das Gesamtjahr 2013 bestätigt: Höherer Umsatz und operative Ergebnisse auf dem sehr guten Niveau von 2012 erwartet</w:t>
      </w:r>
      <w:r w:rsidRPr="00A02C86">
        <w:rPr>
          <w:rFonts w:cs="Lucida Sans Unicode"/>
          <w:b/>
          <w:bCs/>
          <w:position w:val="0"/>
          <w:sz w:val="20"/>
          <w:szCs w:val="20"/>
        </w:rPr>
        <w:br/>
      </w:r>
    </w:p>
    <w:p w:rsidR="00A02C86" w:rsidRPr="00A02C86" w:rsidRDefault="00A02C86" w:rsidP="00A02C86">
      <w:pPr>
        <w:spacing w:line="300" w:lineRule="atLeast"/>
        <w:rPr>
          <w:rFonts w:cs="Lucida Sans Unicode"/>
          <w:sz w:val="20"/>
          <w:szCs w:val="20"/>
        </w:rPr>
      </w:pPr>
      <w:r w:rsidRPr="00A02C86">
        <w:rPr>
          <w:rFonts w:cs="Lucida Sans Unicode"/>
          <w:sz w:val="20"/>
          <w:szCs w:val="20"/>
        </w:rPr>
        <w:t xml:space="preserve">Essen. „In einem </w:t>
      </w:r>
      <w:r w:rsidR="0095118D">
        <w:rPr>
          <w:rFonts w:cs="Lucida Sans Unicode"/>
          <w:sz w:val="20"/>
          <w:szCs w:val="20"/>
        </w:rPr>
        <w:t xml:space="preserve">weiterhin </w:t>
      </w:r>
      <w:r w:rsidRPr="00A02C86">
        <w:rPr>
          <w:rFonts w:cs="Lucida Sans Unicode"/>
          <w:sz w:val="20"/>
          <w:szCs w:val="20"/>
        </w:rPr>
        <w:t xml:space="preserve">anspruchsvollen konjunkturellen Umfeld verlief der Start von Evonik ins Jahr 2013 gegenüber dem starken Vorjahresquartal etwas verhaltener. Im Verlauf der zweiten Jahreshälfte erwarten wir jedoch eine spürbare </w:t>
      </w:r>
      <w:r w:rsidR="0095118D">
        <w:rPr>
          <w:rFonts w:cs="Lucida Sans Unicode"/>
          <w:sz w:val="20"/>
          <w:szCs w:val="20"/>
        </w:rPr>
        <w:t xml:space="preserve">Belebung unseres Geschäfts – zum einen aufgrund der </w:t>
      </w:r>
      <w:r w:rsidRPr="00A02C86">
        <w:rPr>
          <w:rFonts w:cs="Lucida Sans Unicode"/>
          <w:sz w:val="20"/>
          <w:szCs w:val="20"/>
        </w:rPr>
        <w:t xml:space="preserve">Erholung der Weltkonjunktur, </w:t>
      </w:r>
      <w:r w:rsidR="0095118D">
        <w:rPr>
          <w:rFonts w:cs="Lucida Sans Unicode"/>
          <w:sz w:val="20"/>
          <w:szCs w:val="20"/>
        </w:rPr>
        <w:t>zum anderen aufgrund der Inbetriebnahme neuer Produktionskapazitäten“</w:t>
      </w:r>
      <w:r w:rsidR="00873A7F">
        <w:rPr>
          <w:rFonts w:cs="Lucida Sans Unicode"/>
          <w:sz w:val="20"/>
          <w:szCs w:val="20"/>
        </w:rPr>
        <w:t>,</w:t>
      </w:r>
      <w:r w:rsidR="0095118D">
        <w:rPr>
          <w:rFonts w:cs="Lucida Sans Unicode"/>
          <w:sz w:val="20"/>
          <w:szCs w:val="20"/>
        </w:rPr>
        <w:t xml:space="preserve"> </w:t>
      </w:r>
      <w:r w:rsidRPr="00A02C86">
        <w:rPr>
          <w:rFonts w:cs="Lucida Sans Unicode"/>
          <w:sz w:val="20"/>
          <w:szCs w:val="20"/>
        </w:rPr>
        <w:t xml:space="preserve">sagte Klaus Engel, Vorstandsvorsitzender der Evonik Industries AG, heute </w:t>
      </w:r>
      <w:r w:rsidR="0095118D">
        <w:rPr>
          <w:rFonts w:cs="Lucida Sans Unicode"/>
          <w:sz w:val="20"/>
          <w:szCs w:val="20"/>
        </w:rPr>
        <w:t>anlässlich der</w:t>
      </w:r>
      <w:r w:rsidRPr="00A02C86">
        <w:rPr>
          <w:rFonts w:cs="Lucida Sans Unicode"/>
          <w:sz w:val="20"/>
          <w:szCs w:val="20"/>
        </w:rPr>
        <w:t xml:space="preserve"> Vorstellung der wirtschaftlichen Eckdaten für das erste Quartal 2013. „Wir sind für das Gesamtjahr 2013 weiter</w:t>
      </w:r>
      <w:r w:rsidR="0095118D">
        <w:rPr>
          <w:rFonts w:cs="Lucida Sans Unicode"/>
          <w:sz w:val="20"/>
          <w:szCs w:val="20"/>
        </w:rPr>
        <w:t>hin</w:t>
      </w:r>
      <w:r w:rsidRPr="00A02C86">
        <w:rPr>
          <w:rFonts w:cs="Lucida Sans Unicode"/>
          <w:sz w:val="20"/>
          <w:szCs w:val="20"/>
        </w:rPr>
        <w:t xml:space="preserve"> zuversichtlich und haben daher unseren Ausblick bestätigt.“</w:t>
      </w:r>
    </w:p>
    <w:p w:rsidR="00A02C86" w:rsidRDefault="00A02C86" w:rsidP="00A02C86">
      <w:pPr>
        <w:spacing w:line="300" w:lineRule="atLeast"/>
        <w:rPr>
          <w:sz w:val="20"/>
          <w:szCs w:val="20"/>
        </w:rPr>
      </w:pPr>
    </w:p>
    <w:p w:rsidR="00A02C86" w:rsidRPr="00A02C86" w:rsidRDefault="00A02C86" w:rsidP="00A02C86">
      <w:pPr>
        <w:spacing w:line="300" w:lineRule="atLeast"/>
        <w:rPr>
          <w:rFonts w:cs="Lucida Sans Unicode"/>
          <w:b/>
          <w:sz w:val="20"/>
          <w:szCs w:val="20"/>
        </w:rPr>
      </w:pPr>
      <w:r w:rsidRPr="00A02C86">
        <w:rPr>
          <w:rFonts w:cs="Lucida Sans Unicode"/>
          <w:b/>
          <w:sz w:val="20"/>
          <w:szCs w:val="20"/>
        </w:rPr>
        <w:t>Geschäftsentwicklung im ersten Quartal 2013</w:t>
      </w:r>
    </w:p>
    <w:p w:rsidR="00A02C86" w:rsidRDefault="00A02C86">
      <w:pPr>
        <w:spacing w:line="240" w:lineRule="auto"/>
        <w:ind w:left="0" w:right="0"/>
        <w:rPr>
          <w:b/>
          <w:bCs/>
          <w:sz w:val="22"/>
          <w:szCs w:val="22"/>
        </w:rPr>
      </w:pPr>
    </w:p>
    <w:p w:rsidR="00A02C86" w:rsidRPr="00A02C86" w:rsidRDefault="0095118D" w:rsidP="00A02C86">
      <w:pPr>
        <w:spacing w:line="300" w:lineRule="atLeast"/>
        <w:rPr>
          <w:rFonts w:cs="Lucida Sans Unicode"/>
          <w:sz w:val="20"/>
          <w:szCs w:val="20"/>
        </w:rPr>
      </w:pPr>
      <w:r>
        <w:rPr>
          <w:rFonts w:cs="Lucida Sans Unicode"/>
          <w:sz w:val="20"/>
          <w:szCs w:val="20"/>
        </w:rPr>
        <w:t xml:space="preserve">Im Zuge der Fokussierung auf die Spezialchemie will sich Evonik von </w:t>
      </w:r>
      <w:proofErr w:type="gramStart"/>
      <w:r>
        <w:rPr>
          <w:rFonts w:cs="Lucida Sans Unicode"/>
          <w:sz w:val="20"/>
          <w:szCs w:val="20"/>
        </w:rPr>
        <w:t>den</w:t>
      </w:r>
      <w:proofErr w:type="gramEnd"/>
      <w:r>
        <w:rPr>
          <w:rFonts w:cs="Lucida Sans Unicode"/>
          <w:sz w:val="20"/>
          <w:szCs w:val="20"/>
        </w:rPr>
        <w:t xml:space="preserve"> im Segment Real Estate gebündelten Immobilienaktivitäten vollständig </w:t>
      </w:r>
      <w:r>
        <w:rPr>
          <w:rFonts w:cs="Lucida Sans Unicode"/>
          <w:sz w:val="20"/>
          <w:szCs w:val="20"/>
        </w:rPr>
        <w:lastRenderedPageBreak/>
        <w:t xml:space="preserve">trennen. Hierzu wurde im März 2013 ein Stufenplan zur Abgabe der Mehrheit an diesem Geschäft beschlossen und das Segment Real Estate in die nicht fortgeführten Aktivitäten </w:t>
      </w:r>
      <w:proofErr w:type="spellStart"/>
      <w:r>
        <w:rPr>
          <w:rFonts w:cs="Lucida Sans Unicode"/>
          <w:sz w:val="20"/>
          <w:szCs w:val="20"/>
        </w:rPr>
        <w:t>umgegliedert</w:t>
      </w:r>
      <w:proofErr w:type="spellEnd"/>
      <w:r>
        <w:rPr>
          <w:rFonts w:cs="Lucida Sans Unicode"/>
          <w:sz w:val="20"/>
          <w:szCs w:val="20"/>
        </w:rPr>
        <w:t>. Die Vorjahreswerte wurden entsprechend angepasst.</w:t>
      </w:r>
    </w:p>
    <w:p w:rsidR="00A02C86" w:rsidRPr="00015642" w:rsidRDefault="00A02C86" w:rsidP="00A02C86">
      <w:pPr>
        <w:rPr>
          <w:lang w:eastAsia="en-US"/>
        </w:rPr>
      </w:pPr>
    </w:p>
    <w:p w:rsidR="00A02C86" w:rsidRPr="00A02C86" w:rsidRDefault="00A02C86" w:rsidP="002F5039">
      <w:pPr>
        <w:pStyle w:val="ErsteZeile"/>
      </w:pPr>
      <w:r w:rsidRPr="00A02C86">
        <w:t xml:space="preserve">Der </w:t>
      </w:r>
      <w:r w:rsidRPr="00A02C86">
        <w:rPr>
          <w:b/>
        </w:rPr>
        <w:t>Konzernumsatz</w:t>
      </w:r>
      <w:r w:rsidRPr="00A02C86">
        <w:t xml:space="preserve"> ging organisch bei insgesamt stabilen Mengen und geringeren Preise</w:t>
      </w:r>
      <w:r w:rsidR="00901ED4">
        <w:t>n</w:t>
      </w:r>
      <w:r w:rsidRPr="00A02C86">
        <w:t xml:space="preserve"> (-2 Prozent) leicht um 2 Prozent zurück. </w:t>
      </w:r>
      <w:r w:rsidR="0095118D">
        <w:t xml:space="preserve">Insgesamt verringerte er </w:t>
      </w:r>
      <w:r w:rsidR="00204CFD">
        <w:t>sich aufgrund der</w:t>
      </w:r>
      <w:r w:rsidRPr="00A02C86">
        <w:t xml:space="preserve"> Abgabe von </w:t>
      </w:r>
      <w:r w:rsidR="00204CFD">
        <w:t>zwei kleineren Geschäften im Vorjahr</w:t>
      </w:r>
      <w:r w:rsidRPr="00A02C86">
        <w:t xml:space="preserve"> um 4 Prozent auf 3.263 Millionen € (Vorjahr</w:t>
      </w:r>
      <w:r w:rsidR="00CB7AB1">
        <w:t>esquartal</w:t>
      </w:r>
      <w:r w:rsidR="00204CFD">
        <w:t>:</w:t>
      </w:r>
      <w:r w:rsidRPr="00A02C86">
        <w:t xml:space="preserve"> 3.407 Millionen €). </w:t>
      </w:r>
    </w:p>
    <w:p w:rsidR="00A02C86" w:rsidRDefault="00A02C86" w:rsidP="00A02C86">
      <w:pPr>
        <w:rPr>
          <w:bCs/>
          <w:lang w:eastAsia="en-US"/>
        </w:rPr>
      </w:pPr>
    </w:p>
    <w:p w:rsidR="00A02C86" w:rsidRDefault="00A02C86" w:rsidP="00A02C86">
      <w:pPr>
        <w:rPr>
          <w:bCs/>
          <w:lang w:eastAsia="en-US"/>
        </w:rPr>
      </w:pPr>
    </w:p>
    <w:p w:rsidR="00A02C86" w:rsidRPr="00D941D1" w:rsidRDefault="00A02C86" w:rsidP="002F5039">
      <w:pPr>
        <w:pStyle w:val="ErsteZeile"/>
        <w:rPr>
          <w:b/>
        </w:rPr>
      </w:pPr>
      <w:r w:rsidRPr="00D941D1">
        <w:t xml:space="preserve">Die operativen Ergebnisse blieben im ersten Quartal 2013 vor allem infolge der geringeren Verkaufspreise sowie teilweise höheren Rohstoffkosten unter den sehr guten </w:t>
      </w:r>
      <w:r w:rsidR="00481E50">
        <w:t xml:space="preserve">Werten des </w:t>
      </w:r>
      <w:r w:rsidR="00481E50" w:rsidRPr="00D941D1">
        <w:t>Vorjahres</w:t>
      </w:r>
      <w:r w:rsidR="00481E50">
        <w:t>quartals</w:t>
      </w:r>
      <w:r w:rsidRPr="00D941D1">
        <w:t xml:space="preserve">. Die Anwendung </w:t>
      </w:r>
      <w:r w:rsidR="00FF1F6E">
        <w:t xml:space="preserve">der überarbeiteten Fassung </w:t>
      </w:r>
      <w:r w:rsidRPr="00D941D1">
        <w:t>von IAS 19</w:t>
      </w:r>
      <w:r w:rsidR="00FF1F6E">
        <w:t>, der die Bilanzierung von Leistungen an Arbeitnehmer (einschließlich Pensionen) bestimmt,</w:t>
      </w:r>
      <w:r w:rsidRPr="00D941D1">
        <w:t xml:space="preserve"> führte zu einer rückwirkenden Erhöhung der operativen Ergebnisse des Gesamtjahres 2012 um 22 Millionen €, wovon 6 Millionen € auf das erste Quartal 2012 entfielen. Insgesamt ging das </w:t>
      </w:r>
      <w:r w:rsidRPr="00801C4B">
        <w:t>bereinigte</w:t>
      </w:r>
      <w:r w:rsidRPr="00D941D1">
        <w:rPr>
          <w:b/>
        </w:rPr>
        <w:t xml:space="preserve"> EBITDA</w:t>
      </w:r>
      <w:r w:rsidRPr="00D941D1">
        <w:t xml:space="preserve"> im ersten Quartal 2013 um 10 Prozent auf 589 Millionen € (Vorjahr</w:t>
      </w:r>
      <w:r w:rsidR="002A551A">
        <w:t>esquartal</w:t>
      </w:r>
      <w:r w:rsidR="00204CFD">
        <w:t>:</w:t>
      </w:r>
      <w:r w:rsidRPr="00D941D1">
        <w:t xml:space="preserve"> 656 Millionen €) und das </w:t>
      </w:r>
      <w:r w:rsidRPr="00801C4B">
        <w:t>bereinigte</w:t>
      </w:r>
      <w:r w:rsidRPr="00D941D1">
        <w:rPr>
          <w:b/>
        </w:rPr>
        <w:t xml:space="preserve"> EBIT</w:t>
      </w:r>
      <w:r w:rsidRPr="00D941D1">
        <w:t xml:space="preserve"> um 13 Prozent auf 445 Millionen € (Vor</w:t>
      </w:r>
      <w:r w:rsidR="002A551A">
        <w:t>jahresquartal</w:t>
      </w:r>
      <w:r w:rsidR="00204CFD">
        <w:t>:</w:t>
      </w:r>
      <w:r w:rsidRPr="00D941D1">
        <w:t xml:space="preserve"> 509 Millionen €) zurück. </w:t>
      </w:r>
      <w:r w:rsidRPr="00617B2D">
        <w:t>Die</w:t>
      </w:r>
      <w:r w:rsidRPr="00D941D1">
        <w:rPr>
          <w:b/>
        </w:rPr>
        <w:t xml:space="preserve"> </w:t>
      </w:r>
      <w:r w:rsidRPr="00801C4B">
        <w:t>bereinigte</w:t>
      </w:r>
      <w:r w:rsidRPr="00D941D1">
        <w:rPr>
          <w:b/>
        </w:rPr>
        <w:t xml:space="preserve"> EBITDA-Marge</w:t>
      </w:r>
      <w:r w:rsidRPr="00D941D1">
        <w:t xml:space="preserve"> lag mit 18,1 Prozent </w:t>
      </w:r>
      <w:r w:rsidR="00204CFD">
        <w:t xml:space="preserve">weiterhin </w:t>
      </w:r>
      <w:r w:rsidRPr="00D941D1">
        <w:t>auf gutem Niveau (Vorjahr</w:t>
      </w:r>
      <w:r w:rsidR="002A551A">
        <w:t>esquartal</w:t>
      </w:r>
      <w:r w:rsidR="0064778C">
        <w:t>:</w:t>
      </w:r>
      <w:r w:rsidRPr="00D941D1">
        <w:t xml:space="preserve"> 19,3 Prozent). </w:t>
      </w:r>
    </w:p>
    <w:p w:rsidR="00A02C86" w:rsidRPr="00D941D1" w:rsidRDefault="00A02C86" w:rsidP="00D941D1">
      <w:pPr>
        <w:spacing w:line="300" w:lineRule="atLeast"/>
        <w:ind w:left="142"/>
        <w:rPr>
          <w:rFonts w:cs="Lucida Sans Unicode"/>
          <w:bCs/>
          <w:lang w:eastAsia="en-US"/>
        </w:rPr>
      </w:pPr>
    </w:p>
    <w:p w:rsidR="00A02C86" w:rsidRPr="00D941D1" w:rsidRDefault="00A02C86" w:rsidP="002F5039">
      <w:pPr>
        <w:pStyle w:val="ErsteZeile"/>
        <w:rPr>
          <w:b/>
        </w:rPr>
      </w:pPr>
      <w:r w:rsidRPr="00D941D1">
        <w:t xml:space="preserve">Die </w:t>
      </w:r>
      <w:r w:rsidRPr="00D941D1">
        <w:rPr>
          <w:b/>
        </w:rPr>
        <w:t>Bereinigungen</w:t>
      </w:r>
      <w:r w:rsidRPr="00D941D1">
        <w:t xml:space="preserve"> von -30 Millionen € </w:t>
      </w:r>
      <w:r w:rsidR="00204CFD" w:rsidRPr="00D941D1">
        <w:t>betr</w:t>
      </w:r>
      <w:r w:rsidR="00204CFD">
        <w:t>afen</w:t>
      </w:r>
      <w:r w:rsidR="00204CFD" w:rsidRPr="00D941D1">
        <w:t xml:space="preserve"> </w:t>
      </w:r>
      <w:r w:rsidRPr="00D941D1">
        <w:t xml:space="preserve">im Wesentlichen Aufwendungen im Zusammenhang mit der Bilanzierung der </w:t>
      </w:r>
      <w:proofErr w:type="spellStart"/>
      <w:r w:rsidRPr="00D941D1">
        <w:t>Put</w:t>
      </w:r>
      <w:proofErr w:type="spellEnd"/>
      <w:r w:rsidRPr="00D941D1">
        <w:t xml:space="preserve">- und der Call-Option für die restlichen Anteile an der STEAG GmbH sowie Aufwendungen aus der Anpassung der Altersteilzeitrückstellungen </w:t>
      </w:r>
      <w:r w:rsidR="00204CFD">
        <w:t>nach IAS 19.</w:t>
      </w:r>
      <w:r w:rsidRPr="00D941D1">
        <w:t xml:space="preserve"> Im </w:t>
      </w:r>
      <w:r w:rsidR="002A551A">
        <w:t>Wert des Vorjahresquartals</w:t>
      </w:r>
      <w:r w:rsidRPr="00D941D1">
        <w:t xml:space="preserve"> waren maßgeblich Wertminderungen auf Produktionsanlagen des Segments </w:t>
      </w:r>
      <w:proofErr w:type="spellStart"/>
      <w:r w:rsidRPr="00D941D1">
        <w:t>Resource</w:t>
      </w:r>
      <w:proofErr w:type="spellEnd"/>
      <w:r w:rsidRPr="00D941D1">
        <w:t xml:space="preserve"> Efficiency sowie ein Ertrag im Zusammenhang mit der Bilanzierung der STEAG-Optionen enthalten.</w:t>
      </w:r>
    </w:p>
    <w:p w:rsidR="00A02C86" w:rsidRPr="00B13E9A" w:rsidRDefault="00A02C86" w:rsidP="00A02C86">
      <w:pPr>
        <w:rPr>
          <w:bCs/>
          <w:lang w:eastAsia="en-US"/>
        </w:rPr>
      </w:pPr>
    </w:p>
    <w:p w:rsidR="00A02C86" w:rsidRPr="00D941D1" w:rsidRDefault="00A02C86" w:rsidP="00D941D1">
      <w:pPr>
        <w:spacing w:line="300" w:lineRule="atLeast"/>
        <w:rPr>
          <w:rFonts w:cs="Lucida Sans Unicode"/>
          <w:bCs/>
          <w:sz w:val="20"/>
          <w:szCs w:val="20"/>
          <w:lang w:eastAsia="en-US"/>
        </w:rPr>
      </w:pPr>
      <w:r w:rsidRPr="00D941D1">
        <w:rPr>
          <w:rFonts w:cs="Lucida Sans Unicode"/>
          <w:bCs/>
          <w:sz w:val="20"/>
          <w:szCs w:val="20"/>
          <w:lang w:eastAsia="en-US"/>
        </w:rPr>
        <w:t xml:space="preserve">Das </w:t>
      </w:r>
      <w:r w:rsidRPr="00D941D1">
        <w:rPr>
          <w:rFonts w:cs="Lucida Sans Unicode"/>
          <w:b/>
          <w:sz w:val="20"/>
          <w:szCs w:val="20"/>
          <w:lang w:eastAsia="en-US"/>
        </w:rPr>
        <w:t>Ergebnis nach Ertragsteuern der fortgeführten Aktivitäten</w:t>
      </w:r>
      <w:r w:rsidRPr="00D941D1">
        <w:rPr>
          <w:rFonts w:cs="Lucida Sans Unicode"/>
          <w:bCs/>
          <w:sz w:val="20"/>
          <w:szCs w:val="20"/>
          <w:lang w:eastAsia="en-US"/>
        </w:rPr>
        <w:t xml:space="preserve"> </w:t>
      </w:r>
      <w:r w:rsidR="00204CFD">
        <w:rPr>
          <w:rFonts w:cs="Lucida Sans Unicode"/>
          <w:bCs/>
          <w:sz w:val="20"/>
          <w:szCs w:val="20"/>
          <w:lang w:eastAsia="en-US"/>
        </w:rPr>
        <w:t>verbesserte</w:t>
      </w:r>
      <w:r w:rsidR="00204CFD" w:rsidRPr="00D941D1">
        <w:rPr>
          <w:rFonts w:cs="Lucida Sans Unicode"/>
          <w:bCs/>
          <w:sz w:val="20"/>
          <w:szCs w:val="20"/>
          <w:lang w:eastAsia="en-US"/>
        </w:rPr>
        <w:t xml:space="preserve"> </w:t>
      </w:r>
      <w:r w:rsidRPr="00D941D1">
        <w:rPr>
          <w:rFonts w:cs="Lucida Sans Unicode"/>
          <w:bCs/>
          <w:sz w:val="20"/>
          <w:szCs w:val="20"/>
          <w:lang w:eastAsia="en-US"/>
        </w:rPr>
        <w:t xml:space="preserve">sich </w:t>
      </w:r>
      <w:r w:rsidR="00204CFD">
        <w:rPr>
          <w:rFonts w:cs="Lucida Sans Unicode"/>
          <w:bCs/>
          <w:sz w:val="20"/>
          <w:szCs w:val="20"/>
          <w:lang w:eastAsia="en-US"/>
        </w:rPr>
        <w:t xml:space="preserve">vor allem infolge geringerer Zins- und Steueraufwendungen </w:t>
      </w:r>
      <w:r w:rsidRPr="00D941D1">
        <w:rPr>
          <w:rFonts w:cs="Lucida Sans Unicode"/>
          <w:bCs/>
          <w:sz w:val="20"/>
          <w:szCs w:val="20"/>
          <w:lang w:eastAsia="en-US"/>
        </w:rPr>
        <w:t>um 8 Prozent auf 266 Millionen € (Vorjahr</w:t>
      </w:r>
      <w:r w:rsidR="002A551A">
        <w:rPr>
          <w:rFonts w:cs="Lucida Sans Unicode"/>
          <w:bCs/>
          <w:sz w:val="20"/>
          <w:szCs w:val="20"/>
          <w:lang w:eastAsia="en-US"/>
        </w:rPr>
        <w:t>esquartal</w:t>
      </w:r>
      <w:r w:rsidRPr="00D941D1">
        <w:rPr>
          <w:rFonts w:cs="Lucida Sans Unicode"/>
          <w:bCs/>
          <w:sz w:val="20"/>
          <w:szCs w:val="20"/>
          <w:lang w:eastAsia="en-US"/>
        </w:rPr>
        <w:t>: 246 Millionen €). Das Ergebnis nach Steuern der nicht fortgeführten Aktivitäten betrug</w:t>
      </w:r>
      <w:r w:rsidR="002A551A">
        <w:rPr>
          <w:rFonts w:cs="Lucida Sans Unicode"/>
          <w:bCs/>
          <w:sz w:val="20"/>
          <w:szCs w:val="20"/>
          <w:lang w:eastAsia="en-US"/>
        </w:rPr>
        <w:t>,</w:t>
      </w:r>
      <w:r w:rsidR="00204CFD">
        <w:rPr>
          <w:rFonts w:cs="Lucida Sans Unicode"/>
          <w:bCs/>
          <w:sz w:val="20"/>
          <w:szCs w:val="20"/>
          <w:lang w:eastAsia="en-US"/>
        </w:rPr>
        <w:t xml:space="preserve"> </w:t>
      </w:r>
      <w:r w:rsidRPr="00D941D1">
        <w:rPr>
          <w:rFonts w:cs="Lucida Sans Unicode"/>
          <w:bCs/>
          <w:sz w:val="20"/>
          <w:szCs w:val="20"/>
          <w:lang w:eastAsia="en-US"/>
        </w:rPr>
        <w:t>wie im Vorjahr</w:t>
      </w:r>
      <w:r w:rsidR="00481E50">
        <w:rPr>
          <w:rFonts w:cs="Lucida Sans Unicode"/>
          <w:bCs/>
          <w:sz w:val="20"/>
          <w:szCs w:val="20"/>
          <w:lang w:eastAsia="en-US"/>
        </w:rPr>
        <w:t>esquartal</w:t>
      </w:r>
      <w:r w:rsidR="002A551A">
        <w:rPr>
          <w:rFonts w:cs="Lucida Sans Unicode"/>
          <w:bCs/>
          <w:sz w:val="20"/>
          <w:szCs w:val="20"/>
          <w:lang w:eastAsia="en-US"/>
        </w:rPr>
        <w:t>,</w:t>
      </w:r>
      <w:r w:rsidR="00204CFD">
        <w:rPr>
          <w:rFonts w:cs="Lucida Sans Unicode"/>
          <w:bCs/>
          <w:sz w:val="20"/>
          <w:szCs w:val="20"/>
          <w:lang w:eastAsia="en-US"/>
        </w:rPr>
        <w:t xml:space="preserve"> </w:t>
      </w:r>
      <w:r w:rsidRPr="00D941D1">
        <w:rPr>
          <w:rFonts w:cs="Lucida Sans Unicode"/>
          <w:bCs/>
          <w:sz w:val="20"/>
          <w:szCs w:val="20"/>
          <w:lang w:eastAsia="en-US"/>
        </w:rPr>
        <w:t>20 Millionen</w:t>
      </w:r>
      <w:r w:rsidR="002A551A">
        <w:rPr>
          <w:rFonts w:cs="Lucida Sans Unicode"/>
          <w:bCs/>
          <w:sz w:val="20"/>
          <w:szCs w:val="20"/>
          <w:lang w:eastAsia="en-US"/>
        </w:rPr>
        <w:t xml:space="preserve"> </w:t>
      </w:r>
      <w:r w:rsidRPr="00D941D1">
        <w:rPr>
          <w:rFonts w:cs="Lucida Sans Unicode"/>
          <w:bCs/>
          <w:sz w:val="20"/>
          <w:szCs w:val="20"/>
          <w:lang w:eastAsia="en-US"/>
        </w:rPr>
        <w:t>€ und betraf ganz überwiegend das Segment Real Estate.</w:t>
      </w:r>
    </w:p>
    <w:p w:rsidR="00A02C86" w:rsidRPr="00B13E9A" w:rsidRDefault="00A02C86" w:rsidP="00A02C86">
      <w:pPr>
        <w:rPr>
          <w:bCs/>
          <w:lang w:eastAsia="en-US"/>
        </w:rPr>
      </w:pPr>
    </w:p>
    <w:p w:rsidR="00A02C86" w:rsidRPr="00D941D1" w:rsidRDefault="00A02C86" w:rsidP="00D941D1">
      <w:pPr>
        <w:spacing w:line="300" w:lineRule="atLeast"/>
        <w:rPr>
          <w:rFonts w:cs="Lucida Sans Unicode"/>
          <w:bCs/>
          <w:sz w:val="20"/>
          <w:szCs w:val="20"/>
        </w:rPr>
      </w:pPr>
      <w:r w:rsidRPr="00D941D1">
        <w:rPr>
          <w:rFonts w:cs="Lucida Sans Unicode"/>
          <w:bCs/>
          <w:sz w:val="20"/>
          <w:szCs w:val="20"/>
        </w:rPr>
        <w:lastRenderedPageBreak/>
        <w:t xml:space="preserve">Das </w:t>
      </w:r>
      <w:r w:rsidRPr="00D941D1">
        <w:rPr>
          <w:rFonts w:cs="Lucida Sans Unicode"/>
          <w:b/>
          <w:sz w:val="20"/>
          <w:szCs w:val="20"/>
        </w:rPr>
        <w:t>Konzernergebnis</w:t>
      </w:r>
      <w:r w:rsidRPr="00D941D1">
        <w:rPr>
          <w:rFonts w:cs="Lucida Sans Unicode"/>
          <w:bCs/>
          <w:sz w:val="20"/>
          <w:szCs w:val="20"/>
        </w:rPr>
        <w:t xml:space="preserve"> stieg um 7 Prozent auf 289 Millionen € (Vorjahr</w:t>
      </w:r>
      <w:r w:rsidR="002A551A">
        <w:rPr>
          <w:rFonts w:cs="Lucida Sans Unicode"/>
          <w:bCs/>
          <w:sz w:val="20"/>
          <w:szCs w:val="20"/>
        </w:rPr>
        <w:t>esquartal</w:t>
      </w:r>
      <w:r w:rsidRPr="00D941D1">
        <w:rPr>
          <w:rFonts w:cs="Lucida Sans Unicode"/>
          <w:bCs/>
          <w:sz w:val="20"/>
          <w:szCs w:val="20"/>
        </w:rPr>
        <w:t xml:space="preserve">: 269 Millionen €). Das </w:t>
      </w:r>
      <w:r w:rsidRPr="00D941D1">
        <w:rPr>
          <w:rFonts w:cs="Lucida Sans Unicode"/>
          <w:b/>
          <w:bCs/>
          <w:sz w:val="20"/>
          <w:szCs w:val="20"/>
        </w:rPr>
        <w:t>Ergebnis je Aktie</w:t>
      </w:r>
      <w:r w:rsidRPr="00D941D1">
        <w:rPr>
          <w:rFonts w:cs="Lucida Sans Unicode"/>
          <w:bCs/>
          <w:sz w:val="20"/>
          <w:szCs w:val="20"/>
        </w:rPr>
        <w:t xml:space="preserve"> verbesserte sich von 0,58 € auf 0,62 €. </w:t>
      </w:r>
    </w:p>
    <w:p w:rsidR="00A02C86" w:rsidRPr="00D941D1" w:rsidRDefault="00A02C86" w:rsidP="00D941D1">
      <w:pPr>
        <w:spacing w:line="300" w:lineRule="atLeast"/>
        <w:rPr>
          <w:rFonts w:cs="Lucida Sans Unicode"/>
          <w:bCs/>
          <w:sz w:val="20"/>
          <w:szCs w:val="20"/>
        </w:rPr>
      </w:pPr>
    </w:p>
    <w:p w:rsidR="00A02C86" w:rsidRPr="00D941D1" w:rsidRDefault="00A02C86" w:rsidP="00D941D1">
      <w:pPr>
        <w:spacing w:line="300" w:lineRule="atLeast"/>
        <w:rPr>
          <w:rFonts w:cs="Lucida Sans Unicode"/>
          <w:bCs/>
          <w:sz w:val="20"/>
          <w:szCs w:val="20"/>
        </w:rPr>
      </w:pPr>
      <w:r w:rsidRPr="00D941D1">
        <w:rPr>
          <w:rFonts w:cs="Lucida Sans Unicode"/>
          <w:bCs/>
          <w:sz w:val="20"/>
          <w:szCs w:val="20"/>
        </w:rPr>
        <w:t xml:space="preserve">Der </w:t>
      </w:r>
      <w:r w:rsidRPr="00D941D1">
        <w:rPr>
          <w:rFonts w:cs="Lucida Sans Unicode"/>
          <w:b/>
          <w:sz w:val="20"/>
          <w:szCs w:val="20"/>
        </w:rPr>
        <w:t>Cashflow aus laufender Geschäftstä</w:t>
      </w:r>
      <w:r w:rsidRPr="00D941D1">
        <w:rPr>
          <w:rFonts w:cs="Lucida Sans Unicode"/>
          <w:b/>
          <w:sz w:val="20"/>
          <w:szCs w:val="20"/>
        </w:rPr>
        <w:softHyphen/>
        <w:t>tigkeit der fortgeführten Aktivitäten</w:t>
      </w:r>
      <w:r w:rsidRPr="00D941D1">
        <w:rPr>
          <w:rFonts w:cs="Lucida Sans Unicode"/>
          <w:bCs/>
          <w:sz w:val="20"/>
          <w:szCs w:val="20"/>
        </w:rPr>
        <w:t xml:space="preserve"> ging im ersten Quartal 2013 um 172 Millionen € auf 192 Millionen € zurück. Ursache hierfür sind das geringere Ergebnis vor Abschreibungen, Finanzergebnis und Steuern sowie der Anstieg des Nettoumlaufvermögens auch im Zusammenhang mit bevorstehenden Revisionen von Produktionsanlagen. Einschließlich des Cashflow der nicht fortgeführten Aktivitäten ging der </w:t>
      </w:r>
      <w:r w:rsidRPr="00D941D1">
        <w:rPr>
          <w:rFonts w:cs="Lucida Sans Unicode"/>
          <w:b/>
          <w:bCs/>
          <w:sz w:val="20"/>
          <w:szCs w:val="20"/>
        </w:rPr>
        <w:t>Cashflow aus laufender Geschäftstätigkeit</w:t>
      </w:r>
      <w:r w:rsidRPr="00D941D1">
        <w:rPr>
          <w:rFonts w:cs="Lucida Sans Unicode"/>
          <w:bCs/>
          <w:sz w:val="20"/>
          <w:szCs w:val="20"/>
        </w:rPr>
        <w:t xml:space="preserve"> um 170 Millionen € auf 213 Millionen € zurück.</w:t>
      </w:r>
    </w:p>
    <w:p w:rsidR="00A02C86" w:rsidRPr="00B13E9A" w:rsidRDefault="00A02C86" w:rsidP="00A02C86">
      <w:pPr>
        <w:rPr>
          <w:bCs/>
        </w:rPr>
      </w:pPr>
    </w:p>
    <w:p w:rsidR="00A02C86" w:rsidRPr="00D941D1" w:rsidRDefault="00A02C86" w:rsidP="00D941D1">
      <w:pPr>
        <w:spacing w:line="300" w:lineRule="exact"/>
        <w:rPr>
          <w:rFonts w:cs="Lucida Sans Unicode"/>
          <w:bCs/>
          <w:sz w:val="20"/>
          <w:szCs w:val="20"/>
        </w:rPr>
      </w:pPr>
      <w:r w:rsidRPr="00D941D1">
        <w:rPr>
          <w:rFonts w:cs="Lucida Sans Unicode"/>
          <w:bCs/>
          <w:sz w:val="20"/>
          <w:szCs w:val="20"/>
        </w:rPr>
        <w:t xml:space="preserve">Die </w:t>
      </w:r>
      <w:r w:rsidRPr="00D941D1">
        <w:rPr>
          <w:rFonts w:cs="Lucida Sans Unicode"/>
          <w:b/>
          <w:sz w:val="20"/>
          <w:szCs w:val="20"/>
        </w:rPr>
        <w:t>Sachinvestitionen</w:t>
      </w:r>
      <w:r w:rsidRPr="00D941D1">
        <w:rPr>
          <w:rFonts w:cs="Lucida Sans Unicode"/>
          <w:bCs/>
          <w:sz w:val="20"/>
          <w:szCs w:val="20"/>
        </w:rPr>
        <w:t xml:space="preserve"> erhöhten sich entsprechend des ehrgeizigen Investitionsprogramms  um 14 Prozent auf 183 Millionen € (Vorjahr</w:t>
      </w:r>
      <w:r w:rsidR="002A551A">
        <w:rPr>
          <w:rFonts w:cs="Lucida Sans Unicode"/>
          <w:bCs/>
          <w:sz w:val="20"/>
          <w:szCs w:val="20"/>
        </w:rPr>
        <w:t>esquartal</w:t>
      </w:r>
      <w:r w:rsidRPr="00D941D1">
        <w:rPr>
          <w:rFonts w:cs="Lucida Sans Unicode"/>
          <w:bCs/>
          <w:sz w:val="20"/>
          <w:szCs w:val="20"/>
        </w:rPr>
        <w:t xml:space="preserve">: 161 Millionen €). 33 Prozent der Sachinvestitionen entfielen auf das Segment Consumer, </w:t>
      </w:r>
      <w:proofErr w:type="spellStart"/>
      <w:r w:rsidRPr="00D941D1">
        <w:rPr>
          <w:rFonts w:cs="Lucida Sans Unicode"/>
          <w:bCs/>
          <w:sz w:val="20"/>
          <w:szCs w:val="20"/>
        </w:rPr>
        <w:t>Health</w:t>
      </w:r>
      <w:proofErr w:type="spellEnd"/>
      <w:r w:rsidRPr="00D941D1">
        <w:rPr>
          <w:rFonts w:cs="Lucida Sans Unicode"/>
          <w:bCs/>
          <w:sz w:val="20"/>
          <w:szCs w:val="20"/>
        </w:rPr>
        <w:t xml:space="preserve"> &amp; Nutrition, 27 Prozent auf das Segment Specialty Materials und 20 Prozent auf das Segment </w:t>
      </w:r>
      <w:proofErr w:type="spellStart"/>
      <w:r w:rsidRPr="00D941D1">
        <w:rPr>
          <w:rFonts w:cs="Lucida Sans Unicode"/>
          <w:bCs/>
          <w:sz w:val="20"/>
          <w:szCs w:val="20"/>
        </w:rPr>
        <w:t>Resource</w:t>
      </w:r>
      <w:proofErr w:type="spellEnd"/>
      <w:r w:rsidRPr="00D941D1">
        <w:rPr>
          <w:rFonts w:cs="Lucida Sans Unicode"/>
          <w:bCs/>
          <w:sz w:val="20"/>
          <w:szCs w:val="20"/>
        </w:rPr>
        <w:t xml:space="preserve"> Efficiency. </w:t>
      </w:r>
    </w:p>
    <w:p w:rsidR="00A02C86" w:rsidRPr="00D941D1" w:rsidRDefault="00A02C86" w:rsidP="00D941D1">
      <w:pPr>
        <w:spacing w:line="300" w:lineRule="exact"/>
        <w:rPr>
          <w:rFonts w:cs="Lucida Sans Unicode"/>
          <w:bCs/>
          <w:sz w:val="20"/>
          <w:szCs w:val="20"/>
        </w:rPr>
      </w:pPr>
    </w:p>
    <w:p w:rsidR="00A02C86" w:rsidRDefault="00A02C86" w:rsidP="00D941D1">
      <w:pPr>
        <w:spacing w:line="300" w:lineRule="exact"/>
        <w:rPr>
          <w:rFonts w:cs="Lucida Sans Unicode"/>
          <w:bCs/>
          <w:sz w:val="20"/>
          <w:szCs w:val="20"/>
        </w:rPr>
      </w:pPr>
      <w:r w:rsidRPr="00D941D1">
        <w:rPr>
          <w:rFonts w:cs="Lucida Sans Unicode"/>
          <w:bCs/>
          <w:sz w:val="20"/>
          <w:szCs w:val="20"/>
        </w:rPr>
        <w:t xml:space="preserve">Die </w:t>
      </w:r>
      <w:r w:rsidRPr="00D941D1">
        <w:rPr>
          <w:rFonts w:cs="Lucida Sans Unicode"/>
          <w:b/>
          <w:sz w:val="20"/>
          <w:szCs w:val="20"/>
        </w:rPr>
        <w:t>Nettofinanzverschuldung</w:t>
      </w:r>
      <w:r w:rsidRPr="00D941D1">
        <w:rPr>
          <w:rFonts w:cs="Lucida Sans Unicode"/>
          <w:bCs/>
          <w:sz w:val="20"/>
          <w:szCs w:val="20"/>
        </w:rPr>
        <w:t xml:space="preserve"> lag Ende März 2013 mit 1.137 Millionen € leicht unter dem Wert vom Jahresende 2012 (1.163 Millionen €). Hierbei wirkten sich gegenläufige Effekte aus: Zum einen die </w:t>
      </w:r>
      <w:proofErr w:type="spellStart"/>
      <w:r w:rsidRPr="00D941D1">
        <w:rPr>
          <w:rFonts w:cs="Lucida Sans Unicode"/>
          <w:bCs/>
          <w:sz w:val="20"/>
          <w:szCs w:val="20"/>
        </w:rPr>
        <w:t>Umgliederung</w:t>
      </w:r>
      <w:proofErr w:type="spellEnd"/>
      <w:r w:rsidRPr="00D941D1">
        <w:rPr>
          <w:rFonts w:cs="Lucida Sans Unicode"/>
          <w:bCs/>
          <w:sz w:val="20"/>
          <w:szCs w:val="20"/>
        </w:rPr>
        <w:t xml:space="preserve"> des Segments Real Estate in die nicht fortgeführten Aktivitäten und zum anderen die </w:t>
      </w:r>
      <w:r w:rsidR="00204CFD">
        <w:rPr>
          <w:rFonts w:cs="Lucida Sans Unicode"/>
          <w:bCs/>
          <w:sz w:val="20"/>
          <w:szCs w:val="20"/>
        </w:rPr>
        <w:t xml:space="preserve">im März 2013 erfolgte </w:t>
      </w:r>
      <w:r w:rsidRPr="00D941D1">
        <w:rPr>
          <w:rFonts w:cs="Lucida Sans Unicode"/>
          <w:bCs/>
          <w:sz w:val="20"/>
          <w:szCs w:val="20"/>
        </w:rPr>
        <w:t>Zahlung der Dividende in Höhe von 429 Millionen € für das Geschäftsjahr 2012. Im Vorjahr wurde die Dividende für das Geschäftsjahr 2011 erst im zweiten Quartal 2012 ausgeschüttet.</w:t>
      </w:r>
    </w:p>
    <w:p w:rsidR="00D941D1" w:rsidRDefault="00D941D1" w:rsidP="00D941D1">
      <w:pPr>
        <w:spacing w:line="300" w:lineRule="exact"/>
        <w:rPr>
          <w:rFonts w:cs="Lucida Sans Unicode"/>
          <w:bCs/>
          <w:sz w:val="20"/>
          <w:szCs w:val="20"/>
        </w:rPr>
      </w:pPr>
    </w:p>
    <w:p w:rsidR="00D941D1" w:rsidRPr="00D941D1" w:rsidRDefault="00D941D1" w:rsidP="00D941D1">
      <w:pPr>
        <w:spacing w:line="300" w:lineRule="exact"/>
        <w:rPr>
          <w:rFonts w:cs="Lucida Sans Unicode"/>
          <w:b/>
          <w:bCs/>
          <w:sz w:val="20"/>
          <w:szCs w:val="20"/>
        </w:rPr>
      </w:pPr>
      <w:r w:rsidRPr="00D941D1">
        <w:rPr>
          <w:rFonts w:cs="Lucida Sans Unicode"/>
          <w:b/>
          <w:bCs/>
          <w:sz w:val="20"/>
          <w:szCs w:val="20"/>
        </w:rPr>
        <w:t>Börsen</w:t>
      </w:r>
      <w:r w:rsidR="002A551A">
        <w:rPr>
          <w:rFonts w:cs="Lucida Sans Unicode"/>
          <w:b/>
          <w:bCs/>
          <w:sz w:val="20"/>
          <w:szCs w:val="20"/>
        </w:rPr>
        <w:t>notierung</w:t>
      </w:r>
      <w:r w:rsidRPr="00D941D1">
        <w:rPr>
          <w:rFonts w:cs="Lucida Sans Unicode"/>
          <w:b/>
          <w:bCs/>
          <w:sz w:val="20"/>
          <w:szCs w:val="20"/>
        </w:rPr>
        <w:t xml:space="preserve"> erfolgt</w:t>
      </w:r>
    </w:p>
    <w:p w:rsidR="00D941D1" w:rsidRDefault="00D941D1" w:rsidP="00D941D1">
      <w:pPr>
        <w:spacing w:line="300" w:lineRule="exact"/>
        <w:rPr>
          <w:rFonts w:cs="Lucida Sans Unicode"/>
          <w:bCs/>
          <w:sz w:val="20"/>
          <w:szCs w:val="20"/>
        </w:rPr>
      </w:pPr>
    </w:p>
    <w:p w:rsidR="00A02C86" w:rsidRPr="00D941D1" w:rsidRDefault="00D941D1" w:rsidP="00D941D1">
      <w:pPr>
        <w:spacing w:line="300" w:lineRule="exact"/>
        <w:rPr>
          <w:rFonts w:cs="Lucida Sans Unicode"/>
          <w:bCs/>
          <w:sz w:val="20"/>
          <w:szCs w:val="20"/>
        </w:rPr>
      </w:pPr>
      <w:r w:rsidRPr="00D941D1">
        <w:rPr>
          <w:rFonts w:cs="Lucida Sans Unicode"/>
          <w:bCs/>
          <w:sz w:val="20"/>
          <w:szCs w:val="20"/>
        </w:rPr>
        <w:t xml:space="preserve">Zu Beginn </w:t>
      </w:r>
      <w:r w:rsidR="00A02C86" w:rsidRPr="00D941D1">
        <w:rPr>
          <w:rFonts w:cs="Lucida Sans Unicode"/>
          <w:bCs/>
          <w:sz w:val="20"/>
          <w:szCs w:val="20"/>
        </w:rPr>
        <w:t xml:space="preserve">des Jahres 2013 haben die beiden bisherigen Alleineigentümer der Evonik Industries AG, die RAG-Stiftung sowie von CVC Capital Partners beratene Fonds, im Zuge der Vorbereitungen auf die Börsennotierung der Evonik Industries AG einen Teil ihrer Aktien in Privatplatzierungen an in- und ausländische institutionelle Investoren veräußert. Die Evonik-Aktie wurde am 24. April 2013 im regulierten Markt an den Wertpapierbörsen in Frankfurt am Main und in Luxemburg zum Handel zugelassen. Die Erstnotiz erfolgte am 25. April 2013. Insgesamt wurden </w:t>
      </w:r>
      <w:r w:rsidR="002A551A">
        <w:rPr>
          <w:rFonts w:cs="Lucida Sans Unicode"/>
          <w:bCs/>
          <w:sz w:val="20"/>
          <w:szCs w:val="20"/>
        </w:rPr>
        <w:t>bereits vor der</w:t>
      </w:r>
      <w:r w:rsidR="00A02C86" w:rsidRPr="00D941D1">
        <w:rPr>
          <w:rFonts w:cs="Lucida Sans Unicode"/>
          <w:bCs/>
          <w:sz w:val="20"/>
          <w:szCs w:val="20"/>
        </w:rPr>
        <w:t xml:space="preserve"> Handelsaufnahme ca. 14,5 Prozent des Grundkapitals </w:t>
      </w:r>
      <w:r w:rsidR="002A551A">
        <w:rPr>
          <w:rFonts w:cs="Lucida Sans Unicode"/>
          <w:bCs/>
          <w:sz w:val="20"/>
          <w:szCs w:val="20"/>
        </w:rPr>
        <w:t>platziert</w:t>
      </w:r>
      <w:r w:rsidR="00A02C86" w:rsidRPr="00D941D1">
        <w:rPr>
          <w:rFonts w:cs="Lucida Sans Unicode"/>
          <w:bCs/>
          <w:sz w:val="20"/>
          <w:szCs w:val="20"/>
        </w:rPr>
        <w:t xml:space="preserve">. </w:t>
      </w:r>
    </w:p>
    <w:p w:rsidR="00A02C86" w:rsidRPr="00D941D1" w:rsidRDefault="00A02C86" w:rsidP="00D941D1">
      <w:pPr>
        <w:spacing w:line="300" w:lineRule="exact"/>
        <w:rPr>
          <w:rFonts w:cs="Lucida Sans Unicode"/>
          <w:bCs/>
          <w:sz w:val="20"/>
          <w:szCs w:val="20"/>
        </w:rPr>
      </w:pPr>
      <w:r w:rsidRPr="00D941D1">
        <w:rPr>
          <w:rFonts w:cs="Lucida Sans Unicode"/>
          <w:bCs/>
          <w:sz w:val="20"/>
          <w:szCs w:val="20"/>
        </w:rPr>
        <w:lastRenderedPageBreak/>
        <w:t xml:space="preserve"> </w:t>
      </w:r>
    </w:p>
    <w:p w:rsidR="00A02C86" w:rsidRPr="00D941D1" w:rsidRDefault="00A02C86" w:rsidP="00D941D1">
      <w:pPr>
        <w:spacing w:line="300" w:lineRule="exact"/>
        <w:rPr>
          <w:b/>
          <w:sz w:val="20"/>
          <w:szCs w:val="20"/>
        </w:rPr>
      </w:pPr>
      <w:r w:rsidRPr="00D941D1">
        <w:rPr>
          <w:b/>
          <w:sz w:val="20"/>
          <w:szCs w:val="20"/>
        </w:rPr>
        <w:t>Entwicklung in den Segmenten im 1. Quartal 2013</w:t>
      </w:r>
    </w:p>
    <w:p w:rsidR="00A02C86" w:rsidRPr="00B13E9A" w:rsidRDefault="00A02C86" w:rsidP="00A02C86">
      <w:pPr>
        <w:rPr>
          <w:bCs/>
        </w:rPr>
      </w:pPr>
    </w:p>
    <w:p w:rsidR="00D941D1" w:rsidRDefault="00D941D1" w:rsidP="00D941D1">
      <w:pPr>
        <w:spacing w:line="300" w:lineRule="exact"/>
        <w:rPr>
          <w:rFonts w:cs="Lucida Sans Unicode"/>
          <w:b/>
          <w:sz w:val="20"/>
          <w:szCs w:val="20"/>
        </w:rPr>
      </w:pPr>
    </w:p>
    <w:p w:rsidR="00A02C86" w:rsidRPr="00D941D1" w:rsidRDefault="00A02C86" w:rsidP="00D941D1">
      <w:pPr>
        <w:keepNext/>
        <w:keepLines/>
        <w:spacing w:line="300" w:lineRule="exact"/>
        <w:rPr>
          <w:rFonts w:cs="Lucida Sans Unicode"/>
          <w:b/>
          <w:sz w:val="20"/>
          <w:szCs w:val="20"/>
        </w:rPr>
      </w:pPr>
      <w:r w:rsidRPr="00D941D1">
        <w:rPr>
          <w:rFonts w:cs="Lucida Sans Unicode"/>
          <w:b/>
          <w:sz w:val="20"/>
          <w:szCs w:val="20"/>
        </w:rPr>
        <w:t xml:space="preserve">Consumer, </w:t>
      </w:r>
      <w:proofErr w:type="spellStart"/>
      <w:r w:rsidRPr="00D941D1">
        <w:rPr>
          <w:rFonts w:cs="Lucida Sans Unicode"/>
          <w:b/>
          <w:sz w:val="20"/>
          <w:szCs w:val="20"/>
        </w:rPr>
        <w:t>Health</w:t>
      </w:r>
      <w:proofErr w:type="spellEnd"/>
      <w:r w:rsidRPr="00D941D1">
        <w:rPr>
          <w:rFonts w:cs="Lucida Sans Unicode"/>
          <w:b/>
          <w:sz w:val="20"/>
          <w:szCs w:val="20"/>
        </w:rPr>
        <w:t xml:space="preserve"> &amp; Nutrition</w:t>
      </w:r>
    </w:p>
    <w:p w:rsidR="00A02C86" w:rsidRPr="00D941D1" w:rsidRDefault="00A02C86" w:rsidP="00D941D1">
      <w:pPr>
        <w:spacing w:line="300" w:lineRule="exact"/>
        <w:ind w:left="142"/>
        <w:rPr>
          <w:rFonts w:cs="Lucida Sans Unicode"/>
          <w:bCs/>
          <w:sz w:val="20"/>
          <w:szCs w:val="20"/>
        </w:rPr>
      </w:pPr>
    </w:p>
    <w:p w:rsidR="00A02C86" w:rsidRDefault="00A02C86" w:rsidP="002F5039">
      <w:pPr>
        <w:pStyle w:val="ErsteZeile"/>
      </w:pPr>
      <w:r w:rsidRPr="00D941D1">
        <w:t xml:space="preserve">Das Segment Consumer, </w:t>
      </w:r>
      <w:proofErr w:type="spellStart"/>
      <w:r w:rsidRPr="00D941D1">
        <w:t>Health</w:t>
      </w:r>
      <w:proofErr w:type="spellEnd"/>
      <w:r w:rsidRPr="00D941D1">
        <w:t xml:space="preserve"> &amp; Nutrition produziert schwerpunktmäßig für Anwendungen in Konsumgütern, in der Tierernährung und im Bereich </w:t>
      </w:r>
      <w:proofErr w:type="spellStart"/>
      <w:r w:rsidRPr="00D941D1">
        <w:t>Healthcare</w:t>
      </w:r>
      <w:proofErr w:type="spellEnd"/>
      <w:r w:rsidRPr="00D941D1">
        <w:t xml:space="preserve">. Es umfasst die Geschäftsbereiche Consumer </w:t>
      </w:r>
      <w:proofErr w:type="spellStart"/>
      <w:r w:rsidRPr="00D941D1">
        <w:t>Specialties</w:t>
      </w:r>
      <w:proofErr w:type="spellEnd"/>
      <w:r w:rsidRPr="00D941D1">
        <w:t xml:space="preserve"> sowie </w:t>
      </w:r>
      <w:proofErr w:type="spellStart"/>
      <w:r w:rsidRPr="00D941D1">
        <w:t>Health</w:t>
      </w:r>
      <w:proofErr w:type="spellEnd"/>
      <w:r w:rsidRPr="00D941D1">
        <w:t xml:space="preserve"> &amp; Nutrition.</w:t>
      </w:r>
    </w:p>
    <w:p w:rsidR="002F5039" w:rsidRDefault="002F5039" w:rsidP="002F5039">
      <w:pPr>
        <w:rPr>
          <w:lang w:eastAsia="en-US"/>
        </w:rPr>
      </w:pPr>
    </w:p>
    <w:p w:rsidR="00A02C86" w:rsidRDefault="002F5039" w:rsidP="002F5039">
      <w:pPr>
        <w:spacing w:line="300" w:lineRule="exact"/>
        <w:rPr>
          <w:rFonts w:cs="Lucida Sans Unicode"/>
          <w:bCs/>
          <w:position w:val="0"/>
          <w:sz w:val="20"/>
          <w:szCs w:val="20"/>
          <w:lang w:eastAsia="en-US"/>
        </w:rPr>
      </w:pPr>
      <w:r w:rsidRPr="002F5039">
        <w:rPr>
          <w:rFonts w:cs="Lucida Sans Unicode"/>
          <w:bCs/>
          <w:position w:val="0"/>
          <w:sz w:val="20"/>
          <w:szCs w:val="20"/>
          <w:lang w:eastAsia="en-US"/>
        </w:rPr>
        <w:t xml:space="preserve">Der </w:t>
      </w:r>
      <w:r w:rsidRPr="00801C4B">
        <w:rPr>
          <w:rFonts w:cs="Lucida Sans Unicode"/>
          <w:b/>
          <w:bCs/>
          <w:position w:val="0"/>
          <w:sz w:val="20"/>
          <w:szCs w:val="20"/>
          <w:lang w:eastAsia="en-US"/>
        </w:rPr>
        <w:t>Umsatz</w:t>
      </w:r>
      <w:r w:rsidRPr="002F5039">
        <w:rPr>
          <w:rFonts w:cs="Lucida Sans Unicode"/>
          <w:bCs/>
          <w:position w:val="0"/>
          <w:sz w:val="20"/>
          <w:szCs w:val="20"/>
          <w:lang w:eastAsia="en-US"/>
        </w:rPr>
        <w:t xml:space="preserve"> </w:t>
      </w:r>
      <w:r w:rsidR="00A02C86" w:rsidRPr="002F5039">
        <w:rPr>
          <w:rFonts w:cs="Lucida Sans Unicode"/>
          <w:bCs/>
          <w:position w:val="0"/>
          <w:sz w:val="20"/>
          <w:szCs w:val="20"/>
          <w:lang w:eastAsia="en-US"/>
        </w:rPr>
        <w:t>verringerte sich um 2 Prozent auf 1.035 Millionen € (Vorjahr</w:t>
      </w:r>
      <w:r w:rsidR="002A551A">
        <w:rPr>
          <w:rFonts w:cs="Lucida Sans Unicode"/>
          <w:bCs/>
          <w:position w:val="0"/>
          <w:sz w:val="20"/>
          <w:szCs w:val="20"/>
          <w:lang w:eastAsia="en-US"/>
        </w:rPr>
        <w:t>esquartal</w:t>
      </w:r>
      <w:r w:rsidR="00A02C86" w:rsidRPr="002F5039">
        <w:rPr>
          <w:rFonts w:cs="Lucida Sans Unicode"/>
          <w:bCs/>
          <w:position w:val="0"/>
          <w:sz w:val="20"/>
          <w:szCs w:val="20"/>
          <w:lang w:eastAsia="en-US"/>
        </w:rPr>
        <w:t xml:space="preserve">: 1.055 Millionen €). Dies resultiert maßgeblich aus einem organischen Umsatzrückgang, zu dem geringere Verkaufspreise bei leicht höheren Mengen beitrugen. Die operativen Ergebnisse blieben vor allem aufgrund der nachgebenden Preise unter den sehr guten </w:t>
      </w:r>
      <w:r w:rsidR="002A551A">
        <w:rPr>
          <w:rFonts w:cs="Lucida Sans Unicode"/>
          <w:bCs/>
          <w:position w:val="0"/>
          <w:sz w:val="20"/>
          <w:szCs w:val="20"/>
          <w:lang w:eastAsia="en-US"/>
        </w:rPr>
        <w:t>Werten des Vorjahresquartals</w:t>
      </w:r>
      <w:r w:rsidR="00A02C86" w:rsidRPr="002F5039">
        <w:rPr>
          <w:rFonts w:cs="Lucida Sans Unicode"/>
          <w:bCs/>
          <w:position w:val="0"/>
          <w:sz w:val="20"/>
          <w:szCs w:val="20"/>
          <w:lang w:eastAsia="en-US"/>
        </w:rPr>
        <w:t xml:space="preserve">. Das bereinigte </w:t>
      </w:r>
      <w:r w:rsidR="00A02C86" w:rsidRPr="00801C4B">
        <w:rPr>
          <w:rFonts w:cs="Lucida Sans Unicode"/>
          <w:b/>
          <w:bCs/>
          <w:position w:val="0"/>
          <w:sz w:val="20"/>
          <w:szCs w:val="20"/>
          <w:lang w:eastAsia="en-US"/>
        </w:rPr>
        <w:t>EBITDA</w:t>
      </w:r>
      <w:r w:rsidR="00A02C86" w:rsidRPr="002F5039">
        <w:rPr>
          <w:rFonts w:cs="Lucida Sans Unicode"/>
          <w:bCs/>
          <w:position w:val="0"/>
          <w:sz w:val="20"/>
          <w:szCs w:val="20"/>
          <w:lang w:eastAsia="en-US"/>
        </w:rPr>
        <w:t xml:space="preserve"> ging um 5 Prozent auf 274 Millionen € (Vor</w:t>
      </w:r>
      <w:r w:rsidR="005F4E6A">
        <w:rPr>
          <w:rFonts w:cs="Lucida Sans Unicode"/>
          <w:bCs/>
          <w:position w:val="0"/>
          <w:sz w:val="20"/>
          <w:szCs w:val="20"/>
          <w:lang w:eastAsia="en-US"/>
        </w:rPr>
        <w:t>jahresquartal</w:t>
      </w:r>
      <w:r w:rsidR="00A02C86" w:rsidRPr="002F5039">
        <w:rPr>
          <w:rFonts w:cs="Lucida Sans Unicode"/>
          <w:bCs/>
          <w:position w:val="0"/>
          <w:sz w:val="20"/>
          <w:szCs w:val="20"/>
          <w:lang w:eastAsia="en-US"/>
        </w:rPr>
        <w:t xml:space="preserve">: 287 Millionen €) und das bereinigte </w:t>
      </w:r>
      <w:r w:rsidR="00A02C86" w:rsidRPr="00801C4B">
        <w:rPr>
          <w:rFonts w:cs="Lucida Sans Unicode"/>
          <w:b/>
          <w:bCs/>
          <w:position w:val="0"/>
          <w:sz w:val="20"/>
          <w:szCs w:val="20"/>
          <w:lang w:eastAsia="en-US"/>
        </w:rPr>
        <w:t>EBIT</w:t>
      </w:r>
      <w:r w:rsidR="00A02C86" w:rsidRPr="002F5039">
        <w:rPr>
          <w:rFonts w:cs="Lucida Sans Unicode"/>
          <w:bCs/>
          <w:position w:val="0"/>
          <w:sz w:val="20"/>
          <w:szCs w:val="20"/>
          <w:lang w:eastAsia="en-US"/>
        </w:rPr>
        <w:t xml:space="preserve"> um 6 Prozent auf 240 Millionen € (Vorjahr</w:t>
      </w:r>
      <w:r w:rsidR="005F4E6A">
        <w:rPr>
          <w:rFonts w:cs="Lucida Sans Unicode"/>
          <w:bCs/>
          <w:position w:val="0"/>
          <w:sz w:val="20"/>
          <w:szCs w:val="20"/>
          <w:lang w:eastAsia="en-US"/>
        </w:rPr>
        <w:t>esquartal</w:t>
      </w:r>
      <w:r w:rsidR="00A02C86" w:rsidRPr="002F5039">
        <w:rPr>
          <w:rFonts w:cs="Lucida Sans Unicode"/>
          <w:bCs/>
          <w:position w:val="0"/>
          <w:sz w:val="20"/>
          <w:szCs w:val="20"/>
          <w:lang w:eastAsia="en-US"/>
        </w:rPr>
        <w:t xml:space="preserve">: 254 Millionen €) zurück. Die bereinigte </w:t>
      </w:r>
      <w:r w:rsidR="00A02C86" w:rsidRPr="00801C4B">
        <w:rPr>
          <w:rFonts w:cs="Lucida Sans Unicode"/>
          <w:b/>
          <w:bCs/>
          <w:position w:val="0"/>
          <w:sz w:val="20"/>
          <w:szCs w:val="20"/>
          <w:lang w:eastAsia="en-US"/>
        </w:rPr>
        <w:t>EBITDA-Marge</w:t>
      </w:r>
      <w:r w:rsidR="00A02C86" w:rsidRPr="002F5039">
        <w:rPr>
          <w:rFonts w:cs="Lucida Sans Unicode"/>
          <w:bCs/>
          <w:position w:val="0"/>
          <w:sz w:val="20"/>
          <w:szCs w:val="20"/>
          <w:lang w:eastAsia="en-US"/>
        </w:rPr>
        <w:t xml:space="preserve"> </w:t>
      </w:r>
      <w:r w:rsidR="00204CFD" w:rsidRPr="002F5039">
        <w:rPr>
          <w:rFonts w:cs="Lucida Sans Unicode"/>
          <w:bCs/>
          <w:position w:val="0"/>
          <w:sz w:val="20"/>
          <w:szCs w:val="20"/>
          <w:lang w:eastAsia="en-US"/>
        </w:rPr>
        <w:t>lag mit 26,5 Prozent weiterhin auf einem sehr guten Niveau (Vorjahr</w:t>
      </w:r>
      <w:r w:rsidR="005F4E6A">
        <w:rPr>
          <w:rFonts w:cs="Lucida Sans Unicode"/>
          <w:bCs/>
          <w:position w:val="0"/>
          <w:sz w:val="20"/>
          <w:szCs w:val="20"/>
          <w:lang w:eastAsia="en-US"/>
        </w:rPr>
        <w:t>esquartal</w:t>
      </w:r>
      <w:r w:rsidR="00204CFD" w:rsidRPr="002F5039">
        <w:rPr>
          <w:rFonts w:cs="Lucida Sans Unicode"/>
          <w:bCs/>
          <w:position w:val="0"/>
          <w:sz w:val="20"/>
          <w:szCs w:val="20"/>
          <w:lang w:eastAsia="en-US"/>
        </w:rPr>
        <w:t>: 27,2 Prozent)</w:t>
      </w:r>
      <w:r w:rsidR="00A02C86" w:rsidRPr="002F5039">
        <w:rPr>
          <w:rFonts w:cs="Lucida Sans Unicode"/>
          <w:bCs/>
          <w:position w:val="0"/>
          <w:sz w:val="20"/>
          <w:szCs w:val="20"/>
          <w:lang w:eastAsia="en-US"/>
        </w:rPr>
        <w:t>.</w:t>
      </w:r>
    </w:p>
    <w:p w:rsidR="002F5039" w:rsidRDefault="002F5039" w:rsidP="002F5039">
      <w:pPr>
        <w:spacing w:line="300" w:lineRule="exact"/>
        <w:rPr>
          <w:rFonts w:cs="Lucida Sans Unicode"/>
          <w:bCs/>
          <w:position w:val="0"/>
          <w:sz w:val="20"/>
          <w:szCs w:val="20"/>
          <w:lang w:eastAsia="en-US"/>
        </w:rPr>
      </w:pPr>
    </w:p>
    <w:p w:rsidR="002F5039" w:rsidRDefault="002F5039" w:rsidP="002F5039">
      <w:pPr>
        <w:spacing w:line="300" w:lineRule="exact"/>
        <w:rPr>
          <w:rFonts w:cs="Lucida Sans Unicode"/>
          <w:b/>
          <w:sz w:val="20"/>
          <w:szCs w:val="20"/>
        </w:rPr>
      </w:pPr>
      <w:proofErr w:type="spellStart"/>
      <w:r w:rsidRPr="002F5039">
        <w:rPr>
          <w:rFonts w:cs="Lucida Sans Unicode"/>
          <w:b/>
          <w:sz w:val="20"/>
          <w:szCs w:val="20"/>
        </w:rPr>
        <w:t>Resource</w:t>
      </w:r>
      <w:proofErr w:type="spellEnd"/>
      <w:r w:rsidRPr="002F5039">
        <w:rPr>
          <w:rFonts w:cs="Lucida Sans Unicode"/>
          <w:b/>
          <w:sz w:val="20"/>
          <w:szCs w:val="20"/>
        </w:rPr>
        <w:t xml:space="preserve"> Efficiency</w:t>
      </w:r>
    </w:p>
    <w:p w:rsidR="002F5039" w:rsidRPr="002F5039" w:rsidRDefault="002F5039" w:rsidP="002F5039">
      <w:pPr>
        <w:spacing w:line="300" w:lineRule="exact"/>
        <w:rPr>
          <w:rFonts w:cs="Lucida Sans Unicode"/>
          <w:b/>
          <w:sz w:val="20"/>
          <w:szCs w:val="20"/>
        </w:rPr>
      </w:pPr>
    </w:p>
    <w:p w:rsidR="00A02C86" w:rsidRDefault="00A02C86" w:rsidP="002F5039">
      <w:pPr>
        <w:spacing w:line="300" w:lineRule="exact"/>
        <w:rPr>
          <w:sz w:val="20"/>
          <w:szCs w:val="20"/>
        </w:rPr>
      </w:pPr>
      <w:r w:rsidRPr="002F5039">
        <w:rPr>
          <w:sz w:val="20"/>
          <w:szCs w:val="20"/>
        </w:rPr>
        <w:t xml:space="preserve">Das Segment </w:t>
      </w:r>
      <w:proofErr w:type="spellStart"/>
      <w:r w:rsidRPr="002F5039">
        <w:rPr>
          <w:sz w:val="20"/>
          <w:szCs w:val="20"/>
        </w:rPr>
        <w:t>Resource</w:t>
      </w:r>
      <w:proofErr w:type="spellEnd"/>
      <w:r w:rsidRPr="002F5039">
        <w:rPr>
          <w:sz w:val="20"/>
          <w:szCs w:val="20"/>
        </w:rPr>
        <w:t xml:space="preserve"> Efficiency bietet umweltfreundliche und energieeffiziente Systemlösungen. Ihm sind die beiden Geschäftsbereiche </w:t>
      </w:r>
      <w:proofErr w:type="spellStart"/>
      <w:r w:rsidRPr="002F5039">
        <w:rPr>
          <w:sz w:val="20"/>
          <w:szCs w:val="20"/>
        </w:rPr>
        <w:t>Inorganic</w:t>
      </w:r>
      <w:proofErr w:type="spellEnd"/>
      <w:r w:rsidRPr="002F5039">
        <w:rPr>
          <w:sz w:val="20"/>
          <w:szCs w:val="20"/>
        </w:rPr>
        <w:t xml:space="preserve"> Materials sowie </w:t>
      </w:r>
      <w:proofErr w:type="spellStart"/>
      <w:r w:rsidRPr="002F5039">
        <w:rPr>
          <w:sz w:val="20"/>
          <w:szCs w:val="20"/>
        </w:rPr>
        <w:t>Coatings</w:t>
      </w:r>
      <w:proofErr w:type="spellEnd"/>
      <w:r w:rsidRPr="002F5039">
        <w:rPr>
          <w:sz w:val="20"/>
          <w:szCs w:val="20"/>
        </w:rPr>
        <w:t xml:space="preserve"> &amp; Additives zugeordnet.</w:t>
      </w:r>
    </w:p>
    <w:p w:rsidR="00444979" w:rsidRDefault="00444979" w:rsidP="002F5039">
      <w:pPr>
        <w:spacing w:line="300" w:lineRule="exact"/>
        <w:rPr>
          <w:sz w:val="20"/>
          <w:szCs w:val="20"/>
        </w:rPr>
      </w:pPr>
    </w:p>
    <w:p w:rsidR="00A02C86" w:rsidRPr="00444979" w:rsidRDefault="00444979" w:rsidP="00444979">
      <w:pPr>
        <w:spacing w:line="300" w:lineRule="exact"/>
        <w:rPr>
          <w:sz w:val="20"/>
          <w:szCs w:val="20"/>
        </w:rPr>
      </w:pPr>
      <w:r>
        <w:rPr>
          <w:sz w:val="20"/>
          <w:szCs w:val="20"/>
        </w:rPr>
        <w:t xml:space="preserve">Der </w:t>
      </w:r>
      <w:r w:rsidRPr="00801C4B">
        <w:rPr>
          <w:b/>
          <w:sz w:val="20"/>
          <w:szCs w:val="20"/>
        </w:rPr>
        <w:t>Umsatz</w:t>
      </w:r>
      <w:r w:rsidR="00A02C86" w:rsidRPr="00444979">
        <w:rPr>
          <w:sz w:val="20"/>
          <w:szCs w:val="20"/>
        </w:rPr>
        <w:t xml:space="preserve"> nahm maßgeblich aufgrund des Ende April 2012 veräußerten </w:t>
      </w:r>
      <w:proofErr w:type="spellStart"/>
      <w:r w:rsidR="00A02C86" w:rsidRPr="00444979">
        <w:rPr>
          <w:sz w:val="20"/>
          <w:szCs w:val="20"/>
        </w:rPr>
        <w:t>Colorants</w:t>
      </w:r>
      <w:proofErr w:type="spellEnd"/>
      <w:r w:rsidR="00A02C86" w:rsidRPr="00444979">
        <w:rPr>
          <w:sz w:val="20"/>
          <w:szCs w:val="20"/>
        </w:rPr>
        <w:t>-Geschäfts um 6 Prozent auf 771 Millionen € ab (Vorjahr</w:t>
      </w:r>
      <w:r w:rsidR="005F4E6A" w:rsidRPr="00444979">
        <w:rPr>
          <w:sz w:val="20"/>
          <w:szCs w:val="20"/>
        </w:rPr>
        <w:t>esquartal</w:t>
      </w:r>
      <w:r w:rsidR="00A02C86" w:rsidRPr="00444979">
        <w:rPr>
          <w:sz w:val="20"/>
          <w:szCs w:val="20"/>
        </w:rPr>
        <w:t xml:space="preserve">: 818 Millionen €). Geringere Mengen führten zu einem leichten organischen Umsatzrückgang. Die operativen Ergebnisse erhöhten sich vor allem aufgrund </w:t>
      </w:r>
      <w:r w:rsidR="005F4E6A" w:rsidRPr="00444979">
        <w:rPr>
          <w:sz w:val="20"/>
          <w:szCs w:val="20"/>
        </w:rPr>
        <w:t xml:space="preserve">geringerer Fixkosten infolge der Stilllegung bzw. dem Verkauf von insgesamt zwei Produktionsanlagen im vierten Quartal 2012. </w:t>
      </w:r>
      <w:r w:rsidR="00A02C86" w:rsidRPr="00444979">
        <w:rPr>
          <w:sz w:val="20"/>
          <w:szCs w:val="20"/>
        </w:rPr>
        <w:t xml:space="preserve"> Das bereinigte </w:t>
      </w:r>
      <w:r w:rsidR="00A02C86" w:rsidRPr="00801C4B">
        <w:rPr>
          <w:b/>
          <w:sz w:val="20"/>
          <w:szCs w:val="20"/>
        </w:rPr>
        <w:t>EBITDA</w:t>
      </w:r>
      <w:r w:rsidR="00A02C86" w:rsidRPr="00444979">
        <w:rPr>
          <w:sz w:val="20"/>
          <w:szCs w:val="20"/>
        </w:rPr>
        <w:t xml:space="preserve"> </w:t>
      </w:r>
      <w:r w:rsidR="00204CFD" w:rsidRPr="00444979">
        <w:rPr>
          <w:sz w:val="20"/>
          <w:szCs w:val="20"/>
        </w:rPr>
        <w:t xml:space="preserve">stieg </w:t>
      </w:r>
      <w:r w:rsidR="00A02C86" w:rsidRPr="00444979">
        <w:rPr>
          <w:sz w:val="20"/>
          <w:szCs w:val="20"/>
        </w:rPr>
        <w:t>um 2 Prozent auf 172 Millionen € (Vorjahr</w:t>
      </w:r>
      <w:r w:rsidR="005F4E6A" w:rsidRPr="00444979">
        <w:rPr>
          <w:sz w:val="20"/>
          <w:szCs w:val="20"/>
        </w:rPr>
        <w:t>esquartal</w:t>
      </w:r>
      <w:r w:rsidR="00A02C86" w:rsidRPr="00444979">
        <w:rPr>
          <w:sz w:val="20"/>
          <w:szCs w:val="20"/>
        </w:rPr>
        <w:t xml:space="preserve">: 168 Millionen €) und das bereinigte </w:t>
      </w:r>
      <w:r w:rsidR="00A02C86" w:rsidRPr="00801C4B">
        <w:rPr>
          <w:b/>
          <w:sz w:val="20"/>
          <w:szCs w:val="20"/>
        </w:rPr>
        <w:t>EBIT</w:t>
      </w:r>
      <w:r w:rsidR="00A02C86" w:rsidRPr="00444979">
        <w:rPr>
          <w:sz w:val="20"/>
          <w:szCs w:val="20"/>
        </w:rPr>
        <w:t xml:space="preserve"> um 9 Prozent auf 143 Millionen € (Vorjahr</w:t>
      </w:r>
      <w:r w:rsidR="005F4E6A" w:rsidRPr="00444979">
        <w:rPr>
          <w:sz w:val="20"/>
          <w:szCs w:val="20"/>
        </w:rPr>
        <w:t>esquartal</w:t>
      </w:r>
      <w:r w:rsidR="00A02C86" w:rsidRPr="00444979">
        <w:rPr>
          <w:sz w:val="20"/>
          <w:szCs w:val="20"/>
        </w:rPr>
        <w:t xml:space="preserve">: 131 Millionen €). Die bereinigte </w:t>
      </w:r>
      <w:r w:rsidR="00A02C86" w:rsidRPr="00801C4B">
        <w:rPr>
          <w:b/>
          <w:sz w:val="20"/>
          <w:szCs w:val="20"/>
        </w:rPr>
        <w:t>EBITDA-Marge</w:t>
      </w:r>
      <w:r w:rsidR="00A02C86" w:rsidRPr="00444979">
        <w:rPr>
          <w:sz w:val="20"/>
          <w:szCs w:val="20"/>
        </w:rPr>
        <w:t xml:space="preserve"> verbesserte sich von 20,5 Prozent im Vorjahr</w:t>
      </w:r>
      <w:r w:rsidR="005F4E6A" w:rsidRPr="00444979">
        <w:rPr>
          <w:sz w:val="20"/>
          <w:szCs w:val="20"/>
        </w:rPr>
        <w:t>esquartal</w:t>
      </w:r>
      <w:r w:rsidR="00A02C86" w:rsidRPr="00444979">
        <w:rPr>
          <w:sz w:val="20"/>
          <w:szCs w:val="20"/>
        </w:rPr>
        <w:t xml:space="preserve"> auf 22,3 Prozent. </w:t>
      </w:r>
    </w:p>
    <w:p w:rsidR="00A02C86" w:rsidRPr="00B13E9A" w:rsidRDefault="00A02C86" w:rsidP="00A02C86">
      <w:pPr>
        <w:rPr>
          <w:bCs/>
        </w:rPr>
      </w:pPr>
    </w:p>
    <w:p w:rsidR="00444979" w:rsidRDefault="00444979">
      <w:pPr>
        <w:spacing w:line="240" w:lineRule="auto"/>
        <w:ind w:left="0" w:right="0"/>
        <w:rPr>
          <w:b/>
          <w:sz w:val="20"/>
          <w:szCs w:val="20"/>
        </w:rPr>
      </w:pPr>
      <w:r>
        <w:rPr>
          <w:b/>
          <w:sz w:val="20"/>
          <w:szCs w:val="20"/>
        </w:rPr>
        <w:br w:type="page"/>
      </w:r>
    </w:p>
    <w:p w:rsidR="00A02C86" w:rsidRPr="00D941D1" w:rsidRDefault="00A02C86" w:rsidP="00D941D1">
      <w:pPr>
        <w:spacing w:line="300" w:lineRule="exact"/>
        <w:rPr>
          <w:b/>
          <w:sz w:val="20"/>
          <w:szCs w:val="20"/>
        </w:rPr>
      </w:pPr>
      <w:r w:rsidRPr="00D941D1">
        <w:rPr>
          <w:b/>
          <w:sz w:val="20"/>
          <w:szCs w:val="20"/>
        </w:rPr>
        <w:lastRenderedPageBreak/>
        <w:t>Specialty Materials</w:t>
      </w:r>
    </w:p>
    <w:p w:rsidR="00A02C86" w:rsidRPr="00B13E9A" w:rsidRDefault="00A02C86" w:rsidP="00A02C86">
      <w:pPr>
        <w:rPr>
          <w:bCs/>
        </w:rPr>
      </w:pPr>
    </w:p>
    <w:p w:rsidR="00A02C86" w:rsidRPr="00B13E9A" w:rsidRDefault="00A02C86" w:rsidP="002F5039">
      <w:pPr>
        <w:pStyle w:val="ErsteZeile"/>
        <w:rPr>
          <w:b/>
        </w:rPr>
      </w:pPr>
      <w:r w:rsidRPr="00B13E9A">
        <w:t xml:space="preserve">Im Mittelpunkt des Segments Specialty Materials steht die Herstellung von polymeren Werkstoffen sowie Zwischenprodukten vor allem für die Gummi- und Kunststoffindustrie. Es gliedert sich in die Geschäftsbereiche Performance Polymers und </w:t>
      </w:r>
      <w:proofErr w:type="spellStart"/>
      <w:r w:rsidRPr="00B13E9A">
        <w:t>Advanced</w:t>
      </w:r>
      <w:proofErr w:type="spellEnd"/>
      <w:r w:rsidRPr="00B13E9A">
        <w:t xml:space="preserve"> Intermediates.</w:t>
      </w:r>
    </w:p>
    <w:p w:rsidR="00A02C86" w:rsidRPr="00B13E9A" w:rsidRDefault="00A02C86" w:rsidP="00A02C86">
      <w:pPr>
        <w:rPr>
          <w:bCs/>
          <w:lang w:eastAsia="en-US"/>
        </w:rPr>
      </w:pPr>
    </w:p>
    <w:p w:rsidR="00A02C86" w:rsidRPr="00D941D1" w:rsidRDefault="00A02C86" w:rsidP="00D941D1">
      <w:pPr>
        <w:pStyle w:val="EvonikStandard"/>
        <w:keepNext/>
        <w:keepLines/>
        <w:spacing w:line="300" w:lineRule="exact"/>
        <w:ind w:left="85" w:right="85" w:firstLine="0"/>
        <w:rPr>
          <w:rFonts w:eastAsia="Times New Roman" w:cs="Lucida Sans Unicode"/>
          <w:bCs/>
          <w:sz w:val="20"/>
        </w:rPr>
      </w:pPr>
      <w:r w:rsidRPr="00D941D1">
        <w:rPr>
          <w:rFonts w:eastAsia="Times New Roman" w:cs="Lucida Sans Unicode"/>
          <w:bCs/>
          <w:sz w:val="20"/>
        </w:rPr>
        <w:t xml:space="preserve">Der </w:t>
      </w:r>
      <w:r w:rsidRPr="00801C4B">
        <w:rPr>
          <w:rFonts w:eastAsia="Times New Roman" w:cs="Lucida Sans Unicode"/>
          <w:b/>
          <w:bCs/>
          <w:sz w:val="20"/>
        </w:rPr>
        <w:t>Umsatz</w:t>
      </w:r>
      <w:r w:rsidRPr="00D941D1">
        <w:rPr>
          <w:rFonts w:eastAsia="Times New Roman" w:cs="Lucida Sans Unicode"/>
          <w:bCs/>
          <w:sz w:val="20"/>
        </w:rPr>
        <w:t xml:space="preserve"> ging um 5 Prozent auf 1.170 Millionen € zurück (Vor</w:t>
      </w:r>
      <w:r w:rsidR="005F4E6A">
        <w:rPr>
          <w:rFonts w:eastAsia="Times New Roman" w:cs="Lucida Sans Unicode"/>
          <w:bCs/>
          <w:sz w:val="20"/>
        </w:rPr>
        <w:t>jahresquartal</w:t>
      </w:r>
      <w:r w:rsidRPr="00D941D1">
        <w:rPr>
          <w:rFonts w:eastAsia="Times New Roman" w:cs="Lucida Sans Unicode"/>
          <w:bCs/>
          <w:sz w:val="20"/>
        </w:rPr>
        <w:t xml:space="preserve">: 1.234 Millionen €). </w:t>
      </w:r>
      <w:r w:rsidR="000258CE">
        <w:rPr>
          <w:rFonts w:eastAsia="Times New Roman" w:cs="Lucida Sans Unicode"/>
          <w:bCs/>
          <w:sz w:val="20"/>
        </w:rPr>
        <w:t>Gründe</w:t>
      </w:r>
      <w:r w:rsidR="000258CE" w:rsidRPr="00D941D1">
        <w:rPr>
          <w:rFonts w:eastAsia="Times New Roman" w:cs="Lucida Sans Unicode"/>
          <w:bCs/>
          <w:sz w:val="20"/>
        </w:rPr>
        <w:t xml:space="preserve"> </w:t>
      </w:r>
      <w:r w:rsidRPr="00D941D1">
        <w:rPr>
          <w:rFonts w:eastAsia="Times New Roman" w:cs="Lucida Sans Unicode"/>
          <w:bCs/>
          <w:sz w:val="20"/>
        </w:rPr>
        <w:t xml:space="preserve">dafür waren unter anderem die Abgabe eines Geschäfts sowie geringere Verkaufspreise. Die operativen Ergebnisse blieben infolge </w:t>
      </w:r>
      <w:r w:rsidR="000258CE">
        <w:rPr>
          <w:rFonts w:eastAsia="Times New Roman" w:cs="Lucida Sans Unicode"/>
          <w:bCs/>
          <w:sz w:val="20"/>
        </w:rPr>
        <w:t xml:space="preserve">der </w:t>
      </w:r>
      <w:r w:rsidR="000258CE" w:rsidRPr="00D941D1">
        <w:rPr>
          <w:rFonts w:eastAsia="Times New Roman" w:cs="Lucida Sans Unicode"/>
          <w:bCs/>
          <w:sz w:val="20"/>
        </w:rPr>
        <w:t>nachgebende</w:t>
      </w:r>
      <w:r w:rsidR="000258CE">
        <w:rPr>
          <w:rFonts w:eastAsia="Times New Roman" w:cs="Lucida Sans Unicode"/>
          <w:bCs/>
          <w:sz w:val="20"/>
        </w:rPr>
        <w:t>n</w:t>
      </w:r>
      <w:r w:rsidR="000258CE" w:rsidRPr="00D941D1">
        <w:rPr>
          <w:rFonts w:eastAsia="Times New Roman" w:cs="Lucida Sans Unicode"/>
          <w:bCs/>
          <w:sz w:val="20"/>
        </w:rPr>
        <w:t xml:space="preserve"> </w:t>
      </w:r>
      <w:r w:rsidRPr="00D941D1">
        <w:rPr>
          <w:rFonts w:eastAsia="Times New Roman" w:cs="Lucida Sans Unicode"/>
          <w:bCs/>
          <w:sz w:val="20"/>
        </w:rPr>
        <w:t xml:space="preserve">Verkaufspreise sowie teilweise </w:t>
      </w:r>
      <w:r w:rsidR="005F4E6A">
        <w:rPr>
          <w:rFonts w:eastAsia="Times New Roman" w:cs="Lucida Sans Unicode"/>
          <w:bCs/>
          <w:sz w:val="20"/>
        </w:rPr>
        <w:t xml:space="preserve">gestiegener </w:t>
      </w:r>
      <w:r w:rsidRPr="00D941D1">
        <w:rPr>
          <w:rFonts w:eastAsia="Times New Roman" w:cs="Lucida Sans Unicode"/>
          <w:bCs/>
          <w:sz w:val="20"/>
        </w:rPr>
        <w:t xml:space="preserve">Rohstoffkosten unter den sehr guten </w:t>
      </w:r>
      <w:r w:rsidR="005F4E6A">
        <w:rPr>
          <w:rFonts w:eastAsia="Times New Roman" w:cs="Lucida Sans Unicode"/>
          <w:bCs/>
          <w:sz w:val="20"/>
        </w:rPr>
        <w:t>Werten des Vorjahresquartals</w:t>
      </w:r>
      <w:r w:rsidRPr="00D941D1">
        <w:rPr>
          <w:rFonts w:eastAsia="Times New Roman" w:cs="Lucida Sans Unicode"/>
          <w:bCs/>
          <w:sz w:val="20"/>
        </w:rPr>
        <w:t xml:space="preserve">. Das bereinigte </w:t>
      </w:r>
      <w:r w:rsidRPr="00801C4B">
        <w:rPr>
          <w:rFonts w:eastAsia="Times New Roman" w:cs="Lucida Sans Unicode"/>
          <w:b/>
          <w:bCs/>
          <w:sz w:val="20"/>
        </w:rPr>
        <w:t>EBITDA</w:t>
      </w:r>
      <w:r w:rsidRPr="00D941D1">
        <w:rPr>
          <w:rFonts w:eastAsia="Times New Roman" w:cs="Lucida Sans Unicode"/>
          <w:bCs/>
          <w:sz w:val="20"/>
        </w:rPr>
        <w:t xml:space="preserve"> verringerte sich um 15 Prozent auf 182 Millionen € (Vorjahr</w:t>
      </w:r>
      <w:r w:rsidR="0064778C">
        <w:rPr>
          <w:rFonts w:eastAsia="Times New Roman" w:cs="Lucida Sans Unicode"/>
          <w:bCs/>
          <w:sz w:val="20"/>
        </w:rPr>
        <w:t>es</w:t>
      </w:r>
      <w:r w:rsidR="005F4E6A">
        <w:rPr>
          <w:rFonts w:eastAsia="Times New Roman" w:cs="Lucida Sans Unicode"/>
          <w:bCs/>
          <w:sz w:val="20"/>
        </w:rPr>
        <w:t>quartal</w:t>
      </w:r>
      <w:r w:rsidRPr="00D941D1">
        <w:rPr>
          <w:rFonts w:eastAsia="Times New Roman" w:cs="Lucida Sans Unicode"/>
          <w:bCs/>
          <w:sz w:val="20"/>
        </w:rPr>
        <w:t xml:space="preserve">: 215 Millionen €) und das bereinigte </w:t>
      </w:r>
      <w:r w:rsidRPr="00801C4B">
        <w:rPr>
          <w:rFonts w:eastAsia="Times New Roman" w:cs="Lucida Sans Unicode"/>
          <w:b/>
          <w:bCs/>
          <w:sz w:val="20"/>
        </w:rPr>
        <w:t>EBIT</w:t>
      </w:r>
      <w:r w:rsidRPr="00D941D1">
        <w:rPr>
          <w:rFonts w:eastAsia="Times New Roman" w:cs="Lucida Sans Unicode"/>
          <w:bCs/>
          <w:sz w:val="20"/>
        </w:rPr>
        <w:t xml:space="preserve"> um 19 Prozent auf 145 Millionen € (Vorjahr</w:t>
      </w:r>
      <w:r w:rsidR="005F4E6A">
        <w:rPr>
          <w:rFonts w:eastAsia="Times New Roman" w:cs="Lucida Sans Unicode"/>
          <w:bCs/>
          <w:sz w:val="20"/>
        </w:rPr>
        <w:t>esquartal</w:t>
      </w:r>
      <w:r w:rsidRPr="00D941D1">
        <w:rPr>
          <w:rFonts w:eastAsia="Times New Roman" w:cs="Lucida Sans Unicode"/>
          <w:bCs/>
          <w:sz w:val="20"/>
        </w:rPr>
        <w:t>:178 Millionen €</w:t>
      </w:r>
      <w:r w:rsidR="00481E50">
        <w:rPr>
          <w:rFonts w:eastAsia="Times New Roman" w:cs="Lucida Sans Unicode"/>
          <w:bCs/>
          <w:sz w:val="20"/>
        </w:rPr>
        <w:t>)</w:t>
      </w:r>
      <w:r w:rsidRPr="00D941D1">
        <w:rPr>
          <w:rFonts w:eastAsia="Times New Roman" w:cs="Lucida Sans Unicode"/>
          <w:bCs/>
          <w:sz w:val="20"/>
        </w:rPr>
        <w:t xml:space="preserve">. Die bereinigte </w:t>
      </w:r>
      <w:r w:rsidRPr="00801C4B">
        <w:rPr>
          <w:rFonts w:eastAsia="Times New Roman" w:cs="Lucida Sans Unicode"/>
          <w:b/>
          <w:bCs/>
          <w:sz w:val="20"/>
        </w:rPr>
        <w:t>EBITDA-Marge</w:t>
      </w:r>
      <w:r w:rsidRPr="00D941D1">
        <w:rPr>
          <w:rFonts w:eastAsia="Times New Roman" w:cs="Lucida Sans Unicode"/>
          <w:bCs/>
          <w:sz w:val="20"/>
        </w:rPr>
        <w:t xml:space="preserve"> ging von 17,4 Prozent im vergleichbaren Vorjahreszeitraum auf 15,6 Prozent zurück. </w:t>
      </w:r>
    </w:p>
    <w:p w:rsidR="00A02C86" w:rsidRPr="00D941D1" w:rsidRDefault="00A02C86" w:rsidP="00D941D1">
      <w:pPr>
        <w:spacing w:line="300" w:lineRule="exact"/>
        <w:rPr>
          <w:b/>
          <w:sz w:val="20"/>
          <w:szCs w:val="20"/>
        </w:rPr>
      </w:pPr>
    </w:p>
    <w:p w:rsidR="00A02C86" w:rsidRPr="00D941D1" w:rsidRDefault="00A02C86" w:rsidP="00D941D1">
      <w:pPr>
        <w:spacing w:line="300" w:lineRule="exact"/>
        <w:rPr>
          <w:b/>
          <w:sz w:val="20"/>
          <w:szCs w:val="20"/>
        </w:rPr>
      </w:pPr>
      <w:r w:rsidRPr="00D941D1">
        <w:rPr>
          <w:b/>
          <w:sz w:val="20"/>
          <w:szCs w:val="20"/>
        </w:rPr>
        <w:t>Services</w:t>
      </w:r>
    </w:p>
    <w:p w:rsidR="00A02C86" w:rsidRPr="00B13E9A" w:rsidRDefault="00A02C86" w:rsidP="00A02C86">
      <w:pPr>
        <w:pStyle w:val="EvonikStandard"/>
        <w:ind w:firstLine="0"/>
        <w:rPr>
          <w:rFonts w:ascii="Times New Roman" w:hAnsi="Times New Roman"/>
          <w:bCs/>
          <w:sz w:val="24"/>
          <w:szCs w:val="24"/>
        </w:rPr>
      </w:pPr>
    </w:p>
    <w:p w:rsidR="00A02C86" w:rsidRPr="00D941D1" w:rsidRDefault="00A02C86" w:rsidP="00D941D1">
      <w:pPr>
        <w:pStyle w:val="EvonikStandard"/>
        <w:keepNext/>
        <w:keepLines/>
        <w:spacing w:line="300" w:lineRule="exact"/>
        <w:ind w:left="85" w:right="85" w:firstLine="0"/>
        <w:rPr>
          <w:rFonts w:eastAsia="Times New Roman" w:cs="Lucida Sans Unicode"/>
          <w:bCs/>
          <w:sz w:val="20"/>
        </w:rPr>
      </w:pPr>
      <w:r w:rsidRPr="00D941D1">
        <w:rPr>
          <w:rFonts w:eastAsia="Times New Roman" w:cs="Lucida Sans Unicode"/>
          <w:bCs/>
          <w:sz w:val="20"/>
        </w:rPr>
        <w:t>Das Segment Services umfasst im Wesentlichen die Site Services und die Evonik Business Services. Es erbringt seine Dienstleistungen vor allem für die operativen Spezialchemiegeschäfte und das Corporate Center.</w:t>
      </w:r>
    </w:p>
    <w:p w:rsidR="00A02C86" w:rsidRPr="00D941D1" w:rsidRDefault="00A02C86" w:rsidP="00D941D1">
      <w:pPr>
        <w:pStyle w:val="EvonikStandard"/>
        <w:keepNext/>
        <w:keepLines/>
        <w:spacing w:line="300" w:lineRule="exact"/>
        <w:ind w:left="85" w:right="85" w:firstLine="0"/>
        <w:rPr>
          <w:rFonts w:eastAsia="Times New Roman" w:cs="Lucida Sans Unicode"/>
          <w:bCs/>
          <w:sz w:val="20"/>
        </w:rPr>
      </w:pPr>
    </w:p>
    <w:p w:rsidR="00A02C86" w:rsidRPr="00D941D1" w:rsidRDefault="00A02C86" w:rsidP="00D941D1">
      <w:pPr>
        <w:pStyle w:val="EvonikStandard"/>
        <w:keepNext/>
        <w:keepLines/>
        <w:spacing w:line="300" w:lineRule="exact"/>
        <w:ind w:left="85" w:right="85" w:firstLine="0"/>
        <w:rPr>
          <w:rFonts w:eastAsia="Times New Roman" w:cs="Lucida Sans Unicode"/>
          <w:bCs/>
          <w:sz w:val="20"/>
        </w:rPr>
      </w:pPr>
      <w:r w:rsidRPr="00D941D1">
        <w:rPr>
          <w:rFonts w:eastAsia="Times New Roman" w:cs="Lucida Sans Unicode"/>
          <w:bCs/>
          <w:sz w:val="20"/>
        </w:rPr>
        <w:t xml:space="preserve">Der </w:t>
      </w:r>
      <w:r w:rsidRPr="00801C4B">
        <w:rPr>
          <w:rFonts w:eastAsia="Times New Roman" w:cs="Lucida Sans Unicode"/>
          <w:b/>
          <w:bCs/>
          <w:sz w:val="20"/>
        </w:rPr>
        <w:t>Gesamtumsatz</w:t>
      </w:r>
      <w:r w:rsidRPr="00D941D1">
        <w:rPr>
          <w:rFonts w:eastAsia="Times New Roman" w:cs="Lucida Sans Unicode"/>
          <w:bCs/>
          <w:sz w:val="20"/>
        </w:rPr>
        <w:t xml:space="preserve"> lag bei 647 Millionen €</w:t>
      </w:r>
      <w:r w:rsidR="00D33188">
        <w:rPr>
          <w:rFonts w:eastAsia="Times New Roman" w:cs="Lucida Sans Unicode"/>
          <w:bCs/>
          <w:sz w:val="20"/>
        </w:rPr>
        <w:t>,</w:t>
      </w:r>
      <w:r w:rsidRPr="00D941D1">
        <w:rPr>
          <w:rFonts w:eastAsia="Times New Roman" w:cs="Lucida Sans Unicode"/>
          <w:bCs/>
          <w:sz w:val="20"/>
        </w:rPr>
        <w:t xml:space="preserve"> hiervon entfielen 411 Millionen € auf Innenumsätze. Der Außenumsatz verringerte sich um 8 Pro</w:t>
      </w:r>
      <w:r w:rsidRPr="00D941D1">
        <w:rPr>
          <w:rFonts w:eastAsia="Times New Roman" w:cs="Lucida Sans Unicode"/>
          <w:bCs/>
          <w:sz w:val="20"/>
        </w:rPr>
        <w:softHyphen/>
        <w:t xml:space="preserve">zent auf 236 Millionen €. Das bereinigte </w:t>
      </w:r>
      <w:r w:rsidRPr="00801C4B">
        <w:rPr>
          <w:rFonts w:eastAsia="Times New Roman" w:cs="Lucida Sans Unicode"/>
          <w:b/>
          <w:bCs/>
          <w:sz w:val="20"/>
        </w:rPr>
        <w:t>EBITDA</w:t>
      </w:r>
      <w:r w:rsidRPr="00D941D1">
        <w:rPr>
          <w:rFonts w:eastAsia="Times New Roman" w:cs="Lucida Sans Unicode"/>
          <w:bCs/>
          <w:sz w:val="20"/>
        </w:rPr>
        <w:t xml:space="preserve"> stieg leicht auf 54 Millionen €. Das bereinigte </w:t>
      </w:r>
      <w:r w:rsidRPr="00801C4B">
        <w:rPr>
          <w:rFonts w:eastAsia="Times New Roman" w:cs="Lucida Sans Unicode"/>
          <w:b/>
          <w:bCs/>
          <w:sz w:val="20"/>
        </w:rPr>
        <w:t>EBIT</w:t>
      </w:r>
      <w:r w:rsidRPr="00D941D1">
        <w:rPr>
          <w:rFonts w:eastAsia="Times New Roman" w:cs="Lucida Sans Unicode"/>
          <w:bCs/>
          <w:sz w:val="20"/>
        </w:rPr>
        <w:t xml:space="preserve"> lag mit 32 Millionen € auf </w:t>
      </w:r>
      <w:r w:rsidR="005F4E6A">
        <w:rPr>
          <w:rFonts w:eastAsia="Times New Roman" w:cs="Lucida Sans Unicode"/>
          <w:bCs/>
          <w:sz w:val="20"/>
        </w:rPr>
        <w:t>der Höhe des Vorjahresquartals</w:t>
      </w:r>
      <w:r w:rsidRPr="00D941D1">
        <w:rPr>
          <w:rFonts w:eastAsia="Times New Roman" w:cs="Lucida Sans Unicode"/>
          <w:bCs/>
          <w:sz w:val="20"/>
        </w:rPr>
        <w:t>.</w:t>
      </w:r>
    </w:p>
    <w:p w:rsidR="00A02C86" w:rsidRPr="00B13E9A" w:rsidRDefault="00A02C86" w:rsidP="00A02C86">
      <w:pPr>
        <w:pStyle w:val="EvonikStandard"/>
        <w:ind w:firstLine="0"/>
        <w:rPr>
          <w:rFonts w:ascii="Times New Roman" w:hAnsi="Times New Roman"/>
          <w:bCs/>
          <w:sz w:val="24"/>
          <w:szCs w:val="24"/>
        </w:rPr>
      </w:pPr>
    </w:p>
    <w:p w:rsidR="0039323B" w:rsidRDefault="0039323B">
      <w:pPr>
        <w:spacing w:line="240" w:lineRule="auto"/>
        <w:ind w:left="0" w:right="0"/>
        <w:rPr>
          <w:b/>
          <w:sz w:val="20"/>
          <w:szCs w:val="20"/>
        </w:rPr>
      </w:pPr>
      <w:r>
        <w:rPr>
          <w:b/>
          <w:sz w:val="20"/>
          <w:szCs w:val="20"/>
        </w:rPr>
        <w:br w:type="page"/>
      </w:r>
    </w:p>
    <w:p w:rsidR="00A02C86" w:rsidRPr="00D941D1" w:rsidRDefault="00A02C86" w:rsidP="00D941D1">
      <w:pPr>
        <w:spacing w:line="300" w:lineRule="exact"/>
        <w:rPr>
          <w:b/>
          <w:sz w:val="20"/>
          <w:szCs w:val="20"/>
        </w:rPr>
      </w:pPr>
      <w:r w:rsidRPr="00D941D1">
        <w:rPr>
          <w:b/>
          <w:sz w:val="20"/>
          <w:szCs w:val="20"/>
        </w:rPr>
        <w:lastRenderedPageBreak/>
        <w:t>Ausblick für das Geschäftsjahr 2013</w:t>
      </w:r>
      <w:r w:rsidR="00157016">
        <w:rPr>
          <w:b/>
          <w:sz w:val="20"/>
          <w:szCs w:val="20"/>
        </w:rPr>
        <w:t xml:space="preserve"> bestätigt</w:t>
      </w:r>
    </w:p>
    <w:p w:rsidR="00A02C86" w:rsidRPr="00B13E9A" w:rsidRDefault="00A02C86" w:rsidP="00A02C86">
      <w:pPr>
        <w:rPr>
          <w:bCs/>
        </w:rPr>
      </w:pPr>
    </w:p>
    <w:p w:rsidR="00A02C86" w:rsidRPr="00D941D1" w:rsidRDefault="00A02C86" w:rsidP="00D941D1">
      <w:pPr>
        <w:pStyle w:val="EvonikStandard"/>
        <w:keepNext/>
        <w:keepLines/>
        <w:spacing w:line="300" w:lineRule="exact"/>
        <w:ind w:left="85" w:right="85" w:firstLine="0"/>
        <w:rPr>
          <w:rFonts w:eastAsia="Times New Roman" w:cs="Lucida Sans Unicode"/>
          <w:bCs/>
          <w:sz w:val="20"/>
        </w:rPr>
      </w:pPr>
      <w:r w:rsidRPr="00D941D1">
        <w:rPr>
          <w:rFonts w:eastAsia="Times New Roman" w:cs="Lucida Sans Unicode"/>
          <w:bCs/>
          <w:sz w:val="20"/>
        </w:rPr>
        <w:t xml:space="preserve">Die weltwirtschaftlichen Rahmenbedingungen werden insbesondere in den kommenden Monaten sehr anspruchsvoll bleiben; im Verlauf der zweiten Jahreshälfte erwartet Evonik jedoch eine spürbare Erholung der Weltkonjunktur. Daher geht der Konzern weiterhin davon aus, dass die am Jahresende 2012 prognostizierten weltwirtschaftlichen Rahmenbedingungen für das </w:t>
      </w:r>
      <w:r w:rsidR="005F4E6A">
        <w:rPr>
          <w:rFonts w:eastAsia="Times New Roman" w:cs="Lucida Sans Unicode"/>
          <w:bCs/>
          <w:sz w:val="20"/>
        </w:rPr>
        <w:t>Gesamtj</w:t>
      </w:r>
      <w:r w:rsidRPr="00D941D1">
        <w:rPr>
          <w:rFonts w:eastAsia="Times New Roman" w:cs="Lucida Sans Unicode"/>
          <w:bCs/>
          <w:sz w:val="20"/>
        </w:rPr>
        <w:t xml:space="preserve">ahr 2013 unverändert zutreffend sind. Es bestehen jedoch weiterhin deutliche Unsicherheiten, die insbesondere aus der Staatsschuldenkrise in Europa sowie der wirtschaftlichen Entwicklung Chinas resultieren und die konjunkturelle Entwicklung beeinträchtigen können. </w:t>
      </w:r>
    </w:p>
    <w:p w:rsidR="00A02C86" w:rsidRPr="00B13E9A" w:rsidRDefault="00A02C86" w:rsidP="00A02C86">
      <w:pPr>
        <w:pStyle w:val="EvonikStandard"/>
        <w:ind w:firstLine="0"/>
        <w:rPr>
          <w:rFonts w:ascii="Times New Roman" w:hAnsi="Times New Roman"/>
          <w:bCs/>
          <w:sz w:val="24"/>
          <w:szCs w:val="24"/>
          <w:lang w:eastAsia="de-DE"/>
        </w:rPr>
      </w:pPr>
    </w:p>
    <w:p w:rsidR="00A02C86" w:rsidRPr="00D941D1" w:rsidRDefault="00A02C86" w:rsidP="000258CE">
      <w:pPr>
        <w:pStyle w:val="EvonikStandard"/>
        <w:ind w:left="85" w:right="85" w:firstLine="0"/>
        <w:rPr>
          <w:rFonts w:eastAsia="Times New Roman" w:cs="Lucida Sans Unicode"/>
          <w:bCs/>
          <w:sz w:val="20"/>
        </w:rPr>
      </w:pPr>
      <w:r w:rsidRPr="00D941D1">
        <w:rPr>
          <w:rFonts w:eastAsia="Times New Roman" w:cs="Lucida Sans Unicode"/>
          <w:bCs/>
          <w:sz w:val="20"/>
        </w:rPr>
        <w:t xml:space="preserve">Aufgrund der im März 2013 erfolgten </w:t>
      </w:r>
      <w:proofErr w:type="spellStart"/>
      <w:r w:rsidRPr="00D941D1">
        <w:rPr>
          <w:rFonts w:eastAsia="Times New Roman" w:cs="Lucida Sans Unicode"/>
          <w:bCs/>
          <w:sz w:val="20"/>
        </w:rPr>
        <w:t>Umgliederung</w:t>
      </w:r>
      <w:proofErr w:type="spellEnd"/>
      <w:r w:rsidRPr="00D941D1">
        <w:rPr>
          <w:rFonts w:eastAsia="Times New Roman" w:cs="Lucida Sans Unicode"/>
          <w:bCs/>
          <w:sz w:val="20"/>
        </w:rPr>
        <w:t xml:space="preserve"> des Segments Real Estate in die nicht fortgeführten Aktivitäten und der geplanten </w:t>
      </w:r>
      <w:proofErr w:type="spellStart"/>
      <w:r w:rsidRPr="00D941D1">
        <w:rPr>
          <w:rFonts w:eastAsia="Times New Roman" w:cs="Lucida Sans Unicode"/>
          <w:bCs/>
          <w:sz w:val="20"/>
        </w:rPr>
        <w:t>Entkonsolidierung</w:t>
      </w:r>
      <w:proofErr w:type="spellEnd"/>
      <w:r w:rsidRPr="00D941D1">
        <w:rPr>
          <w:rFonts w:eastAsia="Times New Roman" w:cs="Lucida Sans Unicode"/>
          <w:bCs/>
          <w:sz w:val="20"/>
        </w:rPr>
        <w:t xml:space="preserve"> im Jahresverlauf 2013 bezieht sich der Ausblick im Folgenden nur auf die fortgeführten Aktivitäten</w:t>
      </w:r>
      <w:r w:rsidR="000258CE">
        <w:rPr>
          <w:rFonts w:eastAsia="Times New Roman" w:cs="Lucida Sans Unicode"/>
          <w:bCs/>
          <w:sz w:val="20"/>
        </w:rPr>
        <w:t>;</w:t>
      </w:r>
      <w:r w:rsidRPr="00D941D1">
        <w:rPr>
          <w:rFonts w:eastAsia="Times New Roman" w:cs="Lucida Sans Unicode"/>
          <w:bCs/>
          <w:sz w:val="20"/>
        </w:rPr>
        <w:t xml:space="preserve"> die Vergleichswerte </w:t>
      </w:r>
      <w:r w:rsidR="000258CE">
        <w:rPr>
          <w:rFonts w:eastAsia="Times New Roman" w:cs="Lucida Sans Unicode"/>
          <w:bCs/>
          <w:sz w:val="20"/>
        </w:rPr>
        <w:t xml:space="preserve">für 2012 </w:t>
      </w:r>
      <w:r w:rsidRPr="00D941D1">
        <w:rPr>
          <w:rFonts w:eastAsia="Times New Roman" w:cs="Lucida Sans Unicode"/>
          <w:bCs/>
          <w:sz w:val="20"/>
        </w:rPr>
        <w:t>wurden entsprechend angepasst.</w:t>
      </w:r>
    </w:p>
    <w:p w:rsidR="00A02C86" w:rsidRPr="00B13E9A" w:rsidRDefault="00A02C86" w:rsidP="00A02C86">
      <w:pPr>
        <w:pStyle w:val="EvonikStandard"/>
        <w:rPr>
          <w:rFonts w:ascii="Times New Roman" w:hAnsi="Times New Roman"/>
          <w:bCs/>
          <w:sz w:val="24"/>
          <w:szCs w:val="24"/>
          <w:lang w:eastAsia="de-DE"/>
        </w:rPr>
      </w:pPr>
    </w:p>
    <w:p w:rsidR="00A02C86" w:rsidRPr="00D941D1" w:rsidRDefault="00A02C86" w:rsidP="000258CE">
      <w:pPr>
        <w:pStyle w:val="EvonikStandard"/>
        <w:ind w:left="85" w:right="85" w:firstLine="0"/>
        <w:rPr>
          <w:rFonts w:eastAsia="Times New Roman" w:cs="Lucida Sans Unicode"/>
          <w:bCs/>
          <w:sz w:val="20"/>
        </w:rPr>
      </w:pPr>
      <w:r w:rsidRPr="00D941D1">
        <w:rPr>
          <w:rFonts w:eastAsia="Times New Roman" w:cs="Lucida Sans Unicode"/>
          <w:bCs/>
          <w:sz w:val="20"/>
        </w:rPr>
        <w:t>Auch nach dem verhaltenen Start in das Jahr 2013 hält Evonik angesichts der für das zweite Halbjahr erwarteten Belebung an seinem Ausblick für 2013 fest. Unter der Voraussetzung, dass die für das Gesamtjahr prognostizierte konjunkturelle Entwicklung eintritt, erwartet der Konzern weiterhin eine erfolgreiche Geschäftsentwicklung. Hierbei geht Evonik davon aus, dass sich die</w:t>
      </w:r>
      <w:r w:rsidR="00D941D1">
        <w:rPr>
          <w:rFonts w:eastAsia="Times New Roman" w:cs="Lucida Sans Unicode"/>
          <w:bCs/>
          <w:sz w:val="20"/>
        </w:rPr>
        <w:t xml:space="preserve"> neuen Produktionskapazitäten </w:t>
      </w:r>
      <w:r w:rsidRPr="00D941D1">
        <w:rPr>
          <w:rFonts w:eastAsia="Times New Roman" w:cs="Lucida Sans Unicode"/>
          <w:bCs/>
          <w:sz w:val="20"/>
        </w:rPr>
        <w:t xml:space="preserve">sowie Verkaufspreisanhebungen in wichtigen Produktbereichen positiv auswirken werden. Insgesamt erwartet Evonik für </w:t>
      </w:r>
      <w:r w:rsidR="005F4E6A">
        <w:rPr>
          <w:rFonts w:eastAsia="Times New Roman" w:cs="Lucida Sans Unicode"/>
          <w:bCs/>
          <w:sz w:val="20"/>
        </w:rPr>
        <w:t xml:space="preserve">das Gesamtjahr </w:t>
      </w:r>
      <w:r w:rsidRPr="00D941D1">
        <w:rPr>
          <w:rFonts w:eastAsia="Times New Roman" w:cs="Lucida Sans Unicode"/>
          <w:bCs/>
          <w:sz w:val="20"/>
        </w:rPr>
        <w:t xml:space="preserve">2013 einen höheren Umsatz und operative Ergebnisse auf dem sehr guten Niveau von 2012. </w:t>
      </w:r>
    </w:p>
    <w:p w:rsidR="00A02C86" w:rsidRPr="00B13E9A" w:rsidRDefault="00A02C86" w:rsidP="00A02C86">
      <w:pPr>
        <w:pStyle w:val="EvonikStandard"/>
        <w:rPr>
          <w:rFonts w:ascii="Times New Roman" w:hAnsi="Times New Roman"/>
          <w:bCs/>
          <w:sz w:val="24"/>
          <w:szCs w:val="24"/>
          <w:lang w:eastAsia="de-DE"/>
        </w:rPr>
      </w:pPr>
    </w:p>
    <w:p w:rsidR="00A02C86" w:rsidRPr="00B13E9A" w:rsidRDefault="00A02C86" w:rsidP="00A02C86">
      <w:pPr>
        <w:rPr>
          <w:bCs/>
        </w:rPr>
      </w:pPr>
    </w:p>
    <w:p w:rsidR="00A02C86" w:rsidRPr="00D941D1" w:rsidRDefault="00A02C86" w:rsidP="00BE5DBC">
      <w:pPr>
        <w:spacing w:after="120"/>
        <w:rPr>
          <w:b/>
          <w:bCs/>
        </w:rPr>
      </w:pPr>
      <w:r>
        <w:rPr>
          <w:bCs/>
        </w:rPr>
        <w:br w:type="page"/>
      </w:r>
      <w:r w:rsidRPr="00D941D1">
        <w:rPr>
          <w:b/>
          <w:bCs/>
        </w:rPr>
        <w:lastRenderedPageBreak/>
        <w:t>Evonik-Konzern: Ergebnisrechnung im Überblick</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A02C86" w:rsidRPr="00D941D1" w:rsidTr="0039323B">
        <w:trPr>
          <w:trHeight w:val="504"/>
        </w:trPr>
        <w:tc>
          <w:tcPr>
            <w:tcW w:w="5387" w:type="dxa"/>
            <w:shd w:val="clear" w:color="auto" w:fill="auto"/>
          </w:tcPr>
          <w:p w:rsidR="00A02C86" w:rsidRPr="00D941D1" w:rsidRDefault="00A02C86" w:rsidP="00D81FA3">
            <w:pPr>
              <w:rPr>
                <w:b/>
                <w:bCs/>
              </w:rPr>
            </w:pPr>
            <w:r w:rsidRPr="00D941D1">
              <w:rPr>
                <w:b/>
                <w:bCs/>
              </w:rPr>
              <w:t>(in Mio. €)</w:t>
            </w:r>
          </w:p>
        </w:tc>
        <w:tc>
          <w:tcPr>
            <w:tcW w:w="1254" w:type="dxa"/>
            <w:shd w:val="clear" w:color="auto" w:fill="C0C0C0"/>
          </w:tcPr>
          <w:p w:rsidR="00A02C86" w:rsidRPr="00D941D1" w:rsidRDefault="00A02C86" w:rsidP="00D81FA3">
            <w:pPr>
              <w:jc w:val="center"/>
              <w:rPr>
                <w:b/>
                <w:bCs/>
              </w:rPr>
            </w:pPr>
            <w:r w:rsidRPr="00D941D1">
              <w:rPr>
                <w:b/>
                <w:bCs/>
              </w:rPr>
              <w:t>Q1/2013</w:t>
            </w:r>
          </w:p>
        </w:tc>
        <w:tc>
          <w:tcPr>
            <w:tcW w:w="1304" w:type="dxa"/>
            <w:shd w:val="clear" w:color="auto" w:fill="auto"/>
          </w:tcPr>
          <w:p w:rsidR="00A02C86" w:rsidRPr="00D941D1" w:rsidRDefault="00A02C86" w:rsidP="00D81FA3">
            <w:pPr>
              <w:jc w:val="center"/>
              <w:rPr>
                <w:b/>
                <w:bCs/>
              </w:rPr>
            </w:pPr>
            <w:r w:rsidRPr="00D941D1">
              <w:rPr>
                <w:b/>
                <w:bCs/>
              </w:rPr>
              <w:t>Q1/2012</w:t>
            </w:r>
          </w:p>
        </w:tc>
        <w:tc>
          <w:tcPr>
            <w:tcW w:w="1383" w:type="dxa"/>
            <w:shd w:val="clear" w:color="auto" w:fill="auto"/>
          </w:tcPr>
          <w:p w:rsidR="00A02C86" w:rsidRPr="00D941D1" w:rsidRDefault="00A02C86" w:rsidP="00D81FA3">
            <w:pPr>
              <w:jc w:val="center"/>
              <w:rPr>
                <w:b/>
                <w:bCs/>
              </w:rPr>
            </w:pPr>
            <w:proofErr w:type="spellStart"/>
            <w:r w:rsidRPr="00D941D1">
              <w:rPr>
                <w:b/>
                <w:bCs/>
              </w:rPr>
              <w:t>Veränd</w:t>
            </w:r>
            <w:proofErr w:type="spellEnd"/>
            <w:r w:rsidRPr="00D941D1">
              <w:rPr>
                <w:b/>
                <w:bCs/>
              </w:rPr>
              <w:t xml:space="preserve">. </w:t>
            </w:r>
          </w:p>
          <w:p w:rsidR="00A02C86" w:rsidRPr="00D941D1" w:rsidRDefault="00A02C86" w:rsidP="00D81FA3">
            <w:pPr>
              <w:jc w:val="center"/>
              <w:rPr>
                <w:b/>
                <w:bCs/>
              </w:rPr>
            </w:pPr>
            <w:r w:rsidRPr="00D941D1">
              <w:rPr>
                <w:b/>
                <w:bCs/>
              </w:rPr>
              <w:t>in %</w:t>
            </w:r>
          </w:p>
        </w:tc>
      </w:tr>
      <w:tr w:rsidR="00A02C86" w:rsidRPr="00B13E9A" w:rsidTr="0039323B">
        <w:tc>
          <w:tcPr>
            <w:tcW w:w="5387" w:type="dxa"/>
            <w:shd w:val="clear" w:color="auto" w:fill="auto"/>
          </w:tcPr>
          <w:p w:rsidR="00A02C86" w:rsidRPr="00B13E9A" w:rsidRDefault="00A02C86" w:rsidP="00D81FA3">
            <w:pPr>
              <w:rPr>
                <w:bCs/>
              </w:rPr>
            </w:pPr>
            <w:r w:rsidRPr="00B13E9A">
              <w:rPr>
                <w:bCs/>
              </w:rPr>
              <w:t>Umsatzerlöse</w:t>
            </w:r>
          </w:p>
        </w:tc>
        <w:tc>
          <w:tcPr>
            <w:tcW w:w="1254" w:type="dxa"/>
            <w:shd w:val="clear" w:color="auto" w:fill="C0C0C0"/>
          </w:tcPr>
          <w:p w:rsidR="00A02C86" w:rsidRPr="00B13E9A" w:rsidRDefault="00A02C86" w:rsidP="00D81FA3">
            <w:pPr>
              <w:jc w:val="right"/>
              <w:rPr>
                <w:bCs/>
              </w:rPr>
            </w:pPr>
            <w:r w:rsidRPr="00B13E9A">
              <w:rPr>
                <w:bCs/>
              </w:rPr>
              <w:t>3.263</w:t>
            </w:r>
          </w:p>
        </w:tc>
        <w:tc>
          <w:tcPr>
            <w:tcW w:w="1304" w:type="dxa"/>
            <w:shd w:val="clear" w:color="auto" w:fill="auto"/>
          </w:tcPr>
          <w:p w:rsidR="00A02C86" w:rsidRPr="00B13E9A" w:rsidRDefault="00A02C86" w:rsidP="00D81FA3">
            <w:pPr>
              <w:ind w:right="120"/>
              <w:jc w:val="right"/>
              <w:rPr>
                <w:bCs/>
              </w:rPr>
            </w:pPr>
            <w:r w:rsidRPr="00B13E9A">
              <w:rPr>
                <w:bCs/>
              </w:rPr>
              <w:t>3.407</w:t>
            </w:r>
          </w:p>
        </w:tc>
        <w:tc>
          <w:tcPr>
            <w:tcW w:w="1383" w:type="dxa"/>
            <w:shd w:val="clear" w:color="auto" w:fill="auto"/>
          </w:tcPr>
          <w:p w:rsidR="00A02C86" w:rsidRPr="00B13E9A" w:rsidRDefault="00A02C86" w:rsidP="00D81FA3">
            <w:pPr>
              <w:jc w:val="right"/>
              <w:rPr>
                <w:bCs/>
              </w:rPr>
            </w:pPr>
            <w:r w:rsidRPr="00B13E9A">
              <w:rPr>
                <w:bCs/>
              </w:rPr>
              <w:t>-4</w:t>
            </w:r>
          </w:p>
        </w:tc>
      </w:tr>
      <w:tr w:rsidR="00A02C86" w:rsidRPr="00B13E9A" w:rsidTr="0039323B">
        <w:tc>
          <w:tcPr>
            <w:tcW w:w="5387" w:type="dxa"/>
            <w:shd w:val="clear" w:color="auto" w:fill="auto"/>
          </w:tcPr>
          <w:p w:rsidR="00A02C86" w:rsidRPr="00B13E9A" w:rsidRDefault="00A02C86" w:rsidP="00D81FA3">
            <w:pPr>
              <w:rPr>
                <w:bCs/>
              </w:rPr>
            </w:pPr>
            <w:r w:rsidRPr="00B13E9A">
              <w:rPr>
                <w:bCs/>
              </w:rPr>
              <w:t>Bereinigtes EBITDA</w:t>
            </w:r>
          </w:p>
        </w:tc>
        <w:tc>
          <w:tcPr>
            <w:tcW w:w="1254" w:type="dxa"/>
            <w:shd w:val="clear" w:color="auto" w:fill="C0C0C0"/>
          </w:tcPr>
          <w:p w:rsidR="00A02C86" w:rsidRPr="00B13E9A" w:rsidRDefault="00A02C86" w:rsidP="00D81FA3">
            <w:pPr>
              <w:jc w:val="right"/>
              <w:rPr>
                <w:bCs/>
              </w:rPr>
            </w:pPr>
            <w:r w:rsidRPr="00B13E9A">
              <w:rPr>
                <w:bCs/>
              </w:rPr>
              <w:t>589</w:t>
            </w:r>
          </w:p>
        </w:tc>
        <w:tc>
          <w:tcPr>
            <w:tcW w:w="1304" w:type="dxa"/>
            <w:shd w:val="clear" w:color="auto" w:fill="auto"/>
          </w:tcPr>
          <w:p w:rsidR="00A02C86" w:rsidRPr="00B13E9A" w:rsidRDefault="00A02C86" w:rsidP="00D81FA3">
            <w:pPr>
              <w:ind w:right="120"/>
              <w:jc w:val="right"/>
              <w:rPr>
                <w:bCs/>
              </w:rPr>
            </w:pPr>
            <w:r w:rsidRPr="00B13E9A">
              <w:rPr>
                <w:bCs/>
              </w:rPr>
              <w:t>656</w:t>
            </w:r>
          </w:p>
        </w:tc>
        <w:tc>
          <w:tcPr>
            <w:tcW w:w="1383" w:type="dxa"/>
            <w:shd w:val="clear" w:color="auto" w:fill="auto"/>
          </w:tcPr>
          <w:p w:rsidR="00A02C86" w:rsidRPr="00B13E9A" w:rsidRDefault="00A02C86" w:rsidP="00D81FA3">
            <w:pPr>
              <w:jc w:val="right"/>
              <w:rPr>
                <w:bCs/>
              </w:rPr>
            </w:pPr>
            <w:r w:rsidRPr="00B13E9A">
              <w:rPr>
                <w:bCs/>
              </w:rPr>
              <w:t>-10</w:t>
            </w:r>
          </w:p>
        </w:tc>
      </w:tr>
      <w:tr w:rsidR="00A02C86" w:rsidRPr="00B13E9A" w:rsidTr="0039323B">
        <w:tc>
          <w:tcPr>
            <w:tcW w:w="5387" w:type="dxa"/>
            <w:shd w:val="clear" w:color="auto" w:fill="auto"/>
          </w:tcPr>
          <w:p w:rsidR="00A02C86" w:rsidRPr="00B13E9A" w:rsidRDefault="00A02C86" w:rsidP="00D81FA3">
            <w:pPr>
              <w:rPr>
                <w:bCs/>
              </w:rPr>
            </w:pPr>
            <w:r w:rsidRPr="00B13E9A">
              <w:rPr>
                <w:bCs/>
              </w:rPr>
              <w:t>Bereinigtes EBIT</w:t>
            </w:r>
          </w:p>
        </w:tc>
        <w:tc>
          <w:tcPr>
            <w:tcW w:w="1254" w:type="dxa"/>
            <w:shd w:val="clear" w:color="auto" w:fill="C0C0C0"/>
          </w:tcPr>
          <w:p w:rsidR="00A02C86" w:rsidRPr="00B13E9A" w:rsidRDefault="00A02C86" w:rsidP="00D81FA3">
            <w:pPr>
              <w:jc w:val="right"/>
              <w:rPr>
                <w:bCs/>
              </w:rPr>
            </w:pPr>
            <w:r w:rsidRPr="00B13E9A">
              <w:rPr>
                <w:bCs/>
              </w:rPr>
              <w:t>445</w:t>
            </w:r>
          </w:p>
        </w:tc>
        <w:tc>
          <w:tcPr>
            <w:tcW w:w="1304" w:type="dxa"/>
            <w:shd w:val="clear" w:color="auto" w:fill="auto"/>
          </w:tcPr>
          <w:p w:rsidR="00A02C86" w:rsidRPr="00B13E9A" w:rsidRDefault="00A02C86" w:rsidP="00D81FA3">
            <w:pPr>
              <w:ind w:right="120"/>
              <w:jc w:val="right"/>
              <w:rPr>
                <w:bCs/>
              </w:rPr>
            </w:pPr>
            <w:r w:rsidRPr="00B13E9A">
              <w:rPr>
                <w:bCs/>
              </w:rPr>
              <w:t>509</w:t>
            </w:r>
          </w:p>
        </w:tc>
        <w:tc>
          <w:tcPr>
            <w:tcW w:w="1383" w:type="dxa"/>
            <w:shd w:val="clear" w:color="auto" w:fill="auto"/>
          </w:tcPr>
          <w:p w:rsidR="00A02C86" w:rsidRPr="00B13E9A" w:rsidRDefault="00A02C86" w:rsidP="00D81FA3">
            <w:pPr>
              <w:jc w:val="right"/>
              <w:rPr>
                <w:bCs/>
              </w:rPr>
            </w:pPr>
            <w:r w:rsidRPr="00B13E9A">
              <w:rPr>
                <w:bCs/>
              </w:rPr>
              <w:t>-13</w:t>
            </w:r>
          </w:p>
        </w:tc>
      </w:tr>
      <w:tr w:rsidR="00A02C86" w:rsidRPr="00B13E9A" w:rsidTr="0039323B">
        <w:tc>
          <w:tcPr>
            <w:tcW w:w="5387" w:type="dxa"/>
            <w:shd w:val="clear" w:color="auto" w:fill="auto"/>
          </w:tcPr>
          <w:p w:rsidR="00A02C86" w:rsidRPr="00B13E9A" w:rsidRDefault="00A02C86" w:rsidP="00D81FA3">
            <w:pPr>
              <w:rPr>
                <w:bCs/>
              </w:rPr>
            </w:pPr>
            <w:r w:rsidRPr="00B13E9A">
              <w:rPr>
                <w:bCs/>
              </w:rPr>
              <w:t>Bereinigungen</w:t>
            </w:r>
          </w:p>
        </w:tc>
        <w:tc>
          <w:tcPr>
            <w:tcW w:w="1254" w:type="dxa"/>
            <w:shd w:val="clear" w:color="auto" w:fill="C0C0C0"/>
          </w:tcPr>
          <w:p w:rsidR="00A02C86" w:rsidRPr="00B13E9A" w:rsidRDefault="00A02C86" w:rsidP="00D81FA3">
            <w:pPr>
              <w:jc w:val="right"/>
              <w:rPr>
                <w:bCs/>
              </w:rPr>
            </w:pPr>
            <w:r w:rsidRPr="00B13E9A">
              <w:rPr>
                <w:bCs/>
              </w:rPr>
              <w:t>-30</w:t>
            </w:r>
          </w:p>
        </w:tc>
        <w:tc>
          <w:tcPr>
            <w:tcW w:w="1304" w:type="dxa"/>
            <w:shd w:val="clear" w:color="auto" w:fill="auto"/>
          </w:tcPr>
          <w:p w:rsidR="00A02C86" w:rsidRPr="00B13E9A" w:rsidRDefault="00A02C86" w:rsidP="00D81FA3">
            <w:pPr>
              <w:ind w:right="120"/>
              <w:jc w:val="right"/>
              <w:rPr>
                <w:bCs/>
              </w:rPr>
            </w:pPr>
            <w:r w:rsidRPr="00B13E9A">
              <w:rPr>
                <w:bCs/>
              </w:rPr>
              <w:t>-69</w:t>
            </w:r>
          </w:p>
        </w:tc>
        <w:tc>
          <w:tcPr>
            <w:tcW w:w="1383" w:type="dxa"/>
            <w:shd w:val="clear" w:color="auto" w:fill="auto"/>
          </w:tcPr>
          <w:p w:rsidR="00A02C86" w:rsidRPr="00B13E9A" w:rsidRDefault="00A02C86" w:rsidP="00D81FA3">
            <w:pPr>
              <w:jc w:val="right"/>
              <w:rPr>
                <w:bCs/>
              </w:rPr>
            </w:pPr>
          </w:p>
        </w:tc>
      </w:tr>
      <w:tr w:rsidR="00A02C86" w:rsidRPr="00B13E9A" w:rsidTr="0039323B">
        <w:tc>
          <w:tcPr>
            <w:tcW w:w="5387" w:type="dxa"/>
            <w:shd w:val="clear" w:color="auto" w:fill="auto"/>
          </w:tcPr>
          <w:p w:rsidR="00A02C86" w:rsidRPr="00B13E9A" w:rsidRDefault="00A02C86" w:rsidP="00D81FA3">
            <w:pPr>
              <w:rPr>
                <w:bCs/>
              </w:rPr>
            </w:pPr>
            <w:r w:rsidRPr="00B13E9A">
              <w:rPr>
                <w:bCs/>
              </w:rPr>
              <w:t>Zinsergebnis</w:t>
            </w:r>
          </w:p>
        </w:tc>
        <w:tc>
          <w:tcPr>
            <w:tcW w:w="1254" w:type="dxa"/>
            <w:shd w:val="clear" w:color="auto" w:fill="C0C0C0"/>
          </w:tcPr>
          <w:p w:rsidR="00A02C86" w:rsidRPr="00B13E9A" w:rsidRDefault="00A02C86" w:rsidP="00D81FA3">
            <w:pPr>
              <w:jc w:val="right"/>
              <w:rPr>
                <w:bCs/>
              </w:rPr>
            </w:pPr>
            <w:r w:rsidRPr="00B13E9A">
              <w:rPr>
                <w:bCs/>
              </w:rPr>
              <w:t>-66</w:t>
            </w:r>
          </w:p>
        </w:tc>
        <w:tc>
          <w:tcPr>
            <w:tcW w:w="1304" w:type="dxa"/>
            <w:shd w:val="clear" w:color="auto" w:fill="auto"/>
          </w:tcPr>
          <w:p w:rsidR="00A02C86" w:rsidRPr="00B13E9A" w:rsidRDefault="00A02C86" w:rsidP="00D81FA3">
            <w:pPr>
              <w:ind w:right="120"/>
              <w:jc w:val="right"/>
              <w:rPr>
                <w:bCs/>
              </w:rPr>
            </w:pPr>
            <w:r w:rsidRPr="00B13E9A">
              <w:rPr>
                <w:bCs/>
              </w:rPr>
              <w:t>-80</w:t>
            </w:r>
          </w:p>
        </w:tc>
        <w:tc>
          <w:tcPr>
            <w:tcW w:w="1383" w:type="dxa"/>
            <w:shd w:val="clear" w:color="auto" w:fill="auto"/>
          </w:tcPr>
          <w:p w:rsidR="00A02C86" w:rsidRPr="00B13E9A" w:rsidRDefault="00A02C86" w:rsidP="00D81FA3">
            <w:pPr>
              <w:jc w:val="right"/>
              <w:rPr>
                <w:bCs/>
              </w:rPr>
            </w:pPr>
          </w:p>
        </w:tc>
      </w:tr>
      <w:tr w:rsidR="00A02C86" w:rsidRPr="00B13E9A" w:rsidTr="0039323B">
        <w:tc>
          <w:tcPr>
            <w:tcW w:w="5387" w:type="dxa"/>
            <w:shd w:val="clear" w:color="auto" w:fill="auto"/>
          </w:tcPr>
          <w:p w:rsidR="00A02C86" w:rsidRPr="00B13E9A" w:rsidRDefault="00A02C86" w:rsidP="00D81FA3">
            <w:pPr>
              <w:rPr>
                <w:bCs/>
              </w:rPr>
            </w:pPr>
            <w:r w:rsidRPr="00B13E9A">
              <w:rPr>
                <w:bCs/>
              </w:rPr>
              <w:t>= Ergebnis vor Ertragsteuern fortgeführter Aktivitäten</w:t>
            </w:r>
          </w:p>
        </w:tc>
        <w:tc>
          <w:tcPr>
            <w:tcW w:w="1254" w:type="dxa"/>
            <w:shd w:val="clear" w:color="auto" w:fill="C0C0C0"/>
          </w:tcPr>
          <w:p w:rsidR="00A02C86" w:rsidRPr="00B13E9A" w:rsidRDefault="00A02C86" w:rsidP="00D81FA3">
            <w:pPr>
              <w:jc w:val="right"/>
              <w:rPr>
                <w:bCs/>
              </w:rPr>
            </w:pPr>
            <w:r w:rsidRPr="00B13E9A">
              <w:rPr>
                <w:bCs/>
              </w:rPr>
              <w:t>349</w:t>
            </w:r>
          </w:p>
        </w:tc>
        <w:tc>
          <w:tcPr>
            <w:tcW w:w="1304" w:type="dxa"/>
            <w:shd w:val="clear" w:color="auto" w:fill="auto"/>
          </w:tcPr>
          <w:p w:rsidR="00A02C86" w:rsidRPr="00B13E9A" w:rsidRDefault="00A02C86" w:rsidP="00D81FA3">
            <w:pPr>
              <w:ind w:right="120"/>
              <w:jc w:val="right"/>
              <w:rPr>
                <w:bCs/>
              </w:rPr>
            </w:pPr>
            <w:r w:rsidRPr="00B13E9A">
              <w:rPr>
                <w:bCs/>
              </w:rPr>
              <w:t>360</w:t>
            </w:r>
          </w:p>
        </w:tc>
        <w:tc>
          <w:tcPr>
            <w:tcW w:w="1383" w:type="dxa"/>
            <w:shd w:val="clear" w:color="auto" w:fill="auto"/>
          </w:tcPr>
          <w:p w:rsidR="00A02C86" w:rsidRPr="00B13E9A" w:rsidRDefault="00A02C86" w:rsidP="00D81FA3">
            <w:pPr>
              <w:jc w:val="right"/>
              <w:rPr>
                <w:bCs/>
              </w:rPr>
            </w:pPr>
            <w:r w:rsidRPr="00B13E9A">
              <w:rPr>
                <w:bCs/>
              </w:rPr>
              <w:t>-3</w:t>
            </w:r>
          </w:p>
        </w:tc>
      </w:tr>
      <w:tr w:rsidR="00A02C86" w:rsidRPr="00B13E9A" w:rsidTr="0039323B">
        <w:tc>
          <w:tcPr>
            <w:tcW w:w="5387" w:type="dxa"/>
            <w:shd w:val="clear" w:color="auto" w:fill="auto"/>
          </w:tcPr>
          <w:p w:rsidR="00A02C86" w:rsidRPr="00B13E9A" w:rsidRDefault="00A02C86" w:rsidP="00D81FA3">
            <w:pPr>
              <w:jc w:val="both"/>
              <w:rPr>
                <w:bCs/>
              </w:rPr>
            </w:pPr>
            <w:r w:rsidRPr="00B13E9A">
              <w:rPr>
                <w:bCs/>
              </w:rPr>
              <w:t>Ertragsteuern</w:t>
            </w:r>
          </w:p>
        </w:tc>
        <w:tc>
          <w:tcPr>
            <w:tcW w:w="1254" w:type="dxa"/>
            <w:shd w:val="clear" w:color="auto" w:fill="C0C0C0"/>
          </w:tcPr>
          <w:p w:rsidR="00A02C86" w:rsidRPr="00B13E9A" w:rsidRDefault="00A02C86" w:rsidP="00D81FA3">
            <w:pPr>
              <w:jc w:val="right"/>
              <w:rPr>
                <w:bCs/>
              </w:rPr>
            </w:pPr>
            <w:r w:rsidRPr="00B13E9A">
              <w:rPr>
                <w:bCs/>
              </w:rPr>
              <w:t>-83</w:t>
            </w:r>
          </w:p>
        </w:tc>
        <w:tc>
          <w:tcPr>
            <w:tcW w:w="1304" w:type="dxa"/>
            <w:shd w:val="clear" w:color="auto" w:fill="auto"/>
          </w:tcPr>
          <w:p w:rsidR="00A02C86" w:rsidRPr="00B13E9A" w:rsidRDefault="00A02C86" w:rsidP="00D81FA3">
            <w:pPr>
              <w:ind w:right="120"/>
              <w:jc w:val="right"/>
              <w:rPr>
                <w:bCs/>
              </w:rPr>
            </w:pPr>
            <w:r w:rsidRPr="00B13E9A">
              <w:rPr>
                <w:bCs/>
              </w:rPr>
              <w:t>-114</w:t>
            </w:r>
          </w:p>
        </w:tc>
        <w:tc>
          <w:tcPr>
            <w:tcW w:w="1383" w:type="dxa"/>
            <w:shd w:val="clear" w:color="auto" w:fill="auto"/>
          </w:tcPr>
          <w:p w:rsidR="00A02C86" w:rsidRPr="00B13E9A" w:rsidRDefault="00A02C86" w:rsidP="00D81FA3">
            <w:pPr>
              <w:jc w:val="right"/>
              <w:rPr>
                <w:bCs/>
              </w:rPr>
            </w:pPr>
          </w:p>
        </w:tc>
      </w:tr>
      <w:tr w:rsidR="00A02C86" w:rsidRPr="00B13E9A" w:rsidTr="0039323B">
        <w:tc>
          <w:tcPr>
            <w:tcW w:w="5387" w:type="dxa"/>
            <w:shd w:val="clear" w:color="auto" w:fill="auto"/>
          </w:tcPr>
          <w:p w:rsidR="00A02C86" w:rsidRPr="00B13E9A" w:rsidRDefault="00A02C86" w:rsidP="00D81FA3">
            <w:pPr>
              <w:rPr>
                <w:bCs/>
              </w:rPr>
            </w:pPr>
            <w:r>
              <w:rPr>
                <w:bCs/>
              </w:rPr>
              <w:t>= Ergebnis nach Ertragsteuern fortgeführter Aktivitäten</w:t>
            </w:r>
          </w:p>
        </w:tc>
        <w:tc>
          <w:tcPr>
            <w:tcW w:w="1254" w:type="dxa"/>
            <w:shd w:val="clear" w:color="auto" w:fill="C0C0C0"/>
          </w:tcPr>
          <w:p w:rsidR="00A02C86" w:rsidRDefault="00A02C86" w:rsidP="00D81FA3">
            <w:pPr>
              <w:jc w:val="right"/>
              <w:rPr>
                <w:bCs/>
              </w:rPr>
            </w:pPr>
            <w:r>
              <w:rPr>
                <w:bCs/>
              </w:rPr>
              <w:t>266</w:t>
            </w:r>
          </w:p>
        </w:tc>
        <w:tc>
          <w:tcPr>
            <w:tcW w:w="1304" w:type="dxa"/>
            <w:shd w:val="clear" w:color="auto" w:fill="auto"/>
          </w:tcPr>
          <w:p w:rsidR="00A02C86" w:rsidRDefault="00A02C86" w:rsidP="00D81FA3">
            <w:pPr>
              <w:ind w:right="120"/>
              <w:jc w:val="right"/>
              <w:rPr>
                <w:bCs/>
              </w:rPr>
            </w:pPr>
            <w:r>
              <w:rPr>
                <w:bCs/>
              </w:rPr>
              <w:t>246</w:t>
            </w:r>
          </w:p>
        </w:tc>
        <w:tc>
          <w:tcPr>
            <w:tcW w:w="1383" w:type="dxa"/>
            <w:shd w:val="clear" w:color="auto" w:fill="auto"/>
          </w:tcPr>
          <w:p w:rsidR="00A02C86" w:rsidRPr="00B13E9A" w:rsidRDefault="00A02C86" w:rsidP="00D81FA3">
            <w:pPr>
              <w:jc w:val="right"/>
              <w:rPr>
                <w:bCs/>
              </w:rPr>
            </w:pPr>
            <w:r>
              <w:rPr>
                <w:bCs/>
              </w:rPr>
              <w:t>8</w:t>
            </w:r>
          </w:p>
        </w:tc>
      </w:tr>
      <w:tr w:rsidR="00A02C86" w:rsidRPr="00B13E9A" w:rsidTr="0039323B">
        <w:tc>
          <w:tcPr>
            <w:tcW w:w="5387" w:type="dxa"/>
            <w:shd w:val="clear" w:color="auto" w:fill="auto"/>
          </w:tcPr>
          <w:p w:rsidR="00A02C86" w:rsidRPr="00B13E9A" w:rsidRDefault="00A02C86" w:rsidP="00D81FA3">
            <w:pPr>
              <w:rPr>
                <w:bCs/>
              </w:rPr>
            </w:pPr>
            <w:r w:rsidRPr="00B13E9A">
              <w:rPr>
                <w:bCs/>
              </w:rPr>
              <w:t xml:space="preserve">Ergebnis </w:t>
            </w:r>
            <w:r>
              <w:rPr>
                <w:bCs/>
              </w:rPr>
              <w:t>nach</w:t>
            </w:r>
            <w:r w:rsidRPr="00B13E9A">
              <w:rPr>
                <w:bCs/>
              </w:rPr>
              <w:t xml:space="preserve"> Ertragsteuern nicht fortgeführter Aktivitäten</w:t>
            </w:r>
          </w:p>
        </w:tc>
        <w:tc>
          <w:tcPr>
            <w:tcW w:w="1254" w:type="dxa"/>
            <w:shd w:val="clear" w:color="auto" w:fill="C0C0C0"/>
          </w:tcPr>
          <w:p w:rsidR="00A02C86" w:rsidRPr="00B13E9A" w:rsidRDefault="00A02C86" w:rsidP="00D81FA3">
            <w:pPr>
              <w:jc w:val="right"/>
              <w:rPr>
                <w:bCs/>
              </w:rPr>
            </w:pPr>
            <w:r>
              <w:rPr>
                <w:bCs/>
              </w:rPr>
              <w:t>20</w:t>
            </w:r>
          </w:p>
        </w:tc>
        <w:tc>
          <w:tcPr>
            <w:tcW w:w="1304" w:type="dxa"/>
            <w:shd w:val="clear" w:color="auto" w:fill="auto"/>
          </w:tcPr>
          <w:p w:rsidR="00A02C86" w:rsidRPr="00B13E9A" w:rsidRDefault="00A02C86" w:rsidP="00D81FA3">
            <w:pPr>
              <w:ind w:right="120"/>
              <w:jc w:val="right"/>
              <w:rPr>
                <w:bCs/>
              </w:rPr>
            </w:pPr>
            <w:r>
              <w:rPr>
                <w:bCs/>
              </w:rPr>
              <w:t>20</w:t>
            </w:r>
          </w:p>
        </w:tc>
        <w:tc>
          <w:tcPr>
            <w:tcW w:w="1383" w:type="dxa"/>
            <w:shd w:val="clear" w:color="auto" w:fill="auto"/>
          </w:tcPr>
          <w:p w:rsidR="00A02C86" w:rsidRPr="00B13E9A" w:rsidRDefault="00A02C86" w:rsidP="00D81FA3">
            <w:pPr>
              <w:jc w:val="right"/>
              <w:rPr>
                <w:bCs/>
              </w:rPr>
            </w:pPr>
          </w:p>
        </w:tc>
      </w:tr>
      <w:tr w:rsidR="00A02C86" w:rsidRPr="00B13E9A" w:rsidTr="0039323B">
        <w:tc>
          <w:tcPr>
            <w:tcW w:w="5387" w:type="dxa"/>
            <w:shd w:val="clear" w:color="auto" w:fill="auto"/>
          </w:tcPr>
          <w:p w:rsidR="00A02C86" w:rsidRPr="00B13E9A" w:rsidRDefault="00A02C86" w:rsidP="00D81FA3">
            <w:pPr>
              <w:jc w:val="both"/>
              <w:rPr>
                <w:bCs/>
              </w:rPr>
            </w:pPr>
            <w:r w:rsidRPr="00B13E9A">
              <w:rPr>
                <w:bCs/>
              </w:rPr>
              <w:t>= Ergebnis nach Steuern</w:t>
            </w:r>
          </w:p>
        </w:tc>
        <w:tc>
          <w:tcPr>
            <w:tcW w:w="1254" w:type="dxa"/>
            <w:shd w:val="clear" w:color="auto" w:fill="C0C0C0"/>
          </w:tcPr>
          <w:p w:rsidR="00A02C86" w:rsidRPr="00B13E9A" w:rsidRDefault="00A02C86" w:rsidP="00D81FA3">
            <w:pPr>
              <w:jc w:val="right"/>
              <w:rPr>
                <w:bCs/>
              </w:rPr>
            </w:pPr>
            <w:r w:rsidRPr="00B13E9A">
              <w:rPr>
                <w:bCs/>
              </w:rPr>
              <w:t>286</w:t>
            </w:r>
          </w:p>
        </w:tc>
        <w:tc>
          <w:tcPr>
            <w:tcW w:w="1304" w:type="dxa"/>
            <w:shd w:val="clear" w:color="auto" w:fill="auto"/>
          </w:tcPr>
          <w:p w:rsidR="00A02C86" w:rsidRPr="00B13E9A" w:rsidRDefault="00A02C86" w:rsidP="00D81FA3">
            <w:pPr>
              <w:ind w:right="120"/>
              <w:jc w:val="right"/>
              <w:rPr>
                <w:bCs/>
              </w:rPr>
            </w:pPr>
            <w:r w:rsidRPr="00B13E9A">
              <w:rPr>
                <w:bCs/>
              </w:rPr>
              <w:t>266</w:t>
            </w:r>
          </w:p>
        </w:tc>
        <w:tc>
          <w:tcPr>
            <w:tcW w:w="1383" w:type="dxa"/>
            <w:shd w:val="clear" w:color="auto" w:fill="auto"/>
          </w:tcPr>
          <w:p w:rsidR="00A02C86" w:rsidRPr="00B13E9A" w:rsidRDefault="00A02C86" w:rsidP="00D81FA3">
            <w:pPr>
              <w:jc w:val="right"/>
              <w:rPr>
                <w:bCs/>
              </w:rPr>
            </w:pPr>
            <w:r w:rsidRPr="00B13E9A">
              <w:rPr>
                <w:bCs/>
              </w:rPr>
              <w:t>8</w:t>
            </w:r>
          </w:p>
        </w:tc>
      </w:tr>
      <w:tr w:rsidR="00A02C86" w:rsidRPr="00B13E9A" w:rsidTr="0039323B">
        <w:tc>
          <w:tcPr>
            <w:tcW w:w="5387" w:type="dxa"/>
            <w:shd w:val="clear" w:color="auto" w:fill="auto"/>
          </w:tcPr>
          <w:p w:rsidR="00A02C86" w:rsidRPr="00B13E9A" w:rsidRDefault="00A02C86" w:rsidP="00D81FA3">
            <w:pPr>
              <w:jc w:val="both"/>
              <w:rPr>
                <w:bCs/>
              </w:rPr>
            </w:pPr>
            <w:r w:rsidRPr="00B13E9A">
              <w:rPr>
                <w:bCs/>
              </w:rPr>
              <w:t>Anteile anderer Gesellschafter</w:t>
            </w:r>
          </w:p>
        </w:tc>
        <w:tc>
          <w:tcPr>
            <w:tcW w:w="1254" w:type="dxa"/>
            <w:shd w:val="clear" w:color="auto" w:fill="C0C0C0"/>
          </w:tcPr>
          <w:p w:rsidR="00A02C86" w:rsidRPr="00B13E9A" w:rsidRDefault="00A02C86" w:rsidP="00D81FA3">
            <w:pPr>
              <w:jc w:val="right"/>
              <w:rPr>
                <w:bCs/>
              </w:rPr>
            </w:pPr>
            <w:r w:rsidRPr="00B13E9A">
              <w:rPr>
                <w:bCs/>
              </w:rPr>
              <w:t>3</w:t>
            </w:r>
          </w:p>
        </w:tc>
        <w:tc>
          <w:tcPr>
            <w:tcW w:w="1304" w:type="dxa"/>
            <w:shd w:val="clear" w:color="auto" w:fill="auto"/>
          </w:tcPr>
          <w:p w:rsidR="00A02C86" w:rsidRPr="00B13E9A" w:rsidRDefault="00A02C86" w:rsidP="00D81FA3">
            <w:pPr>
              <w:ind w:right="120"/>
              <w:jc w:val="right"/>
              <w:rPr>
                <w:bCs/>
              </w:rPr>
            </w:pPr>
            <w:r w:rsidRPr="00B13E9A">
              <w:rPr>
                <w:bCs/>
              </w:rPr>
              <w:t>3</w:t>
            </w:r>
          </w:p>
        </w:tc>
        <w:tc>
          <w:tcPr>
            <w:tcW w:w="1383" w:type="dxa"/>
            <w:shd w:val="clear" w:color="auto" w:fill="auto"/>
          </w:tcPr>
          <w:p w:rsidR="00A02C86" w:rsidRPr="00B13E9A" w:rsidRDefault="00A02C86" w:rsidP="00D81FA3">
            <w:pPr>
              <w:jc w:val="right"/>
              <w:rPr>
                <w:bCs/>
              </w:rPr>
            </w:pPr>
          </w:p>
        </w:tc>
      </w:tr>
      <w:tr w:rsidR="00A02C86" w:rsidRPr="00B13E9A" w:rsidTr="0039323B">
        <w:tc>
          <w:tcPr>
            <w:tcW w:w="5387" w:type="dxa"/>
            <w:shd w:val="clear" w:color="auto" w:fill="auto"/>
          </w:tcPr>
          <w:p w:rsidR="00A02C86" w:rsidRPr="00B13E9A" w:rsidRDefault="00A02C86" w:rsidP="00D81FA3">
            <w:pPr>
              <w:jc w:val="both"/>
              <w:rPr>
                <w:bCs/>
              </w:rPr>
            </w:pPr>
            <w:r w:rsidRPr="00B13E9A">
              <w:rPr>
                <w:bCs/>
              </w:rPr>
              <w:t>= Konzernergebnis</w:t>
            </w:r>
          </w:p>
        </w:tc>
        <w:tc>
          <w:tcPr>
            <w:tcW w:w="1254" w:type="dxa"/>
            <w:shd w:val="clear" w:color="auto" w:fill="C0C0C0"/>
          </w:tcPr>
          <w:p w:rsidR="00A02C86" w:rsidRPr="00B13E9A" w:rsidRDefault="00A02C86" w:rsidP="00D81FA3">
            <w:pPr>
              <w:jc w:val="right"/>
              <w:rPr>
                <w:bCs/>
              </w:rPr>
            </w:pPr>
            <w:r w:rsidRPr="00B13E9A">
              <w:rPr>
                <w:bCs/>
              </w:rPr>
              <w:t>289</w:t>
            </w:r>
          </w:p>
        </w:tc>
        <w:tc>
          <w:tcPr>
            <w:tcW w:w="1304" w:type="dxa"/>
            <w:shd w:val="clear" w:color="auto" w:fill="auto"/>
          </w:tcPr>
          <w:p w:rsidR="00A02C86" w:rsidRPr="00B13E9A" w:rsidRDefault="00A02C86" w:rsidP="00D81FA3">
            <w:pPr>
              <w:ind w:right="120"/>
              <w:jc w:val="right"/>
              <w:rPr>
                <w:bCs/>
              </w:rPr>
            </w:pPr>
            <w:r w:rsidRPr="00B13E9A">
              <w:rPr>
                <w:bCs/>
              </w:rPr>
              <w:t>269</w:t>
            </w:r>
          </w:p>
        </w:tc>
        <w:tc>
          <w:tcPr>
            <w:tcW w:w="1383" w:type="dxa"/>
            <w:shd w:val="clear" w:color="auto" w:fill="auto"/>
          </w:tcPr>
          <w:p w:rsidR="00A02C86" w:rsidRPr="00B13E9A" w:rsidRDefault="00A02C86" w:rsidP="00D81FA3">
            <w:pPr>
              <w:jc w:val="right"/>
              <w:rPr>
                <w:bCs/>
              </w:rPr>
            </w:pPr>
            <w:r w:rsidRPr="00B13E9A">
              <w:rPr>
                <w:bCs/>
              </w:rPr>
              <w:t>7</w:t>
            </w:r>
          </w:p>
        </w:tc>
      </w:tr>
      <w:tr w:rsidR="00A02C86" w:rsidRPr="00B13E9A" w:rsidTr="0039323B">
        <w:tc>
          <w:tcPr>
            <w:tcW w:w="5387" w:type="dxa"/>
            <w:shd w:val="clear" w:color="auto" w:fill="auto"/>
          </w:tcPr>
          <w:p w:rsidR="00A02C86" w:rsidRPr="00B13E9A" w:rsidRDefault="00A02C86" w:rsidP="00D81FA3">
            <w:pPr>
              <w:jc w:val="both"/>
              <w:rPr>
                <w:bCs/>
              </w:rPr>
            </w:pPr>
            <w:r w:rsidRPr="00B13E9A">
              <w:rPr>
                <w:bCs/>
              </w:rPr>
              <w:t>Bereinigtes Konzernergebnis</w:t>
            </w:r>
          </w:p>
        </w:tc>
        <w:tc>
          <w:tcPr>
            <w:tcW w:w="1254" w:type="dxa"/>
            <w:shd w:val="clear" w:color="auto" w:fill="C0C0C0"/>
          </w:tcPr>
          <w:p w:rsidR="00A02C86" w:rsidRPr="00B13E9A" w:rsidRDefault="00A02C86" w:rsidP="00D81FA3">
            <w:pPr>
              <w:jc w:val="right"/>
              <w:rPr>
                <w:bCs/>
              </w:rPr>
            </w:pPr>
            <w:r w:rsidRPr="00B13E9A">
              <w:rPr>
                <w:bCs/>
              </w:rPr>
              <w:t>294</w:t>
            </w:r>
          </w:p>
        </w:tc>
        <w:tc>
          <w:tcPr>
            <w:tcW w:w="1304" w:type="dxa"/>
            <w:shd w:val="clear" w:color="auto" w:fill="auto"/>
          </w:tcPr>
          <w:p w:rsidR="00A02C86" w:rsidRPr="00B13E9A" w:rsidRDefault="00A02C86" w:rsidP="00D81FA3">
            <w:pPr>
              <w:ind w:right="120"/>
              <w:jc w:val="right"/>
              <w:rPr>
                <w:bCs/>
              </w:rPr>
            </w:pPr>
            <w:r w:rsidRPr="00B13E9A">
              <w:rPr>
                <w:bCs/>
              </w:rPr>
              <w:t>3</w:t>
            </w:r>
            <w:r>
              <w:rPr>
                <w:bCs/>
              </w:rPr>
              <w:t>17</w:t>
            </w:r>
          </w:p>
        </w:tc>
        <w:tc>
          <w:tcPr>
            <w:tcW w:w="1383" w:type="dxa"/>
            <w:shd w:val="clear" w:color="auto" w:fill="auto"/>
          </w:tcPr>
          <w:p w:rsidR="00A02C86" w:rsidRPr="00B13E9A" w:rsidRDefault="00A02C86" w:rsidP="00D81FA3">
            <w:pPr>
              <w:jc w:val="right"/>
              <w:rPr>
                <w:bCs/>
              </w:rPr>
            </w:pPr>
            <w:r w:rsidRPr="00B13E9A">
              <w:rPr>
                <w:bCs/>
              </w:rPr>
              <w:t>-7</w:t>
            </w:r>
          </w:p>
        </w:tc>
      </w:tr>
    </w:tbl>
    <w:p w:rsidR="00A02C86" w:rsidRPr="00B13E9A" w:rsidRDefault="00A02C86" w:rsidP="00A02C86">
      <w:pPr>
        <w:rPr>
          <w:bCs/>
        </w:rPr>
      </w:pPr>
      <w:r w:rsidRPr="00B13E9A">
        <w:rPr>
          <w:bCs/>
        </w:rPr>
        <w:t>Vorjahreszahlen angepasst</w:t>
      </w:r>
    </w:p>
    <w:p w:rsidR="00A02C86" w:rsidRPr="00B13E9A" w:rsidRDefault="00A02C86" w:rsidP="00A02C86">
      <w:pPr>
        <w:rPr>
          <w:bCs/>
        </w:rPr>
      </w:pPr>
    </w:p>
    <w:p w:rsidR="00A02C86" w:rsidRPr="00D941D1" w:rsidRDefault="00A02C86" w:rsidP="00A02C86">
      <w:pPr>
        <w:spacing w:after="120"/>
        <w:rPr>
          <w:b/>
          <w:bCs/>
        </w:rPr>
      </w:pPr>
      <w:r w:rsidRPr="00D941D1">
        <w:rPr>
          <w:b/>
          <w:bCs/>
        </w:rPr>
        <w:t>Entwicklung in den Segmenten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1231"/>
        <w:gridCol w:w="1134"/>
        <w:gridCol w:w="1134"/>
        <w:gridCol w:w="1276"/>
        <w:gridCol w:w="1275"/>
        <w:gridCol w:w="993"/>
      </w:tblGrid>
      <w:tr w:rsidR="00A02C86" w:rsidRPr="00B13E9A" w:rsidTr="00D26C39">
        <w:tc>
          <w:tcPr>
            <w:tcW w:w="3022" w:type="dxa"/>
            <w:vMerge w:val="restart"/>
            <w:shd w:val="clear" w:color="auto" w:fill="auto"/>
          </w:tcPr>
          <w:p w:rsidR="00A02C86" w:rsidRPr="00B13E9A" w:rsidRDefault="00A02C86" w:rsidP="00D81FA3">
            <w:pPr>
              <w:rPr>
                <w:bCs/>
              </w:rPr>
            </w:pPr>
          </w:p>
        </w:tc>
        <w:tc>
          <w:tcPr>
            <w:tcW w:w="3499" w:type="dxa"/>
            <w:gridSpan w:val="3"/>
            <w:shd w:val="clear" w:color="auto" w:fill="auto"/>
          </w:tcPr>
          <w:p w:rsidR="00A02C86" w:rsidRPr="00BE5DBC" w:rsidRDefault="00A02C86" w:rsidP="00D81FA3">
            <w:pPr>
              <w:jc w:val="center"/>
              <w:rPr>
                <w:b/>
                <w:bCs/>
              </w:rPr>
            </w:pPr>
            <w:r w:rsidRPr="00BE5DBC">
              <w:rPr>
                <w:b/>
                <w:bCs/>
              </w:rPr>
              <w:t>Umsatz</w:t>
            </w:r>
          </w:p>
        </w:tc>
        <w:tc>
          <w:tcPr>
            <w:tcW w:w="3544" w:type="dxa"/>
            <w:gridSpan w:val="3"/>
            <w:shd w:val="clear" w:color="auto" w:fill="auto"/>
          </w:tcPr>
          <w:p w:rsidR="00A02C86" w:rsidRPr="00BE5DBC" w:rsidRDefault="00A02C86" w:rsidP="00D81FA3">
            <w:pPr>
              <w:jc w:val="center"/>
              <w:rPr>
                <w:b/>
                <w:bCs/>
              </w:rPr>
            </w:pPr>
            <w:r w:rsidRPr="00BE5DBC">
              <w:rPr>
                <w:b/>
                <w:bCs/>
              </w:rPr>
              <w:t>Bereinigtes EBITDA</w:t>
            </w:r>
          </w:p>
        </w:tc>
      </w:tr>
      <w:tr w:rsidR="00A02C86" w:rsidRPr="00B13E9A" w:rsidTr="00D26C39">
        <w:tc>
          <w:tcPr>
            <w:tcW w:w="3022" w:type="dxa"/>
            <w:vMerge/>
            <w:shd w:val="clear" w:color="auto" w:fill="auto"/>
          </w:tcPr>
          <w:p w:rsidR="00A02C86" w:rsidRPr="00B13E9A" w:rsidRDefault="00A02C86" w:rsidP="00D81FA3">
            <w:pPr>
              <w:rPr>
                <w:bCs/>
              </w:rPr>
            </w:pPr>
          </w:p>
        </w:tc>
        <w:tc>
          <w:tcPr>
            <w:tcW w:w="1231" w:type="dxa"/>
            <w:shd w:val="clear" w:color="auto" w:fill="C0C0C0"/>
          </w:tcPr>
          <w:p w:rsidR="00A02C86" w:rsidRPr="00BE5DBC" w:rsidRDefault="00A02C86" w:rsidP="00D81FA3">
            <w:pPr>
              <w:jc w:val="center"/>
              <w:rPr>
                <w:b/>
                <w:bCs/>
                <w:sz w:val="16"/>
                <w:szCs w:val="16"/>
              </w:rPr>
            </w:pPr>
            <w:r w:rsidRPr="00BE5DBC">
              <w:rPr>
                <w:b/>
                <w:bCs/>
                <w:sz w:val="16"/>
                <w:szCs w:val="16"/>
              </w:rPr>
              <w:t>Q1/2013</w:t>
            </w:r>
            <w:r w:rsidRPr="00BE5DBC">
              <w:rPr>
                <w:b/>
                <w:bCs/>
                <w:sz w:val="16"/>
                <w:szCs w:val="16"/>
              </w:rPr>
              <w:br/>
              <w:t>in Mio. €</w:t>
            </w:r>
          </w:p>
        </w:tc>
        <w:tc>
          <w:tcPr>
            <w:tcW w:w="1134" w:type="dxa"/>
            <w:shd w:val="clear" w:color="auto" w:fill="auto"/>
          </w:tcPr>
          <w:p w:rsidR="00A02C86" w:rsidRPr="00BE5DBC" w:rsidRDefault="00A02C86" w:rsidP="00D81FA3">
            <w:pPr>
              <w:jc w:val="center"/>
              <w:rPr>
                <w:b/>
                <w:bCs/>
                <w:sz w:val="16"/>
                <w:szCs w:val="16"/>
              </w:rPr>
            </w:pPr>
            <w:r w:rsidRPr="00BE5DBC">
              <w:rPr>
                <w:b/>
                <w:bCs/>
                <w:sz w:val="16"/>
                <w:szCs w:val="16"/>
              </w:rPr>
              <w:t>Q1/2012</w:t>
            </w:r>
            <w:r w:rsidRPr="00BE5DBC">
              <w:rPr>
                <w:b/>
                <w:bCs/>
                <w:sz w:val="16"/>
                <w:szCs w:val="16"/>
              </w:rPr>
              <w:br/>
              <w:t>in Mio. €</w:t>
            </w:r>
          </w:p>
        </w:tc>
        <w:tc>
          <w:tcPr>
            <w:tcW w:w="1134" w:type="dxa"/>
            <w:shd w:val="clear" w:color="auto" w:fill="auto"/>
          </w:tcPr>
          <w:p w:rsidR="00A02C86" w:rsidRPr="00BE5DBC" w:rsidRDefault="00A02C86" w:rsidP="00D81FA3">
            <w:pPr>
              <w:jc w:val="center"/>
              <w:rPr>
                <w:b/>
                <w:bCs/>
                <w:sz w:val="16"/>
                <w:szCs w:val="16"/>
              </w:rPr>
            </w:pPr>
            <w:proofErr w:type="spellStart"/>
            <w:r w:rsidRPr="00BE5DBC">
              <w:rPr>
                <w:b/>
                <w:bCs/>
                <w:sz w:val="16"/>
                <w:szCs w:val="16"/>
              </w:rPr>
              <w:t>Veränd</w:t>
            </w:r>
            <w:proofErr w:type="spellEnd"/>
            <w:r w:rsidRPr="00BE5DBC">
              <w:rPr>
                <w:b/>
                <w:bCs/>
                <w:sz w:val="16"/>
                <w:szCs w:val="16"/>
              </w:rPr>
              <w:t xml:space="preserve">. </w:t>
            </w:r>
            <w:r w:rsidR="00D26C39">
              <w:rPr>
                <w:b/>
                <w:bCs/>
                <w:sz w:val="16"/>
                <w:szCs w:val="16"/>
              </w:rPr>
              <w:br/>
            </w:r>
            <w:r w:rsidRPr="00BE5DBC">
              <w:rPr>
                <w:b/>
                <w:bCs/>
                <w:sz w:val="16"/>
                <w:szCs w:val="16"/>
              </w:rPr>
              <w:t>in %</w:t>
            </w:r>
          </w:p>
        </w:tc>
        <w:tc>
          <w:tcPr>
            <w:tcW w:w="1276" w:type="dxa"/>
            <w:shd w:val="clear" w:color="auto" w:fill="C0C0C0"/>
          </w:tcPr>
          <w:p w:rsidR="00A02C86" w:rsidRPr="00BE5DBC" w:rsidRDefault="00A02C86" w:rsidP="00D81FA3">
            <w:pPr>
              <w:jc w:val="center"/>
              <w:rPr>
                <w:b/>
                <w:bCs/>
                <w:sz w:val="16"/>
                <w:szCs w:val="16"/>
              </w:rPr>
            </w:pPr>
            <w:r w:rsidRPr="00BE5DBC">
              <w:rPr>
                <w:b/>
                <w:bCs/>
                <w:sz w:val="16"/>
                <w:szCs w:val="16"/>
              </w:rPr>
              <w:t>Q1/2013</w:t>
            </w:r>
            <w:r w:rsidRPr="00BE5DBC">
              <w:rPr>
                <w:b/>
                <w:bCs/>
                <w:sz w:val="16"/>
                <w:szCs w:val="16"/>
              </w:rPr>
              <w:br/>
              <w:t>in Mio. €</w:t>
            </w:r>
          </w:p>
        </w:tc>
        <w:tc>
          <w:tcPr>
            <w:tcW w:w="1275" w:type="dxa"/>
            <w:shd w:val="clear" w:color="auto" w:fill="auto"/>
          </w:tcPr>
          <w:p w:rsidR="00A02C86" w:rsidRPr="00BE5DBC" w:rsidRDefault="00A02C86" w:rsidP="00BE5DBC">
            <w:pPr>
              <w:jc w:val="center"/>
              <w:rPr>
                <w:b/>
                <w:bCs/>
                <w:sz w:val="16"/>
                <w:szCs w:val="16"/>
              </w:rPr>
            </w:pPr>
            <w:r w:rsidRPr="00BE5DBC">
              <w:rPr>
                <w:b/>
                <w:bCs/>
                <w:sz w:val="16"/>
                <w:szCs w:val="16"/>
              </w:rPr>
              <w:t>Q1/2012</w:t>
            </w:r>
            <w:r w:rsidRPr="00BE5DBC">
              <w:rPr>
                <w:b/>
                <w:bCs/>
                <w:sz w:val="16"/>
                <w:szCs w:val="16"/>
              </w:rPr>
              <w:br/>
              <w:t>in Mio. €</w:t>
            </w:r>
          </w:p>
        </w:tc>
        <w:tc>
          <w:tcPr>
            <w:tcW w:w="993" w:type="dxa"/>
            <w:shd w:val="clear" w:color="auto" w:fill="auto"/>
          </w:tcPr>
          <w:p w:rsidR="00A02C86" w:rsidRPr="00BE5DBC" w:rsidRDefault="00A02C86" w:rsidP="00D81FA3">
            <w:pPr>
              <w:jc w:val="center"/>
              <w:rPr>
                <w:b/>
                <w:bCs/>
                <w:sz w:val="16"/>
                <w:szCs w:val="16"/>
              </w:rPr>
            </w:pPr>
            <w:proofErr w:type="spellStart"/>
            <w:r w:rsidRPr="00BE5DBC">
              <w:rPr>
                <w:b/>
                <w:bCs/>
                <w:sz w:val="16"/>
                <w:szCs w:val="16"/>
              </w:rPr>
              <w:t>Veränd</w:t>
            </w:r>
            <w:proofErr w:type="spellEnd"/>
            <w:r w:rsidRPr="00BE5DBC">
              <w:rPr>
                <w:b/>
                <w:bCs/>
                <w:sz w:val="16"/>
                <w:szCs w:val="16"/>
              </w:rPr>
              <w:t>. in %</w:t>
            </w:r>
          </w:p>
        </w:tc>
      </w:tr>
      <w:tr w:rsidR="00A02C86" w:rsidRPr="008D56C4" w:rsidTr="00D26C39">
        <w:tc>
          <w:tcPr>
            <w:tcW w:w="3022" w:type="dxa"/>
            <w:shd w:val="clear" w:color="auto" w:fill="auto"/>
          </w:tcPr>
          <w:p w:rsidR="00A02C86" w:rsidRPr="00BE5DBC" w:rsidRDefault="00A02C86" w:rsidP="00D81FA3">
            <w:pPr>
              <w:rPr>
                <w:bCs/>
              </w:rPr>
            </w:pPr>
            <w:r w:rsidRPr="00BE5DBC">
              <w:rPr>
                <w:bCs/>
              </w:rPr>
              <w:t xml:space="preserve">Consumer, </w:t>
            </w:r>
            <w:proofErr w:type="spellStart"/>
            <w:r w:rsidRPr="00BE5DBC">
              <w:rPr>
                <w:bCs/>
              </w:rPr>
              <w:t>Health</w:t>
            </w:r>
            <w:proofErr w:type="spellEnd"/>
            <w:r w:rsidRPr="00BE5DBC">
              <w:rPr>
                <w:bCs/>
              </w:rPr>
              <w:t xml:space="preserve"> &amp; Nutrition</w:t>
            </w:r>
          </w:p>
        </w:tc>
        <w:tc>
          <w:tcPr>
            <w:tcW w:w="1231" w:type="dxa"/>
            <w:shd w:val="clear" w:color="auto" w:fill="C0C0C0"/>
            <w:vAlign w:val="center"/>
          </w:tcPr>
          <w:p w:rsidR="00A02C86" w:rsidRPr="00BE5DBC" w:rsidRDefault="00A02C86" w:rsidP="00D81FA3">
            <w:pPr>
              <w:jc w:val="right"/>
              <w:rPr>
                <w:bCs/>
              </w:rPr>
            </w:pPr>
            <w:r w:rsidRPr="00BE5DBC">
              <w:rPr>
                <w:bCs/>
              </w:rPr>
              <w:t>1.035</w:t>
            </w:r>
          </w:p>
        </w:tc>
        <w:tc>
          <w:tcPr>
            <w:tcW w:w="1134" w:type="dxa"/>
            <w:shd w:val="clear" w:color="auto" w:fill="auto"/>
            <w:vAlign w:val="center"/>
          </w:tcPr>
          <w:p w:rsidR="00A02C86" w:rsidRPr="00A02C86" w:rsidRDefault="00A02C86" w:rsidP="00D81FA3">
            <w:pPr>
              <w:jc w:val="right"/>
              <w:rPr>
                <w:bCs/>
                <w:lang w:val="en-US"/>
              </w:rPr>
            </w:pPr>
            <w:r w:rsidRPr="00BE5DBC">
              <w:rPr>
                <w:bCs/>
              </w:rPr>
              <w:t>1.05</w:t>
            </w:r>
            <w:r w:rsidRPr="00A02C86">
              <w:rPr>
                <w:bCs/>
                <w:lang w:val="en-US"/>
              </w:rPr>
              <w:t>5</w:t>
            </w:r>
          </w:p>
        </w:tc>
        <w:tc>
          <w:tcPr>
            <w:tcW w:w="1134" w:type="dxa"/>
            <w:shd w:val="clear" w:color="auto" w:fill="auto"/>
            <w:vAlign w:val="center"/>
          </w:tcPr>
          <w:p w:rsidR="00A02C86" w:rsidRPr="00A02C86" w:rsidRDefault="00A02C86" w:rsidP="00D81FA3">
            <w:pPr>
              <w:jc w:val="right"/>
              <w:rPr>
                <w:bCs/>
                <w:lang w:val="en-US"/>
              </w:rPr>
            </w:pPr>
            <w:r w:rsidRPr="00A02C86">
              <w:rPr>
                <w:bCs/>
                <w:lang w:val="en-US"/>
              </w:rPr>
              <w:t>-2</w:t>
            </w:r>
          </w:p>
        </w:tc>
        <w:tc>
          <w:tcPr>
            <w:tcW w:w="1276" w:type="dxa"/>
            <w:shd w:val="clear" w:color="auto" w:fill="C0C0C0"/>
            <w:vAlign w:val="center"/>
          </w:tcPr>
          <w:p w:rsidR="00A02C86" w:rsidRPr="00A02C86" w:rsidRDefault="00A02C86" w:rsidP="00D81FA3">
            <w:pPr>
              <w:jc w:val="right"/>
              <w:rPr>
                <w:bCs/>
                <w:lang w:val="en-US"/>
              </w:rPr>
            </w:pPr>
            <w:r w:rsidRPr="00A02C86">
              <w:rPr>
                <w:bCs/>
                <w:lang w:val="en-US"/>
              </w:rPr>
              <w:t>274</w:t>
            </w:r>
          </w:p>
        </w:tc>
        <w:tc>
          <w:tcPr>
            <w:tcW w:w="1275" w:type="dxa"/>
            <w:shd w:val="clear" w:color="auto" w:fill="auto"/>
            <w:vAlign w:val="center"/>
          </w:tcPr>
          <w:p w:rsidR="00A02C86" w:rsidRPr="00A02C86" w:rsidRDefault="00A02C86" w:rsidP="00D81FA3">
            <w:pPr>
              <w:jc w:val="right"/>
              <w:rPr>
                <w:bCs/>
                <w:lang w:val="en-US"/>
              </w:rPr>
            </w:pPr>
            <w:r w:rsidRPr="00A02C86">
              <w:rPr>
                <w:bCs/>
                <w:lang w:val="en-US"/>
              </w:rPr>
              <w:t>287</w:t>
            </w:r>
          </w:p>
        </w:tc>
        <w:tc>
          <w:tcPr>
            <w:tcW w:w="993" w:type="dxa"/>
            <w:shd w:val="clear" w:color="auto" w:fill="auto"/>
            <w:vAlign w:val="center"/>
          </w:tcPr>
          <w:p w:rsidR="00A02C86" w:rsidRPr="00A02C86" w:rsidRDefault="00A02C86" w:rsidP="00D81FA3">
            <w:pPr>
              <w:jc w:val="right"/>
              <w:rPr>
                <w:bCs/>
                <w:lang w:val="en-US"/>
              </w:rPr>
            </w:pPr>
            <w:r w:rsidRPr="00A02C86">
              <w:rPr>
                <w:bCs/>
                <w:lang w:val="en-US"/>
              </w:rPr>
              <w:t>-5</w:t>
            </w:r>
          </w:p>
        </w:tc>
      </w:tr>
      <w:tr w:rsidR="00A02C86" w:rsidRPr="008D56C4" w:rsidTr="00D26C39">
        <w:tc>
          <w:tcPr>
            <w:tcW w:w="3022" w:type="dxa"/>
            <w:shd w:val="clear" w:color="auto" w:fill="auto"/>
          </w:tcPr>
          <w:p w:rsidR="00A02C86" w:rsidRPr="00A02C86" w:rsidRDefault="00A02C86" w:rsidP="00D81FA3">
            <w:pPr>
              <w:rPr>
                <w:bCs/>
                <w:lang w:val="en-US"/>
              </w:rPr>
            </w:pPr>
            <w:r w:rsidRPr="00A02C86">
              <w:rPr>
                <w:bCs/>
                <w:lang w:val="en-US"/>
              </w:rPr>
              <w:t>Resource Efficiency</w:t>
            </w:r>
          </w:p>
        </w:tc>
        <w:tc>
          <w:tcPr>
            <w:tcW w:w="1231" w:type="dxa"/>
            <w:shd w:val="clear" w:color="auto" w:fill="C0C0C0"/>
            <w:vAlign w:val="center"/>
          </w:tcPr>
          <w:p w:rsidR="00A02C86" w:rsidRPr="00A02C86" w:rsidRDefault="00A02C86" w:rsidP="00D81FA3">
            <w:pPr>
              <w:jc w:val="right"/>
              <w:rPr>
                <w:bCs/>
                <w:lang w:val="en-US"/>
              </w:rPr>
            </w:pPr>
            <w:r w:rsidRPr="00A02C86">
              <w:rPr>
                <w:bCs/>
                <w:lang w:val="en-US"/>
              </w:rPr>
              <w:t>771</w:t>
            </w:r>
          </w:p>
        </w:tc>
        <w:tc>
          <w:tcPr>
            <w:tcW w:w="1134" w:type="dxa"/>
            <w:shd w:val="clear" w:color="auto" w:fill="auto"/>
            <w:vAlign w:val="center"/>
          </w:tcPr>
          <w:p w:rsidR="00A02C86" w:rsidRPr="00A02C86" w:rsidRDefault="00A02C86" w:rsidP="00D81FA3">
            <w:pPr>
              <w:jc w:val="right"/>
              <w:rPr>
                <w:bCs/>
                <w:lang w:val="en-US"/>
              </w:rPr>
            </w:pPr>
            <w:r w:rsidRPr="00A02C86">
              <w:rPr>
                <w:bCs/>
                <w:lang w:val="en-US"/>
              </w:rPr>
              <w:t>818</w:t>
            </w:r>
          </w:p>
        </w:tc>
        <w:tc>
          <w:tcPr>
            <w:tcW w:w="1134" w:type="dxa"/>
            <w:shd w:val="clear" w:color="auto" w:fill="auto"/>
            <w:vAlign w:val="center"/>
          </w:tcPr>
          <w:p w:rsidR="00A02C86" w:rsidRPr="00A02C86" w:rsidRDefault="00A02C86" w:rsidP="00D81FA3">
            <w:pPr>
              <w:jc w:val="right"/>
              <w:rPr>
                <w:bCs/>
                <w:lang w:val="en-US"/>
              </w:rPr>
            </w:pPr>
            <w:r w:rsidRPr="00A02C86">
              <w:rPr>
                <w:bCs/>
                <w:lang w:val="en-US"/>
              </w:rPr>
              <w:t>-6</w:t>
            </w:r>
          </w:p>
        </w:tc>
        <w:tc>
          <w:tcPr>
            <w:tcW w:w="1276" w:type="dxa"/>
            <w:shd w:val="clear" w:color="auto" w:fill="C0C0C0"/>
            <w:vAlign w:val="center"/>
          </w:tcPr>
          <w:p w:rsidR="00A02C86" w:rsidRPr="00A02C86" w:rsidRDefault="00A02C86" w:rsidP="00D81FA3">
            <w:pPr>
              <w:jc w:val="right"/>
              <w:rPr>
                <w:bCs/>
                <w:lang w:val="en-US"/>
              </w:rPr>
            </w:pPr>
            <w:r w:rsidRPr="00A02C86">
              <w:rPr>
                <w:bCs/>
                <w:lang w:val="en-US"/>
              </w:rPr>
              <w:t>172</w:t>
            </w:r>
          </w:p>
        </w:tc>
        <w:tc>
          <w:tcPr>
            <w:tcW w:w="1275" w:type="dxa"/>
            <w:shd w:val="clear" w:color="auto" w:fill="auto"/>
            <w:vAlign w:val="center"/>
          </w:tcPr>
          <w:p w:rsidR="00A02C86" w:rsidRPr="00A02C86" w:rsidRDefault="00A02C86" w:rsidP="00D81FA3">
            <w:pPr>
              <w:jc w:val="right"/>
              <w:rPr>
                <w:bCs/>
                <w:lang w:val="en-US"/>
              </w:rPr>
            </w:pPr>
            <w:r w:rsidRPr="00A02C86">
              <w:rPr>
                <w:bCs/>
                <w:lang w:val="en-US"/>
              </w:rPr>
              <w:t>168</w:t>
            </w:r>
          </w:p>
        </w:tc>
        <w:tc>
          <w:tcPr>
            <w:tcW w:w="993" w:type="dxa"/>
            <w:shd w:val="clear" w:color="auto" w:fill="auto"/>
            <w:vAlign w:val="center"/>
          </w:tcPr>
          <w:p w:rsidR="00A02C86" w:rsidRPr="00A02C86" w:rsidRDefault="00A02C86" w:rsidP="00D81FA3">
            <w:pPr>
              <w:jc w:val="right"/>
              <w:rPr>
                <w:bCs/>
                <w:lang w:val="en-US"/>
              </w:rPr>
            </w:pPr>
            <w:r w:rsidRPr="00A02C86">
              <w:rPr>
                <w:bCs/>
                <w:lang w:val="en-US"/>
              </w:rPr>
              <w:t>2</w:t>
            </w:r>
          </w:p>
        </w:tc>
      </w:tr>
      <w:tr w:rsidR="00A02C86" w:rsidRPr="00B13E9A" w:rsidTr="00D26C39">
        <w:tc>
          <w:tcPr>
            <w:tcW w:w="3022" w:type="dxa"/>
            <w:shd w:val="clear" w:color="auto" w:fill="auto"/>
          </w:tcPr>
          <w:p w:rsidR="00A02C86" w:rsidRPr="00A02C86" w:rsidRDefault="00A02C86" w:rsidP="00D81FA3">
            <w:pPr>
              <w:rPr>
                <w:bCs/>
                <w:lang w:val="en-US"/>
              </w:rPr>
            </w:pPr>
            <w:r w:rsidRPr="00A02C86">
              <w:rPr>
                <w:bCs/>
                <w:lang w:val="en-US"/>
              </w:rPr>
              <w:t>Specialty Materials</w:t>
            </w:r>
          </w:p>
        </w:tc>
        <w:tc>
          <w:tcPr>
            <w:tcW w:w="1231" w:type="dxa"/>
            <w:shd w:val="clear" w:color="auto" w:fill="C0C0C0"/>
            <w:vAlign w:val="center"/>
          </w:tcPr>
          <w:p w:rsidR="00A02C86" w:rsidRPr="00A02C86" w:rsidRDefault="00A02C86" w:rsidP="00D81FA3">
            <w:pPr>
              <w:jc w:val="right"/>
              <w:rPr>
                <w:bCs/>
                <w:lang w:val="en-US"/>
              </w:rPr>
            </w:pPr>
            <w:r w:rsidRPr="00A02C86">
              <w:rPr>
                <w:bCs/>
                <w:lang w:val="en-US"/>
              </w:rPr>
              <w:t>1.170</w:t>
            </w:r>
          </w:p>
        </w:tc>
        <w:tc>
          <w:tcPr>
            <w:tcW w:w="1134" w:type="dxa"/>
            <w:shd w:val="clear" w:color="auto" w:fill="auto"/>
            <w:vAlign w:val="center"/>
          </w:tcPr>
          <w:p w:rsidR="00A02C86" w:rsidRPr="00A02C86" w:rsidRDefault="00A02C86" w:rsidP="00D81FA3">
            <w:pPr>
              <w:jc w:val="right"/>
              <w:rPr>
                <w:bCs/>
                <w:lang w:val="en-US"/>
              </w:rPr>
            </w:pPr>
            <w:r w:rsidRPr="00A02C86">
              <w:rPr>
                <w:bCs/>
                <w:lang w:val="en-US"/>
              </w:rPr>
              <w:t>1.234</w:t>
            </w:r>
          </w:p>
        </w:tc>
        <w:tc>
          <w:tcPr>
            <w:tcW w:w="1134" w:type="dxa"/>
            <w:shd w:val="clear" w:color="auto" w:fill="auto"/>
            <w:vAlign w:val="center"/>
          </w:tcPr>
          <w:p w:rsidR="00A02C86" w:rsidRPr="00A02C86" w:rsidRDefault="00A02C86" w:rsidP="00D81FA3">
            <w:pPr>
              <w:jc w:val="right"/>
              <w:rPr>
                <w:bCs/>
                <w:lang w:val="en-US"/>
              </w:rPr>
            </w:pPr>
            <w:r w:rsidRPr="00A02C86">
              <w:rPr>
                <w:bCs/>
                <w:lang w:val="en-US"/>
              </w:rPr>
              <w:t>-5</w:t>
            </w:r>
          </w:p>
        </w:tc>
        <w:tc>
          <w:tcPr>
            <w:tcW w:w="1276" w:type="dxa"/>
            <w:shd w:val="clear" w:color="auto" w:fill="C0C0C0"/>
            <w:vAlign w:val="center"/>
          </w:tcPr>
          <w:p w:rsidR="00A02C86" w:rsidRPr="00A02C86" w:rsidRDefault="00A02C86" w:rsidP="00D81FA3">
            <w:pPr>
              <w:jc w:val="right"/>
              <w:rPr>
                <w:bCs/>
                <w:lang w:val="en-US"/>
              </w:rPr>
            </w:pPr>
            <w:r w:rsidRPr="00A02C86">
              <w:rPr>
                <w:bCs/>
                <w:lang w:val="en-US"/>
              </w:rPr>
              <w:t>182</w:t>
            </w:r>
          </w:p>
        </w:tc>
        <w:tc>
          <w:tcPr>
            <w:tcW w:w="1275" w:type="dxa"/>
            <w:shd w:val="clear" w:color="auto" w:fill="auto"/>
            <w:vAlign w:val="center"/>
          </w:tcPr>
          <w:p w:rsidR="00A02C86" w:rsidRPr="00A02C86" w:rsidRDefault="00A02C86" w:rsidP="00D81FA3">
            <w:pPr>
              <w:jc w:val="right"/>
              <w:rPr>
                <w:bCs/>
                <w:lang w:val="en-US"/>
              </w:rPr>
            </w:pPr>
            <w:r w:rsidRPr="00A02C86">
              <w:rPr>
                <w:bCs/>
                <w:lang w:val="en-US"/>
              </w:rPr>
              <w:t>215</w:t>
            </w:r>
          </w:p>
        </w:tc>
        <w:tc>
          <w:tcPr>
            <w:tcW w:w="993" w:type="dxa"/>
            <w:shd w:val="clear" w:color="auto" w:fill="auto"/>
            <w:vAlign w:val="center"/>
          </w:tcPr>
          <w:p w:rsidR="00A02C86" w:rsidRPr="00B13E9A" w:rsidRDefault="00A02C86" w:rsidP="00D81FA3">
            <w:pPr>
              <w:jc w:val="right"/>
              <w:rPr>
                <w:bCs/>
              </w:rPr>
            </w:pPr>
            <w:r w:rsidRPr="00B13E9A">
              <w:rPr>
                <w:bCs/>
              </w:rPr>
              <w:t>-15</w:t>
            </w:r>
          </w:p>
        </w:tc>
      </w:tr>
      <w:tr w:rsidR="00A02C86" w:rsidRPr="00B13E9A" w:rsidTr="00D26C39">
        <w:tc>
          <w:tcPr>
            <w:tcW w:w="3022" w:type="dxa"/>
            <w:shd w:val="clear" w:color="auto" w:fill="auto"/>
          </w:tcPr>
          <w:p w:rsidR="00A02C86" w:rsidRPr="00B13E9A" w:rsidRDefault="00A02C86" w:rsidP="00D81FA3">
            <w:pPr>
              <w:rPr>
                <w:bCs/>
              </w:rPr>
            </w:pPr>
            <w:r w:rsidRPr="00B13E9A">
              <w:rPr>
                <w:bCs/>
              </w:rPr>
              <w:t>Services</w:t>
            </w:r>
          </w:p>
        </w:tc>
        <w:tc>
          <w:tcPr>
            <w:tcW w:w="1231" w:type="dxa"/>
            <w:shd w:val="clear" w:color="auto" w:fill="C0C0C0"/>
            <w:vAlign w:val="center"/>
          </w:tcPr>
          <w:p w:rsidR="00A02C86" w:rsidRPr="00B13E9A" w:rsidRDefault="00A02C86" w:rsidP="00D81FA3">
            <w:pPr>
              <w:jc w:val="right"/>
              <w:rPr>
                <w:bCs/>
              </w:rPr>
            </w:pPr>
            <w:r w:rsidRPr="00B13E9A">
              <w:rPr>
                <w:bCs/>
              </w:rPr>
              <w:t>236</w:t>
            </w:r>
          </w:p>
        </w:tc>
        <w:tc>
          <w:tcPr>
            <w:tcW w:w="1134" w:type="dxa"/>
            <w:shd w:val="clear" w:color="auto" w:fill="auto"/>
            <w:vAlign w:val="center"/>
          </w:tcPr>
          <w:p w:rsidR="00A02C86" w:rsidRPr="00B13E9A" w:rsidRDefault="00A02C86" w:rsidP="00D81FA3">
            <w:pPr>
              <w:jc w:val="right"/>
              <w:rPr>
                <w:bCs/>
              </w:rPr>
            </w:pPr>
            <w:r w:rsidRPr="00B13E9A">
              <w:rPr>
                <w:bCs/>
              </w:rPr>
              <w:t>256</w:t>
            </w:r>
          </w:p>
        </w:tc>
        <w:tc>
          <w:tcPr>
            <w:tcW w:w="1134" w:type="dxa"/>
            <w:shd w:val="clear" w:color="auto" w:fill="auto"/>
            <w:vAlign w:val="center"/>
          </w:tcPr>
          <w:p w:rsidR="00A02C86" w:rsidRPr="00B13E9A" w:rsidRDefault="00A02C86" w:rsidP="00D81FA3">
            <w:pPr>
              <w:jc w:val="right"/>
              <w:rPr>
                <w:bCs/>
              </w:rPr>
            </w:pPr>
            <w:r w:rsidRPr="00B13E9A">
              <w:rPr>
                <w:bCs/>
              </w:rPr>
              <w:t>-8</w:t>
            </w:r>
          </w:p>
        </w:tc>
        <w:tc>
          <w:tcPr>
            <w:tcW w:w="1276" w:type="dxa"/>
            <w:shd w:val="clear" w:color="auto" w:fill="C0C0C0"/>
            <w:vAlign w:val="center"/>
          </w:tcPr>
          <w:p w:rsidR="00A02C86" w:rsidRPr="00B13E9A" w:rsidRDefault="00A02C86" w:rsidP="00D81FA3">
            <w:pPr>
              <w:jc w:val="right"/>
              <w:rPr>
                <w:bCs/>
              </w:rPr>
            </w:pPr>
            <w:r w:rsidRPr="00B13E9A">
              <w:rPr>
                <w:bCs/>
              </w:rPr>
              <w:t>54</w:t>
            </w:r>
          </w:p>
        </w:tc>
        <w:tc>
          <w:tcPr>
            <w:tcW w:w="1275" w:type="dxa"/>
            <w:shd w:val="clear" w:color="auto" w:fill="auto"/>
            <w:vAlign w:val="center"/>
          </w:tcPr>
          <w:p w:rsidR="00A02C86" w:rsidRPr="00B13E9A" w:rsidRDefault="00A02C86" w:rsidP="00D81FA3">
            <w:pPr>
              <w:jc w:val="right"/>
              <w:rPr>
                <w:bCs/>
              </w:rPr>
            </w:pPr>
            <w:r w:rsidRPr="00B13E9A">
              <w:rPr>
                <w:bCs/>
              </w:rPr>
              <w:t>53</w:t>
            </w:r>
          </w:p>
        </w:tc>
        <w:tc>
          <w:tcPr>
            <w:tcW w:w="993" w:type="dxa"/>
            <w:shd w:val="clear" w:color="auto" w:fill="auto"/>
            <w:vAlign w:val="center"/>
          </w:tcPr>
          <w:p w:rsidR="00A02C86" w:rsidRPr="00B13E9A" w:rsidRDefault="00A02C86" w:rsidP="00D81FA3">
            <w:pPr>
              <w:jc w:val="right"/>
              <w:rPr>
                <w:bCs/>
              </w:rPr>
            </w:pPr>
            <w:r w:rsidRPr="00B13E9A">
              <w:rPr>
                <w:bCs/>
              </w:rPr>
              <w:t>2</w:t>
            </w:r>
          </w:p>
        </w:tc>
      </w:tr>
      <w:tr w:rsidR="00A02C86" w:rsidRPr="00B13E9A" w:rsidTr="00D26C39">
        <w:tc>
          <w:tcPr>
            <w:tcW w:w="3022" w:type="dxa"/>
            <w:shd w:val="clear" w:color="auto" w:fill="auto"/>
          </w:tcPr>
          <w:p w:rsidR="00A02C86" w:rsidRPr="00B13E9A" w:rsidRDefault="00A02C86" w:rsidP="00D81FA3">
            <w:pPr>
              <w:rPr>
                <w:bCs/>
              </w:rPr>
            </w:pPr>
            <w:r w:rsidRPr="00B13E9A">
              <w:rPr>
                <w:bCs/>
              </w:rPr>
              <w:t>Sonstige Aktivitäten</w:t>
            </w:r>
          </w:p>
        </w:tc>
        <w:tc>
          <w:tcPr>
            <w:tcW w:w="1231" w:type="dxa"/>
            <w:shd w:val="clear" w:color="auto" w:fill="C0C0C0"/>
            <w:vAlign w:val="center"/>
          </w:tcPr>
          <w:p w:rsidR="00A02C86" w:rsidRPr="00B13E9A" w:rsidRDefault="00A02C86" w:rsidP="00D81FA3">
            <w:pPr>
              <w:jc w:val="right"/>
              <w:rPr>
                <w:bCs/>
              </w:rPr>
            </w:pPr>
            <w:r>
              <w:rPr>
                <w:bCs/>
              </w:rPr>
              <w:t>51</w:t>
            </w:r>
          </w:p>
        </w:tc>
        <w:tc>
          <w:tcPr>
            <w:tcW w:w="1134" w:type="dxa"/>
            <w:shd w:val="clear" w:color="auto" w:fill="auto"/>
            <w:vAlign w:val="center"/>
          </w:tcPr>
          <w:p w:rsidR="00A02C86" w:rsidRPr="00B13E9A" w:rsidRDefault="00A02C86" w:rsidP="00D81FA3">
            <w:pPr>
              <w:jc w:val="right"/>
              <w:rPr>
                <w:bCs/>
              </w:rPr>
            </w:pPr>
            <w:r>
              <w:rPr>
                <w:bCs/>
              </w:rPr>
              <w:t>44</w:t>
            </w:r>
          </w:p>
        </w:tc>
        <w:tc>
          <w:tcPr>
            <w:tcW w:w="1134" w:type="dxa"/>
            <w:shd w:val="clear" w:color="auto" w:fill="auto"/>
            <w:vAlign w:val="center"/>
          </w:tcPr>
          <w:p w:rsidR="00A02C86" w:rsidRPr="00B13E9A" w:rsidRDefault="00A02C86" w:rsidP="00D81FA3">
            <w:pPr>
              <w:jc w:val="right"/>
              <w:rPr>
                <w:bCs/>
              </w:rPr>
            </w:pPr>
          </w:p>
        </w:tc>
        <w:tc>
          <w:tcPr>
            <w:tcW w:w="1276" w:type="dxa"/>
            <w:shd w:val="clear" w:color="auto" w:fill="C0C0C0"/>
            <w:vAlign w:val="center"/>
          </w:tcPr>
          <w:p w:rsidR="00A02C86" w:rsidRPr="00B13E9A" w:rsidRDefault="00A02C86" w:rsidP="00D81FA3">
            <w:pPr>
              <w:jc w:val="right"/>
              <w:rPr>
                <w:bCs/>
              </w:rPr>
            </w:pPr>
            <w:r>
              <w:rPr>
                <w:bCs/>
              </w:rPr>
              <w:t>-93</w:t>
            </w:r>
          </w:p>
        </w:tc>
        <w:tc>
          <w:tcPr>
            <w:tcW w:w="1275" w:type="dxa"/>
            <w:shd w:val="clear" w:color="auto" w:fill="auto"/>
            <w:vAlign w:val="center"/>
          </w:tcPr>
          <w:p w:rsidR="00A02C86" w:rsidRPr="00B13E9A" w:rsidRDefault="00A02C86" w:rsidP="00D81FA3">
            <w:pPr>
              <w:jc w:val="right"/>
              <w:rPr>
                <w:bCs/>
              </w:rPr>
            </w:pPr>
            <w:r>
              <w:rPr>
                <w:bCs/>
              </w:rPr>
              <w:t>-67</w:t>
            </w:r>
          </w:p>
        </w:tc>
        <w:tc>
          <w:tcPr>
            <w:tcW w:w="993" w:type="dxa"/>
            <w:shd w:val="clear" w:color="auto" w:fill="auto"/>
            <w:vAlign w:val="center"/>
          </w:tcPr>
          <w:p w:rsidR="00A02C86" w:rsidRPr="00B13E9A" w:rsidRDefault="00A02C86" w:rsidP="00D81FA3">
            <w:pPr>
              <w:jc w:val="right"/>
              <w:rPr>
                <w:bCs/>
              </w:rPr>
            </w:pPr>
          </w:p>
        </w:tc>
      </w:tr>
      <w:tr w:rsidR="00A02C86" w:rsidRPr="00B13E9A" w:rsidTr="00D26C39">
        <w:tc>
          <w:tcPr>
            <w:tcW w:w="3022" w:type="dxa"/>
            <w:shd w:val="clear" w:color="auto" w:fill="auto"/>
          </w:tcPr>
          <w:p w:rsidR="00A02C86" w:rsidRPr="00B13E9A" w:rsidRDefault="00A02C86" w:rsidP="00D81FA3">
            <w:pPr>
              <w:rPr>
                <w:bCs/>
              </w:rPr>
            </w:pPr>
            <w:r w:rsidRPr="00B13E9A">
              <w:rPr>
                <w:bCs/>
              </w:rPr>
              <w:t>Konzern</w:t>
            </w:r>
          </w:p>
        </w:tc>
        <w:tc>
          <w:tcPr>
            <w:tcW w:w="1231" w:type="dxa"/>
            <w:shd w:val="clear" w:color="auto" w:fill="C0C0C0"/>
            <w:vAlign w:val="center"/>
          </w:tcPr>
          <w:p w:rsidR="00A02C86" w:rsidRPr="00B13E9A" w:rsidRDefault="00A02C86" w:rsidP="00D81FA3">
            <w:pPr>
              <w:jc w:val="right"/>
              <w:rPr>
                <w:bCs/>
              </w:rPr>
            </w:pPr>
            <w:r w:rsidRPr="00B13E9A">
              <w:rPr>
                <w:bCs/>
              </w:rPr>
              <w:t>3.263</w:t>
            </w:r>
          </w:p>
        </w:tc>
        <w:tc>
          <w:tcPr>
            <w:tcW w:w="1134" w:type="dxa"/>
            <w:shd w:val="clear" w:color="auto" w:fill="auto"/>
            <w:vAlign w:val="center"/>
          </w:tcPr>
          <w:p w:rsidR="00A02C86" w:rsidRPr="00B13E9A" w:rsidRDefault="00A02C86" w:rsidP="00D81FA3">
            <w:pPr>
              <w:jc w:val="right"/>
              <w:rPr>
                <w:bCs/>
              </w:rPr>
            </w:pPr>
            <w:r w:rsidRPr="00B13E9A">
              <w:rPr>
                <w:bCs/>
              </w:rPr>
              <w:t>3.407</w:t>
            </w:r>
          </w:p>
        </w:tc>
        <w:tc>
          <w:tcPr>
            <w:tcW w:w="1134" w:type="dxa"/>
            <w:shd w:val="clear" w:color="auto" w:fill="auto"/>
            <w:vAlign w:val="center"/>
          </w:tcPr>
          <w:p w:rsidR="00A02C86" w:rsidRPr="00B13E9A" w:rsidRDefault="00A02C86" w:rsidP="00D81FA3">
            <w:pPr>
              <w:jc w:val="right"/>
              <w:rPr>
                <w:bCs/>
              </w:rPr>
            </w:pPr>
            <w:r w:rsidRPr="00B13E9A">
              <w:rPr>
                <w:bCs/>
              </w:rPr>
              <w:t>-4</w:t>
            </w:r>
          </w:p>
        </w:tc>
        <w:tc>
          <w:tcPr>
            <w:tcW w:w="1276" w:type="dxa"/>
            <w:shd w:val="clear" w:color="auto" w:fill="C0C0C0"/>
            <w:vAlign w:val="center"/>
          </w:tcPr>
          <w:p w:rsidR="00A02C86" w:rsidRPr="00B13E9A" w:rsidRDefault="00A02C86" w:rsidP="00D81FA3">
            <w:pPr>
              <w:jc w:val="right"/>
              <w:rPr>
                <w:bCs/>
              </w:rPr>
            </w:pPr>
            <w:r w:rsidRPr="00B13E9A">
              <w:rPr>
                <w:bCs/>
              </w:rPr>
              <w:t>589</w:t>
            </w:r>
          </w:p>
        </w:tc>
        <w:tc>
          <w:tcPr>
            <w:tcW w:w="1275" w:type="dxa"/>
            <w:shd w:val="clear" w:color="auto" w:fill="auto"/>
            <w:vAlign w:val="center"/>
          </w:tcPr>
          <w:p w:rsidR="00A02C86" w:rsidRPr="00B13E9A" w:rsidRDefault="00A02C86" w:rsidP="00D81FA3">
            <w:pPr>
              <w:jc w:val="right"/>
              <w:rPr>
                <w:bCs/>
              </w:rPr>
            </w:pPr>
            <w:r w:rsidRPr="00B13E9A">
              <w:rPr>
                <w:bCs/>
              </w:rPr>
              <w:t>656</w:t>
            </w:r>
          </w:p>
        </w:tc>
        <w:tc>
          <w:tcPr>
            <w:tcW w:w="993" w:type="dxa"/>
            <w:shd w:val="clear" w:color="auto" w:fill="auto"/>
            <w:vAlign w:val="center"/>
          </w:tcPr>
          <w:p w:rsidR="00A02C86" w:rsidRPr="00B13E9A" w:rsidRDefault="00A02C86" w:rsidP="00D81FA3">
            <w:pPr>
              <w:jc w:val="right"/>
              <w:rPr>
                <w:bCs/>
              </w:rPr>
            </w:pPr>
            <w:r w:rsidRPr="00B13E9A">
              <w:rPr>
                <w:bCs/>
              </w:rPr>
              <w:t>-10</w:t>
            </w:r>
          </w:p>
        </w:tc>
      </w:tr>
    </w:tbl>
    <w:p w:rsidR="00A02C86" w:rsidRDefault="00617B2D" w:rsidP="00BE5DBC">
      <w:pPr>
        <w:ind w:left="142"/>
        <w:rPr>
          <w:bCs/>
        </w:rPr>
      </w:pPr>
      <w:r>
        <w:rPr>
          <w:bCs/>
        </w:rPr>
        <w:t>Fortgeführte Aktivitäten</w:t>
      </w:r>
      <w:r w:rsidR="005F4E6A">
        <w:rPr>
          <w:bCs/>
        </w:rPr>
        <w:t>; Vorjahreszahlen angepasst</w:t>
      </w:r>
    </w:p>
    <w:p w:rsidR="00A02C86" w:rsidRDefault="00A02C86" w:rsidP="00A02C86">
      <w:pPr>
        <w:rPr>
          <w:bCs/>
        </w:rPr>
      </w:pPr>
    </w:p>
    <w:p w:rsidR="00A02C86" w:rsidRPr="00D941D1" w:rsidRDefault="00A02C86" w:rsidP="00BE5DBC">
      <w:pPr>
        <w:spacing w:after="120"/>
        <w:rPr>
          <w:b/>
          <w:bCs/>
        </w:rPr>
      </w:pPr>
      <w:r w:rsidRPr="00D941D1">
        <w:rPr>
          <w:b/>
          <w:bCs/>
        </w:rPr>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A02C86" w:rsidRPr="00BE5DBC" w:rsidTr="00617B2D">
        <w:tc>
          <w:tcPr>
            <w:tcW w:w="4122" w:type="dxa"/>
            <w:shd w:val="clear" w:color="auto" w:fill="auto"/>
          </w:tcPr>
          <w:p w:rsidR="00A02C86" w:rsidRPr="00B13E9A" w:rsidRDefault="00A02C86" w:rsidP="00D81FA3">
            <w:pPr>
              <w:rPr>
                <w:bCs/>
              </w:rPr>
            </w:pPr>
          </w:p>
        </w:tc>
        <w:tc>
          <w:tcPr>
            <w:tcW w:w="2172" w:type="dxa"/>
            <w:shd w:val="clear" w:color="auto" w:fill="auto"/>
          </w:tcPr>
          <w:p w:rsidR="00A02C86" w:rsidRPr="00BE5DBC" w:rsidRDefault="00A02C86" w:rsidP="00D81FA3">
            <w:pPr>
              <w:jc w:val="center"/>
              <w:rPr>
                <w:b/>
                <w:bCs/>
              </w:rPr>
            </w:pPr>
            <w:r w:rsidRPr="00BE5DBC">
              <w:rPr>
                <w:b/>
                <w:bCs/>
              </w:rPr>
              <w:t>31.03.2013</w:t>
            </w:r>
          </w:p>
        </w:tc>
        <w:tc>
          <w:tcPr>
            <w:tcW w:w="2173" w:type="dxa"/>
            <w:shd w:val="clear" w:color="auto" w:fill="auto"/>
          </w:tcPr>
          <w:p w:rsidR="00A02C86" w:rsidRPr="00BE5DBC" w:rsidRDefault="00A02C86" w:rsidP="00D81FA3">
            <w:pPr>
              <w:jc w:val="center"/>
              <w:rPr>
                <w:b/>
                <w:bCs/>
              </w:rPr>
            </w:pPr>
            <w:r w:rsidRPr="00BE5DBC">
              <w:rPr>
                <w:b/>
                <w:bCs/>
              </w:rPr>
              <w:t>31.12.2012</w:t>
            </w:r>
          </w:p>
        </w:tc>
      </w:tr>
      <w:tr w:rsidR="00A02C86" w:rsidRPr="00B13E9A" w:rsidTr="00617B2D">
        <w:tc>
          <w:tcPr>
            <w:tcW w:w="4122" w:type="dxa"/>
            <w:shd w:val="clear" w:color="auto" w:fill="auto"/>
          </w:tcPr>
          <w:p w:rsidR="00A02C86" w:rsidRPr="00B13E9A" w:rsidRDefault="00A02C86" w:rsidP="00D81FA3">
            <w:pPr>
              <w:rPr>
                <w:bCs/>
              </w:rPr>
            </w:pPr>
            <w:r w:rsidRPr="00B13E9A">
              <w:rPr>
                <w:bCs/>
              </w:rPr>
              <w:t xml:space="preserve">Consumer, </w:t>
            </w:r>
            <w:proofErr w:type="spellStart"/>
            <w:r w:rsidRPr="00B13E9A">
              <w:rPr>
                <w:bCs/>
              </w:rPr>
              <w:t>Health</w:t>
            </w:r>
            <w:proofErr w:type="spellEnd"/>
            <w:r w:rsidRPr="00B13E9A">
              <w:rPr>
                <w:bCs/>
              </w:rPr>
              <w:t xml:space="preserve"> &amp; Nutrition</w:t>
            </w:r>
          </w:p>
        </w:tc>
        <w:tc>
          <w:tcPr>
            <w:tcW w:w="2172" w:type="dxa"/>
            <w:shd w:val="clear" w:color="auto" w:fill="auto"/>
          </w:tcPr>
          <w:p w:rsidR="00A02C86" w:rsidRPr="00B13E9A" w:rsidRDefault="00A02C86" w:rsidP="00D81FA3">
            <w:pPr>
              <w:jc w:val="right"/>
              <w:rPr>
                <w:bCs/>
              </w:rPr>
            </w:pPr>
            <w:r w:rsidRPr="00B13E9A">
              <w:rPr>
                <w:bCs/>
              </w:rPr>
              <w:t>6.878</w:t>
            </w:r>
          </w:p>
        </w:tc>
        <w:tc>
          <w:tcPr>
            <w:tcW w:w="2173" w:type="dxa"/>
            <w:shd w:val="clear" w:color="auto" w:fill="auto"/>
          </w:tcPr>
          <w:p w:rsidR="00A02C86" w:rsidRPr="00B13E9A" w:rsidRDefault="00A02C86" w:rsidP="00D81FA3">
            <w:pPr>
              <w:jc w:val="right"/>
              <w:rPr>
                <w:bCs/>
              </w:rPr>
            </w:pPr>
            <w:r w:rsidRPr="00B13E9A">
              <w:rPr>
                <w:bCs/>
              </w:rPr>
              <w:t>6.821</w:t>
            </w:r>
          </w:p>
        </w:tc>
      </w:tr>
      <w:tr w:rsidR="00A02C86" w:rsidRPr="00B13E9A" w:rsidTr="00617B2D">
        <w:tc>
          <w:tcPr>
            <w:tcW w:w="4122" w:type="dxa"/>
            <w:shd w:val="clear" w:color="auto" w:fill="auto"/>
          </w:tcPr>
          <w:p w:rsidR="00A02C86" w:rsidRPr="00B13E9A" w:rsidRDefault="00A02C86" w:rsidP="00D81FA3">
            <w:pPr>
              <w:rPr>
                <w:bCs/>
              </w:rPr>
            </w:pPr>
            <w:proofErr w:type="spellStart"/>
            <w:r w:rsidRPr="00B13E9A">
              <w:rPr>
                <w:bCs/>
              </w:rPr>
              <w:t>Resource</w:t>
            </w:r>
            <w:proofErr w:type="spellEnd"/>
            <w:r w:rsidRPr="00B13E9A">
              <w:rPr>
                <w:bCs/>
              </w:rPr>
              <w:t xml:space="preserve"> Efficiency</w:t>
            </w:r>
          </w:p>
        </w:tc>
        <w:tc>
          <w:tcPr>
            <w:tcW w:w="2172" w:type="dxa"/>
            <w:shd w:val="clear" w:color="auto" w:fill="auto"/>
          </w:tcPr>
          <w:p w:rsidR="00A02C86" w:rsidRPr="00B13E9A" w:rsidRDefault="00A02C86" w:rsidP="00D81FA3">
            <w:pPr>
              <w:jc w:val="right"/>
              <w:rPr>
                <w:bCs/>
              </w:rPr>
            </w:pPr>
            <w:r w:rsidRPr="00B13E9A">
              <w:rPr>
                <w:bCs/>
              </w:rPr>
              <w:t>5.806</w:t>
            </w:r>
          </w:p>
        </w:tc>
        <w:tc>
          <w:tcPr>
            <w:tcW w:w="2173" w:type="dxa"/>
            <w:shd w:val="clear" w:color="auto" w:fill="auto"/>
          </w:tcPr>
          <w:p w:rsidR="00A02C86" w:rsidRPr="00B13E9A" w:rsidRDefault="00A02C86" w:rsidP="00D81FA3">
            <w:pPr>
              <w:jc w:val="right"/>
              <w:rPr>
                <w:bCs/>
              </w:rPr>
            </w:pPr>
            <w:r w:rsidRPr="00B13E9A">
              <w:rPr>
                <w:bCs/>
              </w:rPr>
              <w:t>5.755</w:t>
            </w:r>
          </w:p>
        </w:tc>
      </w:tr>
      <w:tr w:rsidR="00A02C86" w:rsidRPr="00B13E9A" w:rsidTr="00617B2D">
        <w:tc>
          <w:tcPr>
            <w:tcW w:w="4122" w:type="dxa"/>
            <w:shd w:val="clear" w:color="auto" w:fill="auto"/>
          </w:tcPr>
          <w:p w:rsidR="00A02C86" w:rsidRPr="00B13E9A" w:rsidRDefault="00A02C86" w:rsidP="00D81FA3">
            <w:pPr>
              <w:rPr>
                <w:bCs/>
              </w:rPr>
            </w:pPr>
            <w:r w:rsidRPr="00B13E9A">
              <w:rPr>
                <w:bCs/>
              </w:rPr>
              <w:t>Specialty Materials</w:t>
            </w:r>
          </w:p>
        </w:tc>
        <w:tc>
          <w:tcPr>
            <w:tcW w:w="2172" w:type="dxa"/>
            <w:shd w:val="clear" w:color="auto" w:fill="auto"/>
          </w:tcPr>
          <w:p w:rsidR="00A02C86" w:rsidRPr="00B13E9A" w:rsidRDefault="00A02C86" w:rsidP="00D81FA3">
            <w:pPr>
              <w:jc w:val="right"/>
              <w:rPr>
                <w:bCs/>
              </w:rPr>
            </w:pPr>
            <w:r w:rsidRPr="00B13E9A">
              <w:rPr>
                <w:bCs/>
              </w:rPr>
              <w:t>6.229</w:t>
            </w:r>
          </w:p>
        </w:tc>
        <w:tc>
          <w:tcPr>
            <w:tcW w:w="2173" w:type="dxa"/>
            <w:shd w:val="clear" w:color="auto" w:fill="auto"/>
          </w:tcPr>
          <w:p w:rsidR="00A02C86" w:rsidRPr="00B13E9A" w:rsidRDefault="00A02C86" w:rsidP="00D81FA3">
            <w:pPr>
              <w:jc w:val="right"/>
              <w:rPr>
                <w:bCs/>
              </w:rPr>
            </w:pPr>
            <w:r w:rsidRPr="00B13E9A">
              <w:rPr>
                <w:bCs/>
              </w:rPr>
              <w:t>6.134</w:t>
            </w:r>
          </w:p>
        </w:tc>
      </w:tr>
      <w:tr w:rsidR="00A02C86" w:rsidRPr="00B13E9A" w:rsidTr="00617B2D">
        <w:tc>
          <w:tcPr>
            <w:tcW w:w="4122" w:type="dxa"/>
            <w:shd w:val="clear" w:color="auto" w:fill="auto"/>
          </w:tcPr>
          <w:p w:rsidR="00A02C86" w:rsidRPr="00B13E9A" w:rsidRDefault="00A02C86" w:rsidP="00D81FA3">
            <w:pPr>
              <w:rPr>
                <w:bCs/>
              </w:rPr>
            </w:pPr>
            <w:r w:rsidRPr="00B13E9A">
              <w:rPr>
                <w:bCs/>
              </w:rPr>
              <w:t>Services</w:t>
            </w:r>
          </w:p>
        </w:tc>
        <w:tc>
          <w:tcPr>
            <w:tcW w:w="2172" w:type="dxa"/>
            <w:shd w:val="clear" w:color="auto" w:fill="auto"/>
          </w:tcPr>
          <w:p w:rsidR="00A02C86" w:rsidRPr="00B13E9A" w:rsidRDefault="00A02C86" w:rsidP="00D81FA3">
            <w:pPr>
              <w:jc w:val="right"/>
              <w:rPr>
                <w:bCs/>
              </w:rPr>
            </w:pPr>
            <w:r w:rsidRPr="00B13E9A">
              <w:rPr>
                <w:bCs/>
              </w:rPr>
              <w:t>11.825</w:t>
            </w:r>
          </w:p>
        </w:tc>
        <w:tc>
          <w:tcPr>
            <w:tcW w:w="2173" w:type="dxa"/>
            <w:shd w:val="clear" w:color="auto" w:fill="auto"/>
          </w:tcPr>
          <w:p w:rsidR="00A02C86" w:rsidRPr="00B13E9A" w:rsidRDefault="00A02C86" w:rsidP="00D81FA3">
            <w:pPr>
              <w:jc w:val="right"/>
              <w:rPr>
                <w:bCs/>
              </w:rPr>
            </w:pPr>
            <w:r w:rsidRPr="00B13E9A">
              <w:rPr>
                <w:bCs/>
              </w:rPr>
              <w:t>11.900</w:t>
            </w:r>
          </w:p>
        </w:tc>
      </w:tr>
      <w:tr w:rsidR="00A02C86" w:rsidRPr="00B13E9A" w:rsidTr="00617B2D">
        <w:tc>
          <w:tcPr>
            <w:tcW w:w="4122" w:type="dxa"/>
            <w:shd w:val="clear" w:color="auto" w:fill="auto"/>
          </w:tcPr>
          <w:p w:rsidR="00A02C86" w:rsidRPr="00B13E9A" w:rsidRDefault="00A02C86" w:rsidP="00D81FA3">
            <w:pPr>
              <w:rPr>
                <w:bCs/>
              </w:rPr>
            </w:pPr>
            <w:r w:rsidRPr="00B13E9A">
              <w:rPr>
                <w:bCs/>
              </w:rPr>
              <w:t>Sonstige Aktivitäten</w:t>
            </w:r>
          </w:p>
        </w:tc>
        <w:tc>
          <w:tcPr>
            <w:tcW w:w="2172" w:type="dxa"/>
            <w:shd w:val="clear" w:color="auto" w:fill="auto"/>
          </w:tcPr>
          <w:p w:rsidR="00A02C86" w:rsidRPr="00B13E9A" w:rsidRDefault="00A02C86" w:rsidP="00D81FA3">
            <w:pPr>
              <w:jc w:val="right"/>
              <w:rPr>
                <w:bCs/>
              </w:rPr>
            </w:pPr>
            <w:r w:rsidRPr="00B13E9A">
              <w:rPr>
                <w:bCs/>
              </w:rPr>
              <w:t>2.076</w:t>
            </w:r>
          </w:p>
        </w:tc>
        <w:tc>
          <w:tcPr>
            <w:tcW w:w="2173" w:type="dxa"/>
            <w:shd w:val="clear" w:color="auto" w:fill="auto"/>
          </w:tcPr>
          <w:p w:rsidR="00A02C86" w:rsidRPr="00B13E9A" w:rsidRDefault="00A02C86" w:rsidP="00D81FA3">
            <w:pPr>
              <w:jc w:val="right"/>
              <w:rPr>
                <w:bCs/>
              </w:rPr>
            </w:pPr>
            <w:r w:rsidRPr="00B13E9A">
              <w:rPr>
                <w:bCs/>
              </w:rPr>
              <w:t>2.071</w:t>
            </w:r>
          </w:p>
        </w:tc>
      </w:tr>
      <w:tr w:rsidR="00A02C86" w:rsidRPr="00B13E9A" w:rsidTr="00617B2D">
        <w:tc>
          <w:tcPr>
            <w:tcW w:w="4122" w:type="dxa"/>
            <w:shd w:val="clear" w:color="auto" w:fill="auto"/>
          </w:tcPr>
          <w:p w:rsidR="00A02C86" w:rsidRPr="00B13E9A" w:rsidRDefault="00A02C86" w:rsidP="00D81FA3">
            <w:pPr>
              <w:rPr>
                <w:bCs/>
              </w:rPr>
            </w:pPr>
            <w:r w:rsidRPr="00B13E9A">
              <w:rPr>
                <w:bCs/>
              </w:rPr>
              <w:t>Fortgeführte Aktivitäten</w:t>
            </w:r>
          </w:p>
        </w:tc>
        <w:tc>
          <w:tcPr>
            <w:tcW w:w="2172" w:type="dxa"/>
            <w:shd w:val="clear" w:color="auto" w:fill="auto"/>
          </w:tcPr>
          <w:p w:rsidR="00A02C86" w:rsidRPr="00B13E9A" w:rsidRDefault="00A02C86" w:rsidP="00D81FA3">
            <w:pPr>
              <w:jc w:val="right"/>
              <w:rPr>
                <w:bCs/>
              </w:rPr>
            </w:pPr>
            <w:r w:rsidRPr="00B13E9A">
              <w:rPr>
                <w:bCs/>
              </w:rPr>
              <w:t>32.814</w:t>
            </w:r>
          </w:p>
        </w:tc>
        <w:tc>
          <w:tcPr>
            <w:tcW w:w="2173" w:type="dxa"/>
            <w:shd w:val="clear" w:color="auto" w:fill="auto"/>
          </w:tcPr>
          <w:p w:rsidR="00A02C86" w:rsidRPr="00B13E9A" w:rsidRDefault="00A02C86" w:rsidP="00D81FA3">
            <w:pPr>
              <w:jc w:val="right"/>
              <w:rPr>
                <w:bCs/>
              </w:rPr>
            </w:pPr>
            <w:r w:rsidRPr="00B13E9A">
              <w:rPr>
                <w:bCs/>
              </w:rPr>
              <w:t>32.681</w:t>
            </w:r>
          </w:p>
        </w:tc>
      </w:tr>
      <w:tr w:rsidR="00A02C86" w:rsidRPr="00B13E9A" w:rsidTr="00617B2D">
        <w:tc>
          <w:tcPr>
            <w:tcW w:w="4122" w:type="dxa"/>
            <w:shd w:val="clear" w:color="auto" w:fill="auto"/>
          </w:tcPr>
          <w:p w:rsidR="00A02C86" w:rsidRPr="00B13E9A" w:rsidRDefault="00A02C86" w:rsidP="00D81FA3">
            <w:pPr>
              <w:rPr>
                <w:bCs/>
              </w:rPr>
            </w:pPr>
            <w:r w:rsidRPr="00B13E9A">
              <w:rPr>
                <w:bCs/>
              </w:rPr>
              <w:t>Nicht fortgeführte Aktivitäten (Real Estate)</w:t>
            </w:r>
          </w:p>
        </w:tc>
        <w:tc>
          <w:tcPr>
            <w:tcW w:w="2172" w:type="dxa"/>
            <w:shd w:val="clear" w:color="auto" w:fill="auto"/>
          </w:tcPr>
          <w:p w:rsidR="00A02C86" w:rsidRPr="00B13E9A" w:rsidRDefault="00A02C86" w:rsidP="00D81FA3">
            <w:pPr>
              <w:jc w:val="right"/>
              <w:rPr>
                <w:bCs/>
              </w:rPr>
            </w:pPr>
            <w:r w:rsidRPr="00B13E9A">
              <w:rPr>
                <w:bCs/>
              </w:rPr>
              <w:t>641</w:t>
            </w:r>
          </w:p>
        </w:tc>
        <w:tc>
          <w:tcPr>
            <w:tcW w:w="2173" w:type="dxa"/>
            <w:shd w:val="clear" w:color="auto" w:fill="auto"/>
          </w:tcPr>
          <w:p w:rsidR="00A02C86" w:rsidRPr="00B13E9A" w:rsidRDefault="00A02C86" w:rsidP="00D81FA3">
            <w:pPr>
              <w:jc w:val="right"/>
              <w:rPr>
                <w:bCs/>
              </w:rPr>
            </w:pPr>
            <w:r w:rsidRPr="00B13E9A">
              <w:rPr>
                <w:bCs/>
              </w:rPr>
              <w:t>617</w:t>
            </w:r>
          </w:p>
        </w:tc>
      </w:tr>
      <w:tr w:rsidR="00A02C86" w:rsidRPr="00BE5DBC" w:rsidTr="00617B2D">
        <w:tc>
          <w:tcPr>
            <w:tcW w:w="4122" w:type="dxa"/>
            <w:shd w:val="clear" w:color="auto" w:fill="auto"/>
          </w:tcPr>
          <w:p w:rsidR="00A02C86" w:rsidRPr="00BE5DBC" w:rsidRDefault="00A02C86" w:rsidP="00D81FA3">
            <w:pPr>
              <w:rPr>
                <w:b/>
                <w:bCs/>
              </w:rPr>
            </w:pPr>
            <w:r w:rsidRPr="00BE5DBC">
              <w:rPr>
                <w:b/>
                <w:bCs/>
              </w:rPr>
              <w:t>Evonik</w:t>
            </w:r>
          </w:p>
        </w:tc>
        <w:tc>
          <w:tcPr>
            <w:tcW w:w="2172" w:type="dxa"/>
            <w:shd w:val="clear" w:color="auto" w:fill="auto"/>
          </w:tcPr>
          <w:p w:rsidR="00A02C86" w:rsidRPr="00BE5DBC" w:rsidRDefault="00A02C86" w:rsidP="00D81FA3">
            <w:pPr>
              <w:jc w:val="right"/>
              <w:rPr>
                <w:b/>
                <w:bCs/>
              </w:rPr>
            </w:pPr>
            <w:r w:rsidRPr="00BE5DBC">
              <w:rPr>
                <w:b/>
                <w:bCs/>
              </w:rPr>
              <w:t>33.455</w:t>
            </w:r>
          </w:p>
        </w:tc>
        <w:tc>
          <w:tcPr>
            <w:tcW w:w="2173" w:type="dxa"/>
            <w:shd w:val="clear" w:color="auto" w:fill="auto"/>
          </w:tcPr>
          <w:p w:rsidR="00A02C86" w:rsidRPr="00BE5DBC" w:rsidRDefault="00A02C86" w:rsidP="00D81FA3">
            <w:pPr>
              <w:jc w:val="right"/>
              <w:rPr>
                <w:b/>
                <w:bCs/>
              </w:rPr>
            </w:pPr>
            <w:r w:rsidRPr="00BE5DBC">
              <w:rPr>
                <w:b/>
                <w:bCs/>
              </w:rPr>
              <w:t>33.298</w:t>
            </w:r>
          </w:p>
        </w:tc>
      </w:tr>
    </w:tbl>
    <w:p w:rsidR="00A02C86" w:rsidRPr="00B13E9A" w:rsidRDefault="00A02C86" w:rsidP="00A02C86">
      <w:pPr>
        <w:rPr>
          <w:bCs/>
          <w:lang w:eastAsia="en-US"/>
        </w:rPr>
      </w:pPr>
    </w:p>
    <w:p w:rsidR="00A02C86" w:rsidRDefault="00A02C86">
      <w:pPr>
        <w:spacing w:line="240" w:lineRule="auto"/>
        <w:ind w:left="0" w:right="0"/>
        <w:rPr>
          <w:b/>
          <w:bCs/>
          <w:sz w:val="22"/>
          <w:szCs w:val="22"/>
        </w:rPr>
      </w:pPr>
    </w:p>
    <w:p w:rsidR="00BE5DBC" w:rsidRDefault="00BE5DBC">
      <w:pPr>
        <w:spacing w:line="240" w:lineRule="auto"/>
        <w:ind w:left="0" w:right="0"/>
        <w:rPr>
          <w:rFonts w:cs="Lucida Sans Unicode"/>
          <w:b/>
          <w:bCs/>
          <w:szCs w:val="18"/>
        </w:rPr>
      </w:pPr>
      <w:r>
        <w:rPr>
          <w:rFonts w:cs="Lucida Sans Unicode"/>
          <w:b/>
          <w:bCs/>
          <w:szCs w:val="18"/>
        </w:rPr>
        <w:br w:type="page"/>
      </w:r>
    </w:p>
    <w:p w:rsidR="009D734A" w:rsidRPr="006B08C8" w:rsidRDefault="009D734A" w:rsidP="00BE5DBC">
      <w:pPr>
        <w:spacing w:line="240" w:lineRule="auto"/>
        <w:ind w:left="0" w:right="0"/>
        <w:rPr>
          <w:rFonts w:cs="Lucida Sans Unicode"/>
          <w:b/>
          <w:bCs/>
          <w:szCs w:val="18"/>
        </w:rPr>
      </w:pPr>
      <w:r w:rsidRPr="006B08C8">
        <w:rPr>
          <w:rFonts w:cs="Lucida Sans Unicode"/>
          <w:b/>
          <w:bCs/>
          <w:szCs w:val="18"/>
        </w:rPr>
        <w:lastRenderedPageBreak/>
        <w:t>Rechtlicher Hinweis:</w:t>
      </w:r>
    </w:p>
    <w:p w:rsidR="00A910EA" w:rsidRPr="00BE5DBC" w:rsidRDefault="00A910EA" w:rsidP="00BE5DBC">
      <w:pPr>
        <w:autoSpaceDE w:val="0"/>
        <w:autoSpaceDN w:val="0"/>
        <w:adjustRightInd w:val="0"/>
        <w:spacing w:line="220" w:lineRule="exact"/>
        <w:ind w:left="0" w:right="0"/>
        <w:rPr>
          <w:rFonts w:cs="Lucida Sans Unicode"/>
          <w:position w:val="0"/>
          <w:szCs w:val="18"/>
        </w:rPr>
      </w:pPr>
      <w:r w:rsidRPr="00BE5DBC">
        <w:rPr>
          <w:rFonts w:cs="Lucida Sans Unicode"/>
          <w:position w:val="0"/>
          <w:szCs w:val="18"/>
        </w:rPr>
        <w:t xml:space="preserve">Diese Mitteilung darf nicht in den Vereinigten Staaten von Amerika, Kanada, Australien oder Japan veröffentlicht, verteilt oder übermittelt werden. Diese Mitteilung stellt weder ein Angebot zum Kauf von Wertpapieren noch die Aufforderung zur Abgabe eines Angebots zum Kauf von Wertpapieren (die „Aktien“) der Evonik Industries AG (die „Gesellschaft”) in den Vereinigten Staaten von Amerika, Deutschland oder sonstigen Staaten dar. Die Aktien der Gesellschaft dürfen in den Vereinigten Staaten von Amerika nur nach vorheriger Registrierung oder ohne vorherige Registrierung nur aufgrund einer Ausnahmeregelung von dem Registrierungserfordernis nach den Vorschriften des U.S. Securities </w:t>
      </w:r>
      <w:proofErr w:type="spellStart"/>
      <w:r w:rsidRPr="00BE5DBC">
        <w:rPr>
          <w:rFonts w:cs="Lucida Sans Unicode"/>
          <w:position w:val="0"/>
          <w:szCs w:val="18"/>
        </w:rPr>
        <w:t>Act</w:t>
      </w:r>
      <w:proofErr w:type="spellEnd"/>
      <w:r w:rsidRPr="00BE5DBC">
        <w:rPr>
          <w:rFonts w:cs="Lucida Sans Unicode"/>
          <w:position w:val="0"/>
          <w:szCs w:val="18"/>
        </w:rPr>
        <w:t xml:space="preserve"> von 1933 in der geltenden Fassung (der „Securities </w:t>
      </w:r>
      <w:proofErr w:type="spellStart"/>
      <w:r w:rsidRPr="00BE5DBC">
        <w:rPr>
          <w:rFonts w:cs="Lucida Sans Unicode"/>
          <w:position w:val="0"/>
          <w:szCs w:val="18"/>
        </w:rPr>
        <w:t>Act</w:t>
      </w:r>
      <w:proofErr w:type="spellEnd"/>
      <w:r w:rsidRPr="00BE5DBC">
        <w:rPr>
          <w:rFonts w:cs="Lucida Sans Unicode"/>
          <w:position w:val="0"/>
          <w:szCs w:val="18"/>
        </w:rPr>
        <w:t xml:space="preserve">“) verkauft oder zum Kauf angeboten werden. Die Aktien der Gesellschaft sind nicht und werden nicht unter dem Securities </w:t>
      </w:r>
      <w:proofErr w:type="spellStart"/>
      <w:r w:rsidRPr="00BE5DBC">
        <w:rPr>
          <w:rFonts w:cs="Lucida Sans Unicode"/>
          <w:position w:val="0"/>
          <w:szCs w:val="18"/>
        </w:rPr>
        <w:t>Act</w:t>
      </w:r>
      <w:proofErr w:type="spellEnd"/>
      <w:r w:rsidRPr="00BE5DBC">
        <w:rPr>
          <w:rFonts w:cs="Lucida Sans Unicode"/>
          <w:position w:val="0"/>
          <w:szCs w:val="18"/>
        </w:rPr>
        <w:t xml:space="preserve"> registriert.</w:t>
      </w:r>
    </w:p>
    <w:p w:rsidR="00A910EA" w:rsidRPr="00A910EA" w:rsidRDefault="00A910EA" w:rsidP="00BE5DBC">
      <w:pPr>
        <w:autoSpaceDE w:val="0"/>
        <w:autoSpaceDN w:val="0"/>
        <w:adjustRightInd w:val="0"/>
        <w:spacing w:line="220" w:lineRule="exact"/>
        <w:ind w:left="0" w:right="0"/>
        <w:rPr>
          <w:rFonts w:cs="Lucida Sans Unicode"/>
          <w:position w:val="0"/>
          <w:szCs w:val="18"/>
        </w:rPr>
      </w:pPr>
      <w:r w:rsidRPr="00A910EA">
        <w:rPr>
          <w:rFonts w:cs="Lucida Sans Unicode"/>
          <w:position w:val="0"/>
          <w:szCs w:val="18"/>
        </w:rPr>
        <w:t xml:space="preserve"> </w:t>
      </w:r>
    </w:p>
    <w:p w:rsidR="00A910EA" w:rsidRPr="00A910EA" w:rsidRDefault="00A910EA" w:rsidP="00BE5DBC">
      <w:pPr>
        <w:autoSpaceDE w:val="0"/>
        <w:autoSpaceDN w:val="0"/>
        <w:adjustRightInd w:val="0"/>
        <w:spacing w:line="220" w:lineRule="exact"/>
        <w:ind w:left="0" w:right="0"/>
        <w:rPr>
          <w:rFonts w:cs="Lucida Sans Unicode"/>
          <w:position w:val="0"/>
          <w:szCs w:val="18"/>
        </w:rPr>
      </w:pPr>
      <w:r w:rsidRPr="00A910EA">
        <w:rPr>
          <w:rFonts w:cs="Lucida Sans Unicode"/>
          <w:position w:val="0"/>
          <w:szCs w:val="18"/>
        </w:rPr>
        <w:t xml:space="preserve">Diese Veröffentlichung stellt weder ein Angebot zum Verkauf noch eine Aufforderung zum Kauf von Wertpapieren dar. </w:t>
      </w:r>
      <w:r w:rsidR="00856061">
        <w:rPr>
          <w:rFonts w:cs="Lucida Sans Unicode"/>
          <w:position w:val="0"/>
          <w:szCs w:val="18"/>
        </w:rPr>
        <w:t>Es wird kein öffentliches Angebot von Wertpapieren der Gesellschaft geben.</w:t>
      </w:r>
    </w:p>
    <w:p w:rsidR="00A910EA" w:rsidRPr="00BE5DBC" w:rsidRDefault="00A910EA" w:rsidP="00BE5DBC">
      <w:pPr>
        <w:autoSpaceDE w:val="0"/>
        <w:autoSpaceDN w:val="0"/>
        <w:adjustRightInd w:val="0"/>
        <w:spacing w:line="220" w:lineRule="exact"/>
        <w:ind w:left="0" w:right="0"/>
        <w:rPr>
          <w:rFonts w:cs="Lucida Sans Unicode"/>
          <w:position w:val="0"/>
          <w:szCs w:val="18"/>
        </w:rPr>
      </w:pPr>
      <w:r w:rsidRPr="00BE5DBC">
        <w:rPr>
          <w:rFonts w:cs="Lucida Sans Unicode"/>
          <w:position w:val="0"/>
          <w:szCs w:val="18"/>
        </w:rPr>
        <w:t xml:space="preserve"> </w:t>
      </w:r>
    </w:p>
    <w:p w:rsidR="00FB35AF" w:rsidRDefault="00A910EA" w:rsidP="00BE5DBC">
      <w:pPr>
        <w:autoSpaceDE w:val="0"/>
        <w:autoSpaceDN w:val="0"/>
        <w:adjustRightInd w:val="0"/>
        <w:spacing w:line="220" w:lineRule="exact"/>
        <w:ind w:left="0" w:right="0"/>
        <w:rPr>
          <w:rFonts w:cs="Lucida Sans Unicode"/>
          <w:position w:val="0"/>
          <w:szCs w:val="18"/>
        </w:rPr>
      </w:pPr>
      <w:r w:rsidRPr="00A910EA">
        <w:rPr>
          <w:rFonts w:cs="Lucida Sans Unicode"/>
          <w:position w:val="0"/>
          <w:szCs w:val="18"/>
        </w:rPr>
        <w:t xml:space="preserve">In dem Vereinigten Königreich wird dieses Dokument nur verteilt und es richtet sich nur an Personen, die (i) professionelle Anleger sind und unter Artikel 19(5) des Financial Services </w:t>
      </w:r>
      <w:proofErr w:type="spellStart"/>
      <w:r w:rsidRPr="00A910EA">
        <w:rPr>
          <w:rFonts w:cs="Lucida Sans Unicode"/>
          <w:position w:val="0"/>
          <w:szCs w:val="18"/>
        </w:rPr>
        <w:t>and</w:t>
      </w:r>
      <w:proofErr w:type="spellEnd"/>
      <w:r w:rsidRPr="00A910EA">
        <w:rPr>
          <w:rFonts w:cs="Lucida Sans Unicode"/>
          <w:position w:val="0"/>
          <w:szCs w:val="18"/>
        </w:rPr>
        <w:t xml:space="preserve"> </w:t>
      </w:r>
      <w:proofErr w:type="spellStart"/>
      <w:r w:rsidRPr="00A910EA">
        <w:rPr>
          <w:rFonts w:cs="Lucida Sans Unicode"/>
          <w:position w:val="0"/>
          <w:szCs w:val="18"/>
        </w:rPr>
        <w:t>Markets</w:t>
      </w:r>
      <w:proofErr w:type="spellEnd"/>
      <w:r w:rsidRPr="00A910EA">
        <w:rPr>
          <w:rFonts w:cs="Lucida Sans Unicode"/>
          <w:position w:val="0"/>
          <w:szCs w:val="18"/>
        </w:rPr>
        <w:t xml:space="preserve"> </w:t>
      </w:r>
      <w:proofErr w:type="spellStart"/>
      <w:r w:rsidRPr="00A910EA">
        <w:rPr>
          <w:rFonts w:cs="Lucida Sans Unicode"/>
          <w:position w:val="0"/>
          <w:szCs w:val="18"/>
        </w:rPr>
        <w:t>Act</w:t>
      </w:r>
      <w:proofErr w:type="spellEnd"/>
      <w:r w:rsidRPr="00A910EA">
        <w:rPr>
          <w:rFonts w:cs="Lucida Sans Unicode"/>
          <w:position w:val="0"/>
          <w:szCs w:val="18"/>
        </w:rPr>
        <w:t xml:space="preserve"> 2000 (Financial Promotion) Order 2005 in der geltenden Fassung (die „Verordnung”) fallen oder (ii) Personen sind, die unter Artikel 49(2)(a) </w:t>
      </w:r>
      <w:r w:rsidR="008224A5">
        <w:rPr>
          <w:rFonts w:cs="Lucida Sans Unicode"/>
          <w:position w:val="0"/>
          <w:szCs w:val="18"/>
        </w:rPr>
        <w:t>bis</w:t>
      </w:r>
      <w:r w:rsidRPr="00A910EA">
        <w:rPr>
          <w:rFonts w:cs="Lucida Sans Unicode"/>
          <w:position w:val="0"/>
          <w:szCs w:val="18"/>
        </w:rPr>
        <w:t xml:space="preserve"> (d) der Verordnung fallen („high </w:t>
      </w:r>
      <w:proofErr w:type="spellStart"/>
      <w:r w:rsidRPr="00A910EA">
        <w:rPr>
          <w:rFonts w:cs="Lucida Sans Unicode"/>
          <w:position w:val="0"/>
          <w:szCs w:val="18"/>
        </w:rPr>
        <w:t>net</w:t>
      </w:r>
      <w:proofErr w:type="spellEnd"/>
      <w:r w:rsidRPr="00A910EA">
        <w:rPr>
          <w:rFonts w:cs="Lucida Sans Unicode"/>
          <w:position w:val="0"/>
          <w:szCs w:val="18"/>
        </w:rPr>
        <w:t xml:space="preserve"> </w:t>
      </w:r>
      <w:proofErr w:type="spellStart"/>
      <w:r w:rsidRPr="00A910EA">
        <w:rPr>
          <w:rFonts w:cs="Lucida Sans Unicode"/>
          <w:position w:val="0"/>
          <w:szCs w:val="18"/>
        </w:rPr>
        <w:t>worth</w:t>
      </w:r>
      <w:proofErr w:type="spellEnd"/>
      <w:r w:rsidRPr="00A910EA">
        <w:rPr>
          <w:rFonts w:cs="Lucida Sans Unicode"/>
          <w:position w:val="0"/>
          <w:szCs w:val="18"/>
        </w:rPr>
        <w:t xml:space="preserve"> </w:t>
      </w:r>
      <w:proofErr w:type="spellStart"/>
      <w:r w:rsidRPr="00A910EA">
        <w:rPr>
          <w:rFonts w:cs="Lucida Sans Unicode"/>
          <w:position w:val="0"/>
          <w:szCs w:val="18"/>
        </w:rPr>
        <w:t>companies</w:t>
      </w:r>
      <w:proofErr w:type="spellEnd"/>
      <w:r w:rsidRPr="00A910EA">
        <w:rPr>
          <w:rFonts w:cs="Lucida Sans Unicode"/>
          <w:position w:val="0"/>
          <w:szCs w:val="18"/>
        </w:rPr>
        <w:t>”, „</w:t>
      </w:r>
      <w:proofErr w:type="spellStart"/>
      <w:r w:rsidRPr="00A910EA">
        <w:rPr>
          <w:rFonts w:cs="Lucida Sans Unicode"/>
          <w:position w:val="0"/>
          <w:szCs w:val="18"/>
        </w:rPr>
        <w:t>unincorporated</w:t>
      </w:r>
      <w:proofErr w:type="spellEnd"/>
      <w:r w:rsidRPr="00A910EA">
        <w:rPr>
          <w:rFonts w:cs="Lucida Sans Unicode"/>
          <w:position w:val="0"/>
          <w:szCs w:val="18"/>
        </w:rPr>
        <w:t xml:space="preserve"> </w:t>
      </w:r>
      <w:proofErr w:type="spellStart"/>
      <w:r w:rsidRPr="00A910EA">
        <w:rPr>
          <w:rFonts w:cs="Lucida Sans Unicode"/>
          <w:position w:val="0"/>
          <w:szCs w:val="18"/>
        </w:rPr>
        <w:t>associations</w:t>
      </w:r>
      <w:proofErr w:type="spellEnd"/>
      <w:r w:rsidRPr="00A910EA">
        <w:rPr>
          <w:rFonts w:cs="Lucida Sans Unicode"/>
          <w:position w:val="0"/>
          <w:szCs w:val="18"/>
        </w:rPr>
        <w:t>“ etc.) (wobei diese Personen zusammen als „Relevante Personen“ bezeichnet werden).  Dieses Dokument richtet sich nur an Relevante Personen und auf Basis dieses Dokuments dürfen Personen nicht handeln und nicht vertrauen, die keine Relevante Personen sind.  Jede Investition oder jede Investitionstätigkeit, auf die sich dieses Dokument bezieht, steht nur den Relevanten Personen offen und wird nur mit Relevanten Personen eingegangen.</w:t>
      </w:r>
    </w:p>
    <w:p w:rsidR="00A910EA" w:rsidRPr="00FB35AF" w:rsidRDefault="00A910EA" w:rsidP="00BE5DBC">
      <w:pPr>
        <w:autoSpaceDE w:val="0"/>
        <w:autoSpaceDN w:val="0"/>
        <w:adjustRightInd w:val="0"/>
        <w:spacing w:line="220" w:lineRule="exact"/>
        <w:ind w:left="0" w:right="0"/>
        <w:rPr>
          <w:rFonts w:cs="Lucida Sans Unicode"/>
          <w:position w:val="0"/>
          <w:szCs w:val="18"/>
        </w:rPr>
      </w:pPr>
    </w:p>
    <w:p w:rsidR="009D734A" w:rsidRPr="00BE5DBC" w:rsidRDefault="00FB35AF" w:rsidP="00BE5DBC">
      <w:pPr>
        <w:autoSpaceDE w:val="0"/>
        <w:autoSpaceDN w:val="0"/>
        <w:adjustRightInd w:val="0"/>
        <w:spacing w:line="220" w:lineRule="exact"/>
        <w:ind w:left="0" w:right="0"/>
        <w:rPr>
          <w:rFonts w:cs="Lucida Sans Unicode"/>
          <w:position w:val="0"/>
          <w:szCs w:val="18"/>
        </w:rPr>
      </w:pPr>
      <w:r w:rsidRPr="00FB35AF">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734A" w:rsidRPr="00BE5DBC" w:rsidRDefault="009D734A" w:rsidP="00BE5DBC">
      <w:pPr>
        <w:autoSpaceDE w:val="0"/>
        <w:autoSpaceDN w:val="0"/>
        <w:adjustRightInd w:val="0"/>
        <w:spacing w:line="240" w:lineRule="auto"/>
        <w:ind w:left="0" w:right="0"/>
        <w:rPr>
          <w:rFonts w:cs="Lucida Sans Unicode"/>
          <w:position w:val="0"/>
          <w:szCs w:val="18"/>
        </w:rPr>
      </w:pPr>
    </w:p>
    <w:p w:rsidR="009D734A" w:rsidRDefault="009D734A">
      <w:pPr>
        <w:spacing w:line="240" w:lineRule="auto"/>
        <w:ind w:left="0" w:right="0"/>
        <w:rPr>
          <w:rFonts w:cs="Lucida Sans Unicode"/>
          <w:b/>
          <w:bCs/>
          <w:szCs w:val="18"/>
        </w:rPr>
      </w:pPr>
    </w:p>
    <w:p w:rsidR="009D734A" w:rsidRDefault="00923E7C" w:rsidP="009D734A">
      <w:pPr>
        <w:autoSpaceDE w:val="0"/>
        <w:autoSpaceDN w:val="0"/>
        <w:adjustRightInd w:val="0"/>
        <w:spacing w:line="220" w:lineRule="exact"/>
        <w:ind w:left="0"/>
        <w:rPr>
          <w:rFonts w:cs="Lucida Sans Unicode"/>
          <w:b/>
          <w:bCs/>
          <w:szCs w:val="18"/>
        </w:rPr>
      </w:pPr>
      <w:r>
        <w:rPr>
          <w:rFonts w:cs="Lucida Sans Unicode"/>
          <w:b/>
          <w:bCs/>
          <w:szCs w:val="18"/>
        </w:rPr>
        <w:br w:type="column"/>
      </w:r>
      <w:r w:rsidR="009D734A">
        <w:rPr>
          <w:rFonts w:cs="Lucida Sans Unicode"/>
          <w:b/>
          <w:bCs/>
          <w:szCs w:val="18"/>
        </w:rPr>
        <w:lastRenderedPageBreak/>
        <w:t xml:space="preserve">Informationen zum Konzern </w:t>
      </w:r>
    </w:p>
    <w:p w:rsidR="009D734A" w:rsidRPr="009D734A" w:rsidRDefault="009D734A" w:rsidP="00BE5DBC">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Pr="009D734A" w:rsidRDefault="009D734A" w:rsidP="009D734A">
      <w:pPr>
        <w:autoSpaceDE w:val="0"/>
        <w:autoSpaceDN w:val="0"/>
        <w:adjustRightInd w:val="0"/>
        <w:spacing w:line="220" w:lineRule="exact"/>
        <w:ind w:left="0" w:right="0"/>
        <w:rPr>
          <w:rFonts w:cs="Lucida Sans Unicode"/>
          <w:position w:val="0"/>
          <w:szCs w:val="18"/>
        </w:rPr>
      </w:pP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95C" w:rsidRDefault="0082195C">
      <w:r>
        <w:separator/>
      </w:r>
    </w:p>
    <w:p w:rsidR="0082195C" w:rsidRDefault="0082195C"/>
  </w:endnote>
  <w:endnote w:type="continuationSeparator" w:id="0">
    <w:p w:rsidR="0082195C" w:rsidRDefault="0082195C">
      <w:r>
        <w:continuationSeparator/>
      </w:r>
    </w:p>
    <w:p w:rsidR="0082195C" w:rsidRDefault="00821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5309">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5309">
      <w:rPr>
        <w:rStyle w:val="Seitenzahl"/>
        <w:noProof/>
      </w:rPr>
      <w:t>9</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B530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B5309">
      <w:rPr>
        <w:rStyle w:val="Seitenzahl"/>
        <w:noProof/>
      </w:rPr>
      <w:t>9</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95C" w:rsidRDefault="0082195C">
      <w:r>
        <w:separator/>
      </w:r>
    </w:p>
    <w:p w:rsidR="0082195C" w:rsidRDefault="0082195C"/>
  </w:footnote>
  <w:footnote w:type="continuationSeparator" w:id="0">
    <w:p w:rsidR="0082195C" w:rsidRDefault="0082195C">
      <w:r>
        <w:continuationSeparator/>
      </w:r>
    </w:p>
    <w:p w:rsidR="0082195C" w:rsidRDefault="00821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6B08C8" w:rsidRDefault="006B08C8">
    <w:pPr>
      <w:pStyle w:val="Kopfzeile"/>
      <w:ind w:left="0"/>
    </w:pPr>
  </w:p>
  <w:p w:rsidR="006B08C8" w:rsidRDefault="006B08C8">
    <w:pPr>
      <w:pStyle w:val="Kopfzeile"/>
      <w:ind w:left="0"/>
    </w:pPr>
  </w:p>
  <w:p w:rsidR="006B08C8" w:rsidRDefault="006B08C8">
    <w:pPr>
      <w:pStyle w:val="Kopfzeile"/>
      <w:ind w:left="0"/>
    </w:pPr>
  </w:p>
  <w:p w:rsidR="006B08C8" w:rsidRDefault="006B08C8">
    <w:pPr>
      <w:pStyle w:val="Kopfzeile"/>
      <w:ind w:left="0"/>
    </w:pPr>
  </w:p>
  <w:p w:rsidR="00B6136F" w:rsidRPr="00067DAF" w:rsidRDefault="00B14022" w:rsidP="00067DAF">
    <w:pPr>
      <w:pStyle w:val="Kopfzeile"/>
      <w:ind w:left="0" w:right="-3"/>
    </w:pPr>
    <w:r>
      <w:rPr>
        <w:noProof/>
      </w:rPr>
      <w:drawing>
        <wp:anchor distT="0" distB="0" distL="114300" distR="114300" simplePos="0" relativeHeight="251659264" behindDoc="0" locked="0" layoutInCell="1" allowOverlap="1" wp14:anchorId="5C34983D" wp14:editId="68C1541E">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BC4FBAE" wp14:editId="2EF83A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r w:rsidR="00067DAF" w:rsidRPr="00067DAF">
      <w:rPr>
        <w:b/>
        <w:u w:val="single"/>
      </w:rPr>
      <w:t xml:space="preserve">Nicht zur Verteilung, Veröffentlichung oder Weitergabe in bzw. </w:t>
    </w:r>
    <w:r w:rsidR="00067DAF">
      <w:rPr>
        <w:b/>
        <w:u w:val="single"/>
      </w:rPr>
      <w:t>innerhalb der Vereinigten Staaten von Amerika, Australien, Kanada oder Japan bestimmt.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63" w:rsidRDefault="009D5463">
    <w:pPr>
      <w:pStyle w:val="Kopfzeile"/>
      <w:ind w:left="0"/>
    </w:pPr>
  </w:p>
  <w:p w:rsidR="009D5463" w:rsidRDefault="009D5463">
    <w:pPr>
      <w:pStyle w:val="Kopfzeile"/>
      <w:ind w:left="0"/>
    </w:pPr>
  </w:p>
  <w:p w:rsidR="009D5463" w:rsidRDefault="009D5463">
    <w:pPr>
      <w:pStyle w:val="Kopfzeile"/>
      <w:ind w:left="0"/>
    </w:pPr>
  </w:p>
  <w:p w:rsidR="009D5463" w:rsidRDefault="000B1542">
    <w:pPr>
      <w:pStyle w:val="Kopfzeile"/>
      <w:ind w:left="0"/>
    </w:pPr>
    <w:r>
      <w:rPr>
        <w:b/>
        <w:u w:val="single"/>
      </w:rPr>
      <w:br/>
    </w:r>
    <w:r>
      <w:rPr>
        <w:b/>
        <w:u w:val="single"/>
      </w:rPr>
      <w:br/>
    </w:r>
    <w:r w:rsidRPr="00067DAF">
      <w:rPr>
        <w:b/>
        <w:u w:val="single"/>
      </w:rPr>
      <w:t xml:space="preserve">Nicht zur Verteilung, Veröffentlichung oder Weitergabe in bzw. </w:t>
    </w:r>
    <w:r>
      <w:rPr>
        <w:b/>
        <w:u w:val="single"/>
      </w:rPr>
      <w:t>innerhalb der Vereinigten Staaten von Amerika, Australien, Kanada oder Japan bestimmt</w:t>
    </w:r>
  </w:p>
  <w:p w:rsidR="009D5463" w:rsidRDefault="009D5463">
    <w:pPr>
      <w:pStyle w:val="Kopfzeile"/>
      <w:ind w:left="0"/>
    </w:pPr>
  </w:p>
  <w:p w:rsidR="008224A5" w:rsidRDefault="008224A5">
    <w:pPr>
      <w:pStyle w:val="Kopfzeile"/>
      <w:ind w:left="0"/>
      <w:rPr>
        <w:u w:val="single"/>
      </w:rPr>
    </w:pPr>
  </w:p>
  <w:p w:rsidR="00B6136F" w:rsidRPr="009D5463" w:rsidRDefault="00B14022">
    <w:pPr>
      <w:pStyle w:val="Kopfzeile"/>
      <w:ind w:left="0"/>
      <w:rPr>
        <w:u w:val="single"/>
      </w:rPr>
    </w:pPr>
    <w:r w:rsidRPr="009D5463">
      <w:rPr>
        <w:noProof/>
        <w:u w:val="single"/>
      </w:rPr>
      <w:drawing>
        <wp:anchor distT="0" distB="0" distL="114300" distR="114300" simplePos="0" relativeHeight="251658240" behindDoc="0" locked="0" layoutInCell="1" allowOverlap="1" wp14:anchorId="4B3E611E" wp14:editId="33209C2F">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05147A37" wp14:editId="7DA139DD">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258CE"/>
    <w:rsid w:val="000259C1"/>
    <w:rsid w:val="000426A4"/>
    <w:rsid w:val="00067DAF"/>
    <w:rsid w:val="000B1542"/>
    <w:rsid w:val="00141D6E"/>
    <w:rsid w:val="00156471"/>
    <w:rsid w:val="00157016"/>
    <w:rsid w:val="00182FD6"/>
    <w:rsid w:val="00204CFD"/>
    <w:rsid w:val="002A551A"/>
    <w:rsid w:val="002F36A2"/>
    <w:rsid w:val="002F5039"/>
    <w:rsid w:val="003274B7"/>
    <w:rsid w:val="00357B72"/>
    <w:rsid w:val="00367767"/>
    <w:rsid w:val="00392875"/>
    <w:rsid w:val="0039323B"/>
    <w:rsid w:val="00395AF0"/>
    <w:rsid w:val="003B04AA"/>
    <w:rsid w:val="003E1B59"/>
    <w:rsid w:val="003E628A"/>
    <w:rsid w:val="00407B10"/>
    <w:rsid w:val="00444979"/>
    <w:rsid w:val="00481E50"/>
    <w:rsid w:val="004E6F2F"/>
    <w:rsid w:val="00510B78"/>
    <w:rsid w:val="00551DA9"/>
    <w:rsid w:val="005F066A"/>
    <w:rsid w:val="005F4E6A"/>
    <w:rsid w:val="00617B2D"/>
    <w:rsid w:val="0064778C"/>
    <w:rsid w:val="006769E9"/>
    <w:rsid w:val="006A4BD0"/>
    <w:rsid w:val="006B08C8"/>
    <w:rsid w:val="006B5309"/>
    <w:rsid w:val="006E6BA0"/>
    <w:rsid w:val="00724DCF"/>
    <w:rsid w:val="00752B24"/>
    <w:rsid w:val="007D60EF"/>
    <w:rsid w:val="00801C4B"/>
    <w:rsid w:val="008136C4"/>
    <w:rsid w:val="0082195C"/>
    <w:rsid w:val="008224A5"/>
    <w:rsid w:val="00856061"/>
    <w:rsid w:val="00860375"/>
    <w:rsid w:val="00873A7F"/>
    <w:rsid w:val="008C15B4"/>
    <w:rsid w:val="008C1921"/>
    <w:rsid w:val="00901ED4"/>
    <w:rsid w:val="00923E7C"/>
    <w:rsid w:val="0093475A"/>
    <w:rsid w:val="00934D1A"/>
    <w:rsid w:val="00946403"/>
    <w:rsid w:val="0095118D"/>
    <w:rsid w:val="00971F61"/>
    <w:rsid w:val="009D5463"/>
    <w:rsid w:val="009D6A73"/>
    <w:rsid w:val="009D734A"/>
    <w:rsid w:val="009E687A"/>
    <w:rsid w:val="009F2F8B"/>
    <w:rsid w:val="00A02C86"/>
    <w:rsid w:val="00A200B5"/>
    <w:rsid w:val="00A64D60"/>
    <w:rsid w:val="00A72C03"/>
    <w:rsid w:val="00A827FD"/>
    <w:rsid w:val="00A910EA"/>
    <w:rsid w:val="00AD7F34"/>
    <w:rsid w:val="00AF044A"/>
    <w:rsid w:val="00AF3080"/>
    <w:rsid w:val="00B14022"/>
    <w:rsid w:val="00B36A42"/>
    <w:rsid w:val="00B6136F"/>
    <w:rsid w:val="00B6701A"/>
    <w:rsid w:val="00B879F7"/>
    <w:rsid w:val="00BE5DBC"/>
    <w:rsid w:val="00CA1DE9"/>
    <w:rsid w:val="00CB7AB1"/>
    <w:rsid w:val="00CC58A0"/>
    <w:rsid w:val="00CD7372"/>
    <w:rsid w:val="00CF0BA2"/>
    <w:rsid w:val="00D26C39"/>
    <w:rsid w:val="00D33188"/>
    <w:rsid w:val="00D65FC7"/>
    <w:rsid w:val="00D941D1"/>
    <w:rsid w:val="00DC0BC4"/>
    <w:rsid w:val="00E20D99"/>
    <w:rsid w:val="00E43946"/>
    <w:rsid w:val="00F00585"/>
    <w:rsid w:val="00F00F5D"/>
    <w:rsid w:val="00F60883"/>
    <w:rsid w:val="00F859D2"/>
    <w:rsid w:val="00FB35AF"/>
    <w:rsid w:val="00FE07FA"/>
    <w:rsid w:val="00FF1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EB57-9663-4B31-A531-10E2A9E6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322AA4B6</Template>
  <TotalTime>0</TotalTime>
  <Pages>9</Pages>
  <Words>2199</Words>
  <Characters>14606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Habisch, Anja</cp:lastModifiedBy>
  <cp:revision>13</cp:revision>
  <cp:lastPrinted>2013-05-07T14:58:00Z</cp:lastPrinted>
  <dcterms:created xsi:type="dcterms:W3CDTF">2013-05-02T06:55:00Z</dcterms:created>
  <dcterms:modified xsi:type="dcterms:W3CDTF">2013-05-07T14:58:00Z</dcterms:modified>
</cp:coreProperties>
</file>