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63" w:rsidRPr="008224A5" w:rsidRDefault="00F00F5D" w:rsidP="00CC212D">
      <w:pPr>
        <w:spacing w:line="300" w:lineRule="exact"/>
        <w:ind w:left="0"/>
        <w:rPr>
          <w:b/>
          <w:szCs w:val="18"/>
          <w:u w:val="single"/>
        </w:rPr>
      </w:pPr>
      <w:r w:rsidRPr="008224A5">
        <w:rPr>
          <w:b/>
          <w:szCs w:val="18"/>
          <w:u w:val="single"/>
        </w:rPr>
        <w:t xml:space="preserve">Sendesperrfrist: </w:t>
      </w:r>
      <w:r w:rsidR="0028315E">
        <w:rPr>
          <w:b/>
          <w:szCs w:val="18"/>
          <w:u w:val="single"/>
        </w:rPr>
        <w:t>1. August 2013</w:t>
      </w:r>
      <w:r w:rsidRPr="008224A5">
        <w:rPr>
          <w:b/>
          <w:szCs w:val="18"/>
          <w:u w:val="single"/>
        </w:rPr>
        <w:t xml:space="preserve">, </w:t>
      </w:r>
      <w:r w:rsidR="0028315E">
        <w:rPr>
          <w:b/>
          <w:szCs w:val="18"/>
          <w:u w:val="single"/>
        </w:rPr>
        <w:t>6</w:t>
      </w:r>
      <w:r w:rsidR="0095118D" w:rsidRPr="008224A5">
        <w:rPr>
          <w:b/>
          <w:szCs w:val="18"/>
          <w:u w:val="single"/>
        </w:rPr>
        <w:t>:</w:t>
      </w:r>
      <w:r w:rsidR="0028315E">
        <w:rPr>
          <w:b/>
          <w:szCs w:val="18"/>
          <w:u w:val="single"/>
        </w:rPr>
        <w:t>30</w:t>
      </w:r>
      <w:r w:rsidRPr="008224A5">
        <w:rPr>
          <w:b/>
          <w:szCs w:val="18"/>
          <w:u w:val="single"/>
        </w:rPr>
        <w:t xml:space="preserve"> Uhr</w:t>
      </w:r>
    </w:p>
    <w:p w:rsidR="00B6136F" w:rsidRPr="008224A5" w:rsidRDefault="00B6136F" w:rsidP="00CC212D">
      <w:pPr>
        <w:spacing w:line="300" w:lineRule="exact"/>
        <w:ind w:left="0"/>
        <w:rPr>
          <w:b/>
          <w:sz w:val="20"/>
          <w:szCs w:val="20"/>
          <w:u w:val="single"/>
        </w:rPr>
        <w:sectPr w:rsidR="00B6136F" w:rsidRPr="008224A5">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A02C86" w:rsidP="00CC212D">
            <w:pPr>
              <w:pStyle w:val="E-Datum"/>
              <w:framePr w:wrap="auto" w:vAnchor="margin" w:hAnchor="text" w:xAlign="left" w:yAlign="inline"/>
              <w:suppressOverlap w:val="0"/>
            </w:pPr>
            <w:r>
              <w:t>0</w:t>
            </w:r>
            <w:r w:rsidR="00207311">
              <w:t>1</w:t>
            </w:r>
            <w:r>
              <w:t xml:space="preserve">. </w:t>
            </w:r>
            <w:r w:rsidR="00207311">
              <w:t xml:space="preserve">August </w:t>
            </w:r>
            <w:r w:rsidR="009D5463">
              <w:t>2013</w:t>
            </w:r>
          </w:p>
        </w:tc>
      </w:tr>
      <w:tr w:rsidR="00B6136F" w:rsidTr="00B14022">
        <w:trPr>
          <w:trHeight w:hRule="exact" w:val="304"/>
        </w:trPr>
        <w:tc>
          <w:tcPr>
            <w:tcW w:w="2271" w:type="dxa"/>
            <w:shd w:val="clear" w:color="auto" w:fill="auto"/>
          </w:tcPr>
          <w:p w:rsidR="00B6136F" w:rsidRDefault="00B6136F" w:rsidP="00CC212D">
            <w:pPr>
              <w:spacing w:line="180" w:lineRule="exact"/>
              <w:ind w:left="0"/>
            </w:pPr>
          </w:p>
        </w:tc>
      </w:tr>
      <w:tr w:rsidR="00B6136F" w:rsidTr="00B14022">
        <w:trPr>
          <w:trHeight w:hRule="exact" w:val="1222"/>
        </w:trPr>
        <w:tc>
          <w:tcPr>
            <w:tcW w:w="2271" w:type="dxa"/>
            <w:shd w:val="clear" w:color="auto" w:fill="auto"/>
          </w:tcPr>
          <w:p w:rsidR="00B6136F" w:rsidRDefault="00AD7F34" w:rsidP="00CC212D">
            <w:pPr>
              <w:pStyle w:val="M7"/>
              <w:framePr w:wrap="auto" w:vAnchor="margin" w:hAnchor="text" w:xAlign="left" w:yAlign="inline"/>
              <w:ind w:right="85"/>
              <w:suppressOverlap w:val="0"/>
            </w:pPr>
            <w:r>
              <w:t>Barbara Müller</w:t>
            </w:r>
          </w:p>
          <w:p w:rsidR="00B6136F" w:rsidRDefault="00AD7F34" w:rsidP="00CC212D">
            <w:pPr>
              <w:pStyle w:val="M8"/>
              <w:framePr w:wrap="auto" w:vAnchor="margin" w:hAnchor="text" w:xAlign="left" w:yAlign="inline"/>
              <w:ind w:right="85"/>
              <w:suppressOverlap w:val="0"/>
            </w:pPr>
            <w:r>
              <w:t xml:space="preserve">Leiterin </w:t>
            </w:r>
            <w:r w:rsidR="00B14022">
              <w:t xml:space="preserve">Konzernpresse </w:t>
            </w:r>
          </w:p>
          <w:p w:rsidR="00B6136F" w:rsidRDefault="00AD7F34" w:rsidP="00CC212D">
            <w:pPr>
              <w:pStyle w:val="M9"/>
              <w:framePr w:wrap="auto" w:vAnchor="margin" w:hAnchor="text" w:xAlign="left" w:yAlign="inline"/>
              <w:ind w:right="85"/>
              <w:suppressOverlap w:val="0"/>
            </w:pPr>
            <w:r>
              <w:t>Telefon +49</w:t>
            </w:r>
            <w:r>
              <w:tab/>
              <w:t>201 177-3423</w:t>
            </w:r>
          </w:p>
          <w:p w:rsidR="00B6136F" w:rsidRDefault="00B14022" w:rsidP="00CC212D">
            <w:pPr>
              <w:pStyle w:val="M10"/>
              <w:framePr w:wrap="auto" w:vAnchor="margin" w:hAnchor="text" w:xAlign="left" w:yAlign="inline"/>
              <w:ind w:right="85"/>
              <w:suppressOverlap w:val="0"/>
            </w:pPr>
            <w:r>
              <w:t>Telefax +49</w:t>
            </w:r>
            <w:r>
              <w:tab/>
              <w:t>201 177-3030</w:t>
            </w:r>
          </w:p>
          <w:p w:rsidR="00B6136F" w:rsidRDefault="00AD7F34" w:rsidP="00CC212D">
            <w:pPr>
              <w:pStyle w:val="M10"/>
              <w:framePr w:wrap="auto" w:vAnchor="margin" w:hAnchor="text" w:xAlign="left" w:yAlign="inline"/>
              <w:ind w:right="85"/>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617B2D" w:rsidRDefault="00617B2D" w:rsidP="00CC212D">
            <w:pPr>
              <w:pStyle w:val="M7"/>
              <w:framePr w:wrap="auto" w:vAnchor="margin" w:hAnchor="text" w:xAlign="left" w:yAlign="inline"/>
              <w:ind w:right="85"/>
              <w:suppressOverlap w:val="0"/>
            </w:pPr>
            <w:r>
              <w:br/>
              <w:t>Alexandra Boy</w:t>
            </w:r>
          </w:p>
          <w:p w:rsidR="00617B2D" w:rsidRDefault="00617B2D" w:rsidP="00CC212D">
            <w:pPr>
              <w:pStyle w:val="M8"/>
              <w:framePr w:wrap="auto" w:vAnchor="margin" w:hAnchor="text" w:xAlign="left" w:yAlign="inline"/>
              <w:ind w:right="85"/>
              <w:suppressOverlap w:val="0"/>
            </w:pPr>
            <w:r>
              <w:t xml:space="preserve">Stellvertr. Leiterin Konzernpresse </w:t>
            </w:r>
          </w:p>
          <w:p w:rsidR="00617B2D" w:rsidRDefault="00617B2D" w:rsidP="00CC212D">
            <w:pPr>
              <w:pStyle w:val="M9"/>
              <w:framePr w:wrap="auto" w:vAnchor="margin" w:hAnchor="text" w:xAlign="left" w:yAlign="inline"/>
              <w:ind w:right="85"/>
              <w:suppressOverlap w:val="0"/>
            </w:pPr>
            <w:r>
              <w:t>Telefon +49</w:t>
            </w:r>
            <w:r>
              <w:tab/>
              <w:t>201 177-3167</w:t>
            </w:r>
          </w:p>
          <w:p w:rsidR="00617B2D" w:rsidRDefault="00617B2D" w:rsidP="00CC212D">
            <w:pPr>
              <w:pStyle w:val="M10"/>
              <w:framePr w:wrap="auto" w:vAnchor="margin" w:hAnchor="text" w:xAlign="left" w:yAlign="inline"/>
              <w:ind w:right="85"/>
              <w:suppressOverlap w:val="0"/>
            </w:pPr>
            <w:r>
              <w:t>Telefax +49</w:t>
            </w:r>
            <w:r>
              <w:tab/>
              <w:t>201 177-3030</w:t>
            </w:r>
          </w:p>
          <w:p w:rsidR="00B6136F" w:rsidRPr="00617B2D" w:rsidRDefault="00617B2D" w:rsidP="00CC212D">
            <w:pPr>
              <w:pStyle w:val="M1"/>
              <w:framePr w:wrap="auto" w:vAnchor="margin" w:hAnchor="text" w:xAlign="left" w:yAlign="inline"/>
              <w:ind w:right="85"/>
              <w:suppressOverlap w:val="0"/>
              <w:rPr>
                <w:b w:val="0"/>
              </w:rPr>
            </w:pPr>
            <w:r w:rsidRPr="00617B2D">
              <w:rPr>
                <w:b w:val="0"/>
              </w:rPr>
              <w:t>alexandra.boy@evonik.com</w:t>
            </w:r>
            <w:r w:rsidR="00B14022" w:rsidRPr="00617B2D">
              <w:rPr>
                <w:b w:val="0"/>
              </w:rPr>
              <w:br/>
            </w:r>
            <w:r w:rsidR="00B14022" w:rsidRPr="00617B2D">
              <w:rPr>
                <w:b w:val="0"/>
              </w:rPr>
              <w:br/>
            </w:r>
            <w:r w:rsidR="00B14022" w:rsidRPr="00617B2D">
              <w:rPr>
                <w:b w:val="0"/>
              </w:rPr>
              <w:br/>
            </w:r>
          </w:p>
        </w:tc>
      </w:tr>
      <w:tr w:rsidR="00B6136F" w:rsidTr="00B14022">
        <w:trPr>
          <w:trHeight w:hRule="exact" w:val="7880"/>
        </w:trPr>
        <w:tc>
          <w:tcPr>
            <w:tcW w:w="2271" w:type="dxa"/>
            <w:shd w:val="clear" w:color="auto" w:fill="auto"/>
            <w:vAlign w:val="bottom"/>
          </w:tcPr>
          <w:p w:rsidR="00B6136F" w:rsidRDefault="00B6136F" w:rsidP="00CC212D">
            <w:pPr>
              <w:pStyle w:val="Marginalie"/>
              <w:framePr w:w="0" w:hSpace="0" w:wrap="auto" w:vAnchor="margin" w:hAnchor="text" w:xAlign="left" w:yAlign="inline"/>
              <w:ind w:right="85"/>
              <w:rPr>
                <w:b/>
              </w:rPr>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6136F" w:rsidRDefault="00B14022" w:rsidP="00CC212D">
            <w:pPr>
              <w:pStyle w:val="V1"/>
              <w:framePr w:wrap="auto" w:vAnchor="margin" w:hAnchor="text" w:xAlign="left" w:yAlign="inline"/>
              <w:ind w:right="85"/>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26C39">
              <w:rPr>
                <w:noProof/>
              </w:rPr>
              <w:t>Evonik Industries AG</w:t>
            </w:r>
            <w:r>
              <w:fldChar w:fldCharType="end"/>
            </w:r>
          </w:p>
          <w:p w:rsidR="00B6136F" w:rsidRDefault="00B14022" w:rsidP="00CC212D">
            <w:pPr>
              <w:pStyle w:val="V2"/>
              <w:framePr w:wrap="auto" w:vAnchor="margin" w:hAnchor="text" w:xAlign="left" w:yAlign="inline"/>
              <w:ind w:right="85"/>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26C39">
              <w:rPr>
                <w:noProof/>
              </w:rPr>
              <w:t>Rellinghauser Straße 1-11</w:t>
            </w:r>
            <w:r>
              <w:fldChar w:fldCharType="end"/>
            </w:r>
          </w:p>
          <w:p w:rsidR="00B6136F" w:rsidRDefault="00B14022" w:rsidP="00CC212D">
            <w:pPr>
              <w:pStyle w:val="V3"/>
              <w:framePr w:wrap="auto" w:vAnchor="margin" w:hAnchor="text" w:xAlign="left" w:yAlign="inline"/>
              <w:ind w:right="85"/>
              <w:suppressOverlap w:val="0"/>
            </w:pPr>
            <w:r>
              <w:fldChar w:fldCharType="begin">
                <w:ffData>
                  <w:name w:val=""/>
                  <w:enabled/>
                  <w:calcOnExit w:val="0"/>
                  <w:textInput>
                    <w:default w:val="45128 Essen"/>
                  </w:textInput>
                </w:ffData>
              </w:fldChar>
            </w:r>
            <w:r>
              <w:instrText xml:space="preserve"> FORMTEXT </w:instrText>
            </w:r>
            <w:r>
              <w:fldChar w:fldCharType="separate"/>
            </w:r>
            <w:r w:rsidR="00D26C39">
              <w:rPr>
                <w:noProof/>
              </w:rPr>
              <w:t>45128 Essen</w:t>
            </w:r>
            <w:r>
              <w:fldChar w:fldCharType="end"/>
            </w:r>
          </w:p>
          <w:p w:rsidR="00B6136F" w:rsidRDefault="00B14022" w:rsidP="00CC212D">
            <w:pPr>
              <w:pStyle w:val="V4"/>
              <w:framePr w:wrap="auto" w:vAnchor="margin" w:hAnchor="text" w:xAlign="left" w:yAlign="inline"/>
              <w:ind w:right="85"/>
              <w:suppressOverlap w:val="0"/>
            </w:pPr>
            <w:r>
              <w:fldChar w:fldCharType="begin">
                <w:ffData>
                  <w:name w:val=""/>
                  <w:enabled/>
                  <w:calcOnExit w:val="0"/>
                  <w:textInput>
                    <w:default w:val="Telefon"/>
                  </w:textInput>
                </w:ffData>
              </w:fldChar>
            </w:r>
            <w:r>
              <w:instrText xml:space="preserve"> FORMTEXT </w:instrText>
            </w:r>
            <w:r>
              <w:fldChar w:fldCharType="separate"/>
            </w:r>
            <w:r w:rsidR="00D26C3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26C3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26C39">
              <w:rPr>
                <w:noProof/>
              </w:rPr>
              <w:t>-</w:t>
            </w:r>
            <w:r>
              <w:fldChar w:fldCharType="end"/>
            </w:r>
            <w:r>
              <w:t>01</w:t>
            </w:r>
          </w:p>
          <w:p w:rsidR="00B6136F" w:rsidRDefault="00B14022" w:rsidP="00CC212D">
            <w:pPr>
              <w:pStyle w:val="V5"/>
              <w:framePr w:wrap="auto" w:vAnchor="margin" w:hAnchor="text" w:xAlign="left" w:yAlign="inline"/>
              <w:ind w:right="85"/>
              <w:suppressOverlap w:val="0"/>
            </w:pPr>
            <w:r>
              <w:fldChar w:fldCharType="begin">
                <w:ffData>
                  <w:name w:val=""/>
                  <w:enabled/>
                  <w:calcOnExit w:val="0"/>
                  <w:textInput>
                    <w:default w:val="Telefax"/>
                  </w:textInput>
                </w:ffData>
              </w:fldChar>
            </w:r>
            <w:r>
              <w:instrText xml:space="preserve"> FORMTEXT </w:instrText>
            </w:r>
            <w:r>
              <w:fldChar w:fldCharType="separate"/>
            </w:r>
            <w:r w:rsidR="00D26C3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26C3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26C39">
              <w:rPr>
                <w:noProof/>
              </w:rPr>
              <w:t>-</w:t>
            </w:r>
            <w:r>
              <w:fldChar w:fldCharType="end"/>
            </w:r>
            <w:r>
              <w:t>3475</w:t>
            </w:r>
          </w:p>
          <w:p w:rsidR="00B6136F" w:rsidRDefault="00B14022" w:rsidP="00CC212D">
            <w:pPr>
              <w:pStyle w:val="V6"/>
              <w:framePr w:wrap="auto" w:vAnchor="margin" w:hAnchor="text" w:xAlign="left" w:yAlign="inline"/>
              <w:ind w:right="85"/>
              <w:suppressOverlap w:val="0"/>
            </w:pPr>
            <w:r>
              <w:t>www.evonik.de</w:t>
            </w:r>
          </w:p>
          <w:p w:rsidR="00B6136F" w:rsidRDefault="00B6136F" w:rsidP="00CC212D">
            <w:pPr>
              <w:pStyle w:val="Marginalie"/>
              <w:framePr w:w="0" w:hSpace="0" w:wrap="auto" w:vAnchor="margin" w:hAnchor="text" w:xAlign="left" w:yAlign="inline"/>
              <w:ind w:right="85"/>
            </w:pPr>
          </w:p>
          <w:p w:rsidR="00B6136F" w:rsidRDefault="00B14022" w:rsidP="00CC212D">
            <w:pPr>
              <w:pStyle w:val="Marginalie"/>
              <w:framePr w:w="0" w:hSpace="0" w:wrap="auto" w:vAnchor="margin" w:hAnchor="text" w:xAlign="left" w:yAlign="inline"/>
              <w:ind w:right="85"/>
              <w:rPr>
                <w:b/>
                <w:bCs/>
              </w:rPr>
            </w:pPr>
            <w:r>
              <w:rPr>
                <w:b/>
                <w:bCs/>
              </w:rPr>
              <w:t>Aufsichtsrat</w:t>
            </w:r>
          </w:p>
          <w:p w:rsidR="00B6136F" w:rsidRDefault="00B14022" w:rsidP="00CC212D">
            <w:pPr>
              <w:pStyle w:val="Marginalie"/>
              <w:framePr w:w="0" w:hSpace="0" w:wrap="auto" w:vAnchor="margin" w:hAnchor="text" w:xAlign="left" w:yAlign="inline"/>
              <w:ind w:right="85"/>
            </w:pPr>
            <w:r>
              <w:t>Dr. Werner Müller, Vorsitzender</w:t>
            </w:r>
          </w:p>
          <w:p w:rsidR="00B6136F" w:rsidRDefault="00B6136F" w:rsidP="00CC212D">
            <w:pPr>
              <w:pStyle w:val="Marginalie"/>
              <w:framePr w:w="0" w:hSpace="0" w:wrap="auto" w:vAnchor="margin" w:hAnchor="text" w:xAlign="left" w:yAlign="inline"/>
              <w:ind w:right="85"/>
            </w:pPr>
          </w:p>
          <w:p w:rsidR="00B6136F" w:rsidRDefault="00B14022" w:rsidP="00CC212D">
            <w:pPr>
              <w:pStyle w:val="V9"/>
              <w:framePr w:wrap="auto" w:vAnchor="margin" w:hAnchor="text" w:xAlign="left" w:yAlign="inline"/>
              <w:ind w:right="85"/>
              <w:suppressOverlap w:val="0"/>
            </w:pPr>
            <w:r>
              <w:fldChar w:fldCharType="begin">
                <w:ffData>
                  <w:name w:val=""/>
                  <w:enabled/>
                  <w:calcOnExit w:val="0"/>
                  <w:textInput>
                    <w:default w:val="Vorstand"/>
                  </w:textInput>
                </w:ffData>
              </w:fldChar>
            </w:r>
            <w:r>
              <w:instrText xml:space="preserve"> FORMTEXT </w:instrText>
            </w:r>
            <w:r>
              <w:fldChar w:fldCharType="separate"/>
            </w:r>
            <w:r w:rsidR="00D26C39">
              <w:rPr>
                <w:noProof/>
              </w:rPr>
              <w:t>Vorstand</w:t>
            </w:r>
            <w:r>
              <w:fldChar w:fldCharType="end"/>
            </w:r>
          </w:p>
          <w:p w:rsidR="00B6136F" w:rsidRDefault="00B14022" w:rsidP="00CC212D">
            <w:pPr>
              <w:pStyle w:val="V10"/>
              <w:framePr w:wrap="auto" w:vAnchor="margin" w:hAnchor="text" w:xAlign="left" w:yAlign="inline"/>
              <w:ind w:right="85"/>
              <w:suppressOverlap w:val="0"/>
            </w:pPr>
            <w:r>
              <w:fldChar w:fldCharType="begin">
                <w:ffData>
                  <w:name w:val=""/>
                  <w:enabled/>
                  <w:calcOnExit w:val="0"/>
                  <w:textInput>
                    <w:default w:val="Dr. Klaus Engel"/>
                  </w:textInput>
                </w:ffData>
              </w:fldChar>
            </w:r>
            <w:r>
              <w:instrText xml:space="preserve"> FORMTEXT </w:instrText>
            </w:r>
            <w:r>
              <w:fldChar w:fldCharType="separate"/>
            </w:r>
            <w:r w:rsidR="00D26C39">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26C39">
              <w:rPr>
                <w:noProof/>
              </w:rPr>
              <w:t>Vorsitzender</w:t>
            </w:r>
            <w:r>
              <w:fldChar w:fldCharType="end"/>
            </w:r>
          </w:p>
          <w:p w:rsidR="00B6136F" w:rsidRDefault="00B14022" w:rsidP="00CC212D">
            <w:pPr>
              <w:pStyle w:val="V11"/>
              <w:framePr w:wrap="auto" w:vAnchor="margin" w:hAnchor="text" w:xAlign="left" w:yAlign="inline"/>
              <w:ind w:right="85"/>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D26C39">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D26C39">
              <w:rPr>
                <w:noProof/>
              </w:rPr>
              <w:t>Dr. Thomas Haeberle</w:t>
            </w:r>
            <w:r>
              <w:fldChar w:fldCharType="end"/>
            </w:r>
            <w:r>
              <w:t xml:space="preserve">, </w:t>
            </w:r>
            <w:r w:rsidR="000B1542">
              <w:br/>
            </w:r>
            <w:r>
              <w:t>Thomas Wessel,</w:t>
            </w:r>
            <w:r w:rsidR="000B1542">
              <w:t xml:space="preserve"> </w:t>
            </w:r>
            <w:r>
              <w:fldChar w:fldCharType="begin">
                <w:ffData>
                  <w:name w:val=""/>
                  <w:enabled/>
                  <w:calcOnExit w:val="0"/>
                  <w:textInput>
                    <w:default w:val="Patrik Wohlhauser"/>
                  </w:textInput>
                </w:ffData>
              </w:fldChar>
            </w:r>
            <w:r>
              <w:instrText xml:space="preserve"> FORMTEXT </w:instrText>
            </w:r>
            <w:r>
              <w:fldChar w:fldCharType="separate"/>
            </w:r>
            <w:r w:rsidR="00D26C39">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D26C39">
              <w:rPr>
                <w:noProof/>
              </w:rPr>
              <w:t>Dr. Dahai Yu</w:t>
            </w:r>
            <w:r>
              <w:fldChar w:fldCharType="end"/>
            </w:r>
          </w:p>
          <w:p w:rsidR="00B6136F" w:rsidRDefault="00B6136F" w:rsidP="00CC212D">
            <w:pPr>
              <w:pStyle w:val="Marginalie"/>
              <w:framePr w:w="0" w:hSpace="0" w:wrap="auto" w:vAnchor="margin" w:hAnchor="text" w:xAlign="left" w:yAlign="inline"/>
              <w:ind w:right="85"/>
            </w:pPr>
          </w:p>
          <w:p w:rsidR="00B6136F" w:rsidRDefault="00B14022" w:rsidP="00CC212D">
            <w:pPr>
              <w:pStyle w:val="V14"/>
              <w:framePr w:wrap="auto" w:vAnchor="margin" w:hAnchor="text" w:xAlign="left" w:yAlign="inline"/>
              <w:ind w:right="85"/>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26C3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26C39">
              <w:rPr>
                <w:noProof/>
              </w:rPr>
              <w:t>Essen</w:t>
            </w:r>
            <w:r>
              <w:fldChar w:fldCharType="end"/>
            </w:r>
          </w:p>
          <w:p w:rsidR="00B6136F" w:rsidRDefault="00B14022" w:rsidP="00CC212D">
            <w:pPr>
              <w:pStyle w:val="V15"/>
              <w:framePr w:wrap="auto" w:vAnchor="margin" w:hAnchor="text" w:xAlign="left" w:yAlign="inline"/>
              <w:ind w:right="85"/>
              <w:suppressOverlap w:val="0"/>
            </w:pPr>
            <w:r>
              <w:fldChar w:fldCharType="begin">
                <w:ffData>
                  <w:name w:val=""/>
                  <w:enabled/>
                  <w:calcOnExit w:val="0"/>
                  <w:textInput>
                    <w:default w:val="Registergericht"/>
                  </w:textInput>
                </w:ffData>
              </w:fldChar>
            </w:r>
            <w:r>
              <w:instrText xml:space="preserve"> FORMTEXT </w:instrText>
            </w:r>
            <w:r>
              <w:fldChar w:fldCharType="separate"/>
            </w:r>
            <w:r w:rsidR="00D26C39">
              <w:rPr>
                <w:noProof/>
              </w:rPr>
              <w:t>Registergericht</w:t>
            </w:r>
            <w:r>
              <w:fldChar w:fldCharType="end"/>
            </w:r>
          </w:p>
          <w:p w:rsidR="00B6136F" w:rsidRDefault="00B14022" w:rsidP="00CC212D">
            <w:pPr>
              <w:pStyle w:val="V16"/>
              <w:framePr w:wrap="auto" w:vAnchor="margin" w:hAnchor="text" w:xAlign="left" w:yAlign="inline"/>
              <w:ind w:right="85"/>
              <w:suppressOverlap w:val="0"/>
            </w:pPr>
            <w:r>
              <w:fldChar w:fldCharType="begin">
                <w:ffData>
                  <w:name w:val=""/>
                  <w:enabled/>
                  <w:calcOnExit w:val="0"/>
                  <w:textInput>
                    <w:default w:val="Amtsgericht"/>
                  </w:textInput>
                </w:ffData>
              </w:fldChar>
            </w:r>
            <w:r>
              <w:instrText xml:space="preserve"> FORMTEXT </w:instrText>
            </w:r>
            <w:r>
              <w:fldChar w:fldCharType="separate"/>
            </w:r>
            <w:r w:rsidR="00D26C3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26C39">
              <w:rPr>
                <w:noProof/>
              </w:rPr>
              <w:t>Essen</w:t>
            </w:r>
            <w:r>
              <w:fldChar w:fldCharType="end"/>
            </w:r>
          </w:p>
          <w:p w:rsidR="00B6136F" w:rsidRDefault="00B14022" w:rsidP="00CC212D">
            <w:pPr>
              <w:pStyle w:val="V17"/>
              <w:framePr w:wrap="auto" w:vAnchor="margin" w:hAnchor="text" w:xAlign="left" w:yAlign="inline"/>
              <w:ind w:right="85"/>
              <w:suppressOverlap w:val="0"/>
            </w:pPr>
            <w:r>
              <w:fldChar w:fldCharType="begin">
                <w:ffData>
                  <w:name w:val=""/>
                  <w:enabled/>
                  <w:calcOnExit w:val="0"/>
                  <w:textInput>
                    <w:default w:val="Handelsregister"/>
                  </w:textInput>
                </w:ffData>
              </w:fldChar>
            </w:r>
            <w:r>
              <w:instrText xml:space="preserve"> FORMTEXT </w:instrText>
            </w:r>
            <w:r>
              <w:fldChar w:fldCharType="separate"/>
            </w:r>
            <w:r w:rsidR="00D26C39">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26C39">
              <w:rPr>
                <w:noProof/>
              </w:rPr>
              <w:t>B 19474</w:t>
            </w:r>
            <w:r>
              <w:fldChar w:fldCharType="end"/>
            </w:r>
          </w:p>
          <w:p w:rsidR="00B6136F" w:rsidRDefault="00B14022" w:rsidP="00CC212D">
            <w:pPr>
              <w:pStyle w:val="V17"/>
              <w:framePr w:wrap="auto" w:vAnchor="margin" w:hAnchor="text" w:xAlign="left" w:yAlign="inline"/>
              <w:ind w:right="85"/>
              <w:suppressOverlap w:val="0"/>
            </w:pPr>
            <w:r>
              <w:t>UST-IdNr. DE 811160003</w:t>
            </w:r>
          </w:p>
          <w:p w:rsidR="00B6136F" w:rsidRDefault="00B6136F" w:rsidP="00CC212D">
            <w:pPr>
              <w:pStyle w:val="V18"/>
              <w:framePr w:wrap="auto" w:vAnchor="margin" w:hAnchor="text" w:xAlign="left" w:yAlign="inline"/>
              <w:ind w:right="85"/>
              <w:suppressOverlap w:val="0"/>
            </w:pPr>
          </w:p>
        </w:tc>
      </w:tr>
    </w:tbl>
    <w:p w:rsidR="00F00F5D" w:rsidRDefault="00F00F5D" w:rsidP="00CC212D">
      <w:pPr>
        <w:ind w:left="0"/>
        <w:rPr>
          <w:u w:val="single"/>
        </w:rPr>
      </w:pPr>
    </w:p>
    <w:p w:rsidR="00395AF0" w:rsidRDefault="00395AF0" w:rsidP="00CC212D">
      <w:pPr>
        <w:ind w:left="0"/>
        <w:rPr>
          <w:u w:val="single"/>
        </w:rPr>
      </w:pPr>
    </w:p>
    <w:p w:rsidR="00395AF0" w:rsidRDefault="00395AF0" w:rsidP="00CC212D">
      <w:pPr>
        <w:ind w:left="0"/>
        <w:rPr>
          <w:u w:val="single"/>
        </w:rPr>
      </w:pPr>
    </w:p>
    <w:p w:rsidR="009D734A" w:rsidRDefault="009D734A" w:rsidP="00CC212D">
      <w:pPr>
        <w:ind w:left="0"/>
        <w:rPr>
          <w:u w:val="single"/>
        </w:rPr>
      </w:pPr>
      <w:r>
        <w:rPr>
          <w:u w:val="single"/>
        </w:rPr>
        <w:t>Wirtschaftliche Eckdaten:</w:t>
      </w:r>
      <w:r w:rsidR="00C00006">
        <w:rPr>
          <w:u w:val="single"/>
        </w:rPr>
        <w:t xml:space="preserve"> 1. Halbjahr 2013 / 2. Quartal 2013</w:t>
      </w:r>
    </w:p>
    <w:p w:rsidR="009D734A" w:rsidRDefault="009D734A" w:rsidP="00CC212D">
      <w:pPr>
        <w:spacing w:line="300" w:lineRule="exact"/>
        <w:ind w:left="0"/>
        <w:rPr>
          <w:u w:val="single"/>
        </w:rPr>
      </w:pPr>
    </w:p>
    <w:p w:rsidR="00415D3E" w:rsidRPr="00CC212D" w:rsidRDefault="00415D3E" w:rsidP="00CC212D">
      <w:pPr>
        <w:ind w:left="0"/>
        <w:rPr>
          <w:b/>
          <w:bCs/>
          <w:sz w:val="22"/>
          <w:szCs w:val="22"/>
        </w:rPr>
      </w:pPr>
      <w:r w:rsidRPr="00CC212D">
        <w:rPr>
          <w:b/>
          <w:bCs/>
          <w:sz w:val="22"/>
          <w:szCs w:val="22"/>
        </w:rPr>
        <w:t>I</w:t>
      </w:r>
      <w:r w:rsidR="0080197D" w:rsidRPr="00CC212D">
        <w:rPr>
          <w:b/>
          <w:bCs/>
          <w:sz w:val="22"/>
          <w:szCs w:val="22"/>
        </w:rPr>
        <w:t>n</w:t>
      </w:r>
      <w:r w:rsidRPr="00CC212D">
        <w:rPr>
          <w:b/>
          <w:bCs/>
          <w:sz w:val="22"/>
          <w:szCs w:val="22"/>
        </w:rPr>
        <w:t xml:space="preserve"> </w:t>
      </w:r>
      <w:r w:rsidR="002A4A93" w:rsidRPr="00CC212D">
        <w:rPr>
          <w:b/>
          <w:bCs/>
          <w:sz w:val="22"/>
          <w:szCs w:val="22"/>
        </w:rPr>
        <w:t>deutlich schwierigerem</w:t>
      </w:r>
      <w:r w:rsidRPr="00CC212D">
        <w:rPr>
          <w:b/>
          <w:bCs/>
          <w:sz w:val="22"/>
          <w:szCs w:val="22"/>
        </w:rPr>
        <w:t xml:space="preserve"> Marktumfeld passt Evonik Ausblick </w:t>
      </w:r>
      <w:r w:rsidR="007661AC" w:rsidRPr="00CC212D">
        <w:rPr>
          <w:b/>
          <w:bCs/>
          <w:sz w:val="22"/>
          <w:szCs w:val="22"/>
        </w:rPr>
        <w:t xml:space="preserve">für </w:t>
      </w:r>
      <w:r w:rsidR="00177F36" w:rsidRPr="00CC212D">
        <w:rPr>
          <w:b/>
          <w:bCs/>
          <w:sz w:val="22"/>
          <w:szCs w:val="22"/>
        </w:rPr>
        <w:t xml:space="preserve">das Jahr </w:t>
      </w:r>
      <w:r w:rsidR="007661AC" w:rsidRPr="00CC212D">
        <w:rPr>
          <w:b/>
          <w:bCs/>
          <w:sz w:val="22"/>
          <w:szCs w:val="22"/>
        </w:rPr>
        <w:t xml:space="preserve">2013 </w:t>
      </w:r>
      <w:r w:rsidRPr="00CC212D">
        <w:rPr>
          <w:b/>
          <w:bCs/>
          <w:sz w:val="22"/>
          <w:szCs w:val="22"/>
        </w:rPr>
        <w:t>an</w:t>
      </w:r>
    </w:p>
    <w:p w:rsidR="00A02C86" w:rsidRPr="00B13E9A" w:rsidRDefault="00A02C86" w:rsidP="00A02C86">
      <w:pPr>
        <w:rPr>
          <w:bCs/>
          <w:lang w:eastAsia="en-US"/>
        </w:rPr>
      </w:pPr>
    </w:p>
    <w:p w:rsidR="00A02C86" w:rsidRDefault="00D108EA" w:rsidP="00D108EA">
      <w:pPr>
        <w:numPr>
          <w:ilvl w:val="0"/>
          <w:numId w:val="14"/>
        </w:numPr>
        <w:tabs>
          <w:tab w:val="clear" w:pos="1425"/>
          <w:tab w:val="num" w:pos="340"/>
        </w:tabs>
        <w:spacing w:line="300" w:lineRule="exact"/>
        <w:ind w:left="340" w:hanging="340"/>
        <w:rPr>
          <w:rFonts w:cs="Lucida Sans Unicode"/>
          <w:b/>
          <w:bCs/>
          <w:position w:val="0"/>
          <w:sz w:val="20"/>
          <w:szCs w:val="20"/>
        </w:rPr>
      </w:pPr>
      <w:r w:rsidRPr="00CC7A4E">
        <w:rPr>
          <w:rFonts w:cs="Lucida Sans Unicode"/>
          <w:b/>
          <w:bCs/>
          <w:position w:val="0"/>
          <w:sz w:val="20"/>
          <w:szCs w:val="20"/>
        </w:rPr>
        <w:t>Vorstandsvorsitzender Klaus Engel: „</w:t>
      </w:r>
      <w:r w:rsidR="00C03CA3" w:rsidRPr="00CC7A4E">
        <w:rPr>
          <w:rFonts w:cs="Lucida Sans Unicode"/>
          <w:b/>
          <w:bCs/>
          <w:position w:val="0"/>
          <w:sz w:val="20"/>
          <w:szCs w:val="20"/>
        </w:rPr>
        <w:t>Bei verschärfter Kostendisziplin halten wir an unseren Wachstums</w:t>
      </w:r>
      <w:r w:rsidR="002A4A93">
        <w:rPr>
          <w:rFonts w:cs="Lucida Sans Unicode"/>
          <w:b/>
          <w:bCs/>
          <w:position w:val="0"/>
          <w:sz w:val="20"/>
          <w:szCs w:val="20"/>
        </w:rPr>
        <w:t>plänen</w:t>
      </w:r>
      <w:r w:rsidR="00C03CA3" w:rsidRPr="00CC7A4E">
        <w:rPr>
          <w:rFonts w:cs="Lucida Sans Unicode"/>
          <w:b/>
          <w:bCs/>
          <w:position w:val="0"/>
          <w:sz w:val="20"/>
          <w:szCs w:val="20"/>
        </w:rPr>
        <w:t xml:space="preserve"> fest</w:t>
      </w:r>
      <w:r w:rsidRPr="00CC7A4E">
        <w:rPr>
          <w:rFonts w:cs="Lucida Sans Unicode"/>
          <w:b/>
          <w:bCs/>
          <w:position w:val="0"/>
          <w:sz w:val="20"/>
          <w:szCs w:val="20"/>
        </w:rPr>
        <w:t>“</w:t>
      </w:r>
    </w:p>
    <w:p w:rsidR="00CC7A4E" w:rsidRDefault="00CC7A4E" w:rsidP="00D108EA">
      <w:pPr>
        <w:numPr>
          <w:ilvl w:val="0"/>
          <w:numId w:val="14"/>
        </w:numPr>
        <w:tabs>
          <w:tab w:val="clear" w:pos="1425"/>
          <w:tab w:val="num" w:pos="340"/>
        </w:tabs>
        <w:spacing w:line="300" w:lineRule="exact"/>
        <w:ind w:left="340" w:hanging="340"/>
        <w:rPr>
          <w:rFonts w:cs="Lucida Sans Unicode"/>
          <w:b/>
          <w:bCs/>
          <w:position w:val="0"/>
          <w:sz w:val="20"/>
          <w:szCs w:val="20"/>
        </w:rPr>
      </w:pPr>
      <w:r>
        <w:rPr>
          <w:rFonts w:cs="Lucida Sans Unicode"/>
          <w:b/>
          <w:bCs/>
          <w:position w:val="0"/>
          <w:sz w:val="20"/>
          <w:szCs w:val="20"/>
        </w:rPr>
        <w:t>Operative Geschäftsentwicklung im 1. Halbjahr 2013 unter sehr gutem Vorjahreszeitraum</w:t>
      </w:r>
      <w:r w:rsidR="00FA080E">
        <w:rPr>
          <w:rFonts w:cs="Lucida Sans Unicode"/>
          <w:b/>
          <w:bCs/>
          <w:position w:val="0"/>
          <w:sz w:val="20"/>
          <w:szCs w:val="20"/>
        </w:rPr>
        <w:t>:</w:t>
      </w:r>
    </w:p>
    <w:p w:rsidR="00FA080E" w:rsidRDefault="00CC7A4E" w:rsidP="00A02C86">
      <w:pPr>
        <w:numPr>
          <w:ilvl w:val="0"/>
          <w:numId w:val="14"/>
        </w:numPr>
        <w:tabs>
          <w:tab w:val="clear" w:pos="1425"/>
          <w:tab w:val="num" w:pos="851"/>
        </w:tabs>
        <w:spacing w:line="300" w:lineRule="exact"/>
        <w:ind w:left="851" w:hanging="425"/>
        <w:rPr>
          <w:rFonts w:cs="Lucida Sans Unicode"/>
          <w:b/>
          <w:bCs/>
          <w:position w:val="0"/>
          <w:sz w:val="20"/>
          <w:szCs w:val="20"/>
        </w:rPr>
      </w:pPr>
      <w:r>
        <w:rPr>
          <w:rFonts w:cs="Lucida Sans Unicode"/>
          <w:b/>
          <w:bCs/>
          <w:position w:val="0"/>
          <w:sz w:val="20"/>
          <w:szCs w:val="20"/>
        </w:rPr>
        <w:t xml:space="preserve">Konzernumsatz mit 6,5 Milliarden € preisbedingt bei weiterhin guter Mengenentwicklung organisch </w:t>
      </w:r>
      <w:r w:rsidR="00177F36">
        <w:rPr>
          <w:rFonts w:cs="Lucida Sans Unicode"/>
          <w:b/>
          <w:bCs/>
          <w:position w:val="0"/>
          <w:sz w:val="20"/>
          <w:szCs w:val="20"/>
        </w:rPr>
        <w:t xml:space="preserve">leicht </w:t>
      </w:r>
      <w:r>
        <w:rPr>
          <w:rFonts w:cs="Lucida Sans Unicode"/>
          <w:b/>
          <w:bCs/>
          <w:position w:val="0"/>
          <w:sz w:val="20"/>
          <w:szCs w:val="20"/>
        </w:rPr>
        <w:t>rückläufig</w:t>
      </w:r>
    </w:p>
    <w:p w:rsidR="00A02C86" w:rsidRPr="00A02C86" w:rsidRDefault="007B4BCE" w:rsidP="00A02C86">
      <w:pPr>
        <w:numPr>
          <w:ilvl w:val="0"/>
          <w:numId w:val="14"/>
        </w:numPr>
        <w:tabs>
          <w:tab w:val="clear" w:pos="1425"/>
          <w:tab w:val="num" w:pos="851"/>
        </w:tabs>
        <w:spacing w:line="300" w:lineRule="exact"/>
        <w:ind w:left="851" w:hanging="425"/>
        <w:rPr>
          <w:rFonts w:cs="Lucida Sans Unicode"/>
          <w:b/>
          <w:bCs/>
          <w:position w:val="0"/>
          <w:sz w:val="20"/>
          <w:szCs w:val="20"/>
        </w:rPr>
      </w:pPr>
      <w:r>
        <w:rPr>
          <w:rFonts w:cs="Lucida Sans Unicode"/>
          <w:b/>
          <w:bCs/>
          <w:position w:val="0"/>
          <w:sz w:val="20"/>
          <w:szCs w:val="20"/>
        </w:rPr>
        <w:t>Operative Erge</w:t>
      </w:r>
      <w:r w:rsidR="00EB3292">
        <w:rPr>
          <w:rFonts w:cs="Lucida Sans Unicode"/>
          <w:b/>
          <w:bCs/>
          <w:position w:val="0"/>
          <w:sz w:val="20"/>
          <w:szCs w:val="20"/>
        </w:rPr>
        <w:t>b</w:t>
      </w:r>
      <w:r>
        <w:rPr>
          <w:rFonts w:cs="Lucida Sans Unicode"/>
          <w:b/>
          <w:bCs/>
          <w:position w:val="0"/>
          <w:sz w:val="20"/>
          <w:szCs w:val="20"/>
        </w:rPr>
        <w:t xml:space="preserve">nisse </w:t>
      </w:r>
      <w:r w:rsidR="00E00914">
        <w:rPr>
          <w:rFonts w:cs="Lucida Sans Unicode"/>
          <w:b/>
          <w:bCs/>
          <w:position w:val="0"/>
          <w:sz w:val="20"/>
          <w:szCs w:val="20"/>
        </w:rPr>
        <w:t>deutlich unter den sehr hohen Werten des Vorjahreshalbjahrs</w:t>
      </w:r>
    </w:p>
    <w:p w:rsidR="00A02C86" w:rsidRPr="00CC7A4E" w:rsidRDefault="00A66F03" w:rsidP="00A02C86">
      <w:pPr>
        <w:numPr>
          <w:ilvl w:val="0"/>
          <w:numId w:val="14"/>
        </w:numPr>
        <w:tabs>
          <w:tab w:val="clear" w:pos="1425"/>
          <w:tab w:val="num" w:pos="851"/>
        </w:tabs>
        <w:spacing w:line="300" w:lineRule="exact"/>
        <w:ind w:left="851" w:hanging="425"/>
        <w:rPr>
          <w:rFonts w:cs="Lucida Sans Unicode"/>
          <w:b/>
          <w:bCs/>
          <w:position w:val="0"/>
          <w:sz w:val="20"/>
          <w:szCs w:val="20"/>
        </w:rPr>
      </w:pPr>
      <w:r w:rsidRPr="00CC7A4E">
        <w:rPr>
          <w:rFonts w:cs="Lucida Sans Unicode"/>
          <w:b/>
          <w:bCs/>
          <w:position w:val="0"/>
          <w:sz w:val="20"/>
          <w:szCs w:val="20"/>
        </w:rPr>
        <w:t>Bereinigte EBITDA-Marge</w:t>
      </w:r>
      <w:r w:rsidR="00E00914" w:rsidRPr="00CC7A4E">
        <w:rPr>
          <w:rFonts w:cs="Lucida Sans Unicode"/>
          <w:b/>
          <w:bCs/>
          <w:position w:val="0"/>
          <w:sz w:val="20"/>
          <w:szCs w:val="20"/>
        </w:rPr>
        <w:t xml:space="preserve"> </w:t>
      </w:r>
      <w:r w:rsidR="00664ABB" w:rsidRPr="00CC7A4E">
        <w:rPr>
          <w:rFonts w:cs="Lucida Sans Unicode"/>
          <w:b/>
          <w:bCs/>
          <w:position w:val="0"/>
          <w:sz w:val="20"/>
          <w:szCs w:val="20"/>
        </w:rPr>
        <w:t xml:space="preserve">verringert sich auf </w:t>
      </w:r>
      <w:r w:rsidR="00E00914" w:rsidRPr="00CC7A4E">
        <w:rPr>
          <w:rFonts w:cs="Lucida Sans Unicode"/>
          <w:b/>
          <w:bCs/>
          <w:position w:val="0"/>
          <w:sz w:val="20"/>
          <w:szCs w:val="20"/>
        </w:rPr>
        <w:t xml:space="preserve">16,5 Prozent </w:t>
      </w:r>
    </w:p>
    <w:p w:rsidR="00296DB0" w:rsidRDefault="00296DB0" w:rsidP="00A02C86">
      <w:pPr>
        <w:numPr>
          <w:ilvl w:val="0"/>
          <w:numId w:val="14"/>
        </w:numPr>
        <w:tabs>
          <w:tab w:val="clear" w:pos="1425"/>
          <w:tab w:val="num" w:pos="340"/>
        </w:tabs>
        <w:spacing w:line="300" w:lineRule="exact"/>
        <w:ind w:left="340" w:hanging="340"/>
        <w:rPr>
          <w:rFonts w:cs="Lucida Sans Unicode"/>
          <w:b/>
          <w:bCs/>
          <w:position w:val="0"/>
          <w:sz w:val="20"/>
          <w:szCs w:val="20"/>
        </w:rPr>
      </w:pPr>
      <w:r>
        <w:rPr>
          <w:rFonts w:cs="Lucida Sans Unicode"/>
          <w:b/>
          <w:bCs/>
          <w:position w:val="0"/>
          <w:sz w:val="20"/>
          <w:szCs w:val="20"/>
        </w:rPr>
        <w:t xml:space="preserve">Konzernergebnis </w:t>
      </w:r>
      <w:r w:rsidR="00664ABB">
        <w:rPr>
          <w:rFonts w:cs="Lucida Sans Unicode"/>
          <w:b/>
          <w:bCs/>
          <w:position w:val="0"/>
          <w:sz w:val="20"/>
          <w:szCs w:val="20"/>
        </w:rPr>
        <w:t xml:space="preserve">im 1. Halbjahr </w:t>
      </w:r>
      <w:r>
        <w:rPr>
          <w:rFonts w:cs="Lucida Sans Unicode"/>
          <w:b/>
          <w:bCs/>
          <w:position w:val="0"/>
          <w:sz w:val="20"/>
          <w:szCs w:val="20"/>
        </w:rPr>
        <w:t xml:space="preserve">mit </w:t>
      </w:r>
      <w:r w:rsidR="00D24A3A">
        <w:rPr>
          <w:rFonts w:cs="Lucida Sans Unicode"/>
          <w:b/>
          <w:bCs/>
          <w:position w:val="0"/>
          <w:sz w:val="20"/>
          <w:szCs w:val="20"/>
        </w:rPr>
        <w:t>481</w:t>
      </w:r>
      <w:r>
        <w:rPr>
          <w:rFonts w:cs="Lucida Sans Unicode"/>
          <w:b/>
          <w:bCs/>
          <w:position w:val="0"/>
          <w:sz w:val="20"/>
          <w:szCs w:val="20"/>
        </w:rPr>
        <w:t xml:space="preserve"> Millionen € um </w:t>
      </w:r>
      <w:r w:rsidR="00D24A3A">
        <w:rPr>
          <w:rFonts w:cs="Lucida Sans Unicode"/>
          <w:b/>
          <w:bCs/>
          <w:position w:val="0"/>
          <w:sz w:val="20"/>
          <w:szCs w:val="20"/>
        </w:rPr>
        <w:t>10</w:t>
      </w:r>
      <w:r>
        <w:rPr>
          <w:rFonts w:cs="Lucida Sans Unicode"/>
          <w:b/>
          <w:bCs/>
          <w:position w:val="0"/>
          <w:sz w:val="20"/>
          <w:szCs w:val="20"/>
        </w:rPr>
        <w:t xml:space="preserve"> Prozent gesunken</w:t>
      </w:r>
    </w:p>
    <w:p w:rsidR="00BD550E" w:rsidRDefault="00BD550E" w:rsidP="00A02C86">
      <w:pPr>
        <w:numPr>
          <w:ilvl w:val="0"/>
          <w:numId w:val="14"/>
        </w:numPr>
        <w:tabs>
          <w:tab w:val="clear" w:pos="1425"/>
          <w:tab w:val="num" w:pos="340"/>
        </w:tabs>
        <w:spacing w:line="300" w:lineRule="exact"/>
        <w:ind w:left="340" w:hanging="340"/>
        <w:rPr>
          <w:rFonts w:cs="Lucida Sans Unicode"/>
          <w:b/>
          <w:bCs/>
          <w:position w:val="0"/>
          <w:sz w:val="20"/>
          <w:szCs w:val="20"/>
        </w:rPr>
      </w:pPr>
      <w:r>
        <w:rPr>
          <w:rFonts w:cs="Lucida Sans Unicode"/>
          <w:b/>
          <w:bCs/>
          <w:position w:val="0"/>
          <w:sz w:val="20"/>
          <w:szCs w:val="20"/>
        </w:rPr>
        <w:t>Maßnahmen zur Effizienzsteigerung und Kostensenkung intensiviert</w:t>
      </w:r>
    </w:p>
    <w:p w:rsidR="00E71A8B" w:rsidRPr="00CF1B1D" w:rsidRDefault="00CF1B1D" w:rsidP="00EF0375">
      <w:pPr>
        <w:numPr>
          <w:ilvl w:val="0"/>
          <w:numId w:val="14"/>
        </w:numPr>
        <w:tabs>
          <w:tab w:val="clear" w:pos="1425"/>
          <w:tab w:val="num" w:pos="340"/>
        </w:tabs>
        <w:spacing w:line="300" w:lineRule="exact"/>
        <w:ind w:left="340" w:hanging="340"/>
        <w:rPr>
          <w:rFonts w:cs="Lucida Sans Unicode"/>
          <w:b/>
          <w:bCs/>
          <w:position w:val="0"/>
          <w:sz w:val="20"/>
          <w:szCs w:val="20"/>
        </w:rPr>
      </w:pPr>
      <w:r w:rsidRPr="00CF1B1D">
        <w:rPr>
          <w:rFonts w:cs="Lucida Sans Unicode"/>
          <w:b/>
          <w:bCs/>
          <w:position w:val="0"/>
          <w:sz w:val="20"/>
          <w:szCs w:val="20"/>
        </w:rPr>
        <w:t xml:space="preserve">Ausblick für das Gesamtjahr 2013 angepasst: Umsatz </w:t>
      </w:r>
      <w:r w:rsidR="00CA7CED">
        <w:rPr>
          <w:rFonts w:cs="Lucida Sans Unicode"/>
          <w:b/>
          <w:bCs/>
          <w:position w:val="0"/>
          <w:sz w:val="20"/>
          <w:szCs w:val="20"/>
        </w:rPr>
        <w:t>etwa auf Vorjahres</w:t>
      </w:r>
      <w:r w:rsidR="00A04397">
        <w:rPr>
          <w:rFonts w:cs="Lucida Sans Unicode"/>
          <w:b/>
          <w:bCs/>
          <w:position w:val="0"/>
          <w:sz w:val="20"/>
          <w:szCs w:val="20"/>
        </w:rPr>
        <w:t>höhe</w:t>
      </w:r>
      <w:r w:rsidR="00CA7CED">
        <w:rPr>
          <w:rFonts w:cs="Lucida Sans Unicode"/>
          <w:b/>
          <w:bCs/>
          <w:position w:val="0"/>
          <w:sz w:val="20"/>
          <w:szCs w:val="20"/>
        </w:rPr>
        <w:t>; operative Ergebnisse unter den sehr guten Werten des Vorjahres</w:t>
      </w:r>
    </w:p>
    <w:p w:rsidR="00E71A8B" w:rsidRDefault="00E71A8B" w:rsidP="00E71A8B">
      <w:pPr>
        <w:spacing w:line="300" w:lineRule="exact"/>
        <w:rPr>
          <w:rFonts w:cs="Lucida Sans Unicode"/>
          <w:b/>
          <w:bCs/>
          <w:position w:val="0"/>
          <w:sz w:val="20"/>
          <w:szCs w:val="20"/>
        </w:rPr>
      </w:pPr>
    </w:p>
    <w:p w:rsidR="00EF0375" w:rsidRDefault="00D108EA" w:rsidP="00233F93">
      <w:pPr>
        <w:spacing w:line="300" w:lineRule="atLeast"/>
        <w:ind w:left="0"/>
        <w:rPr>
          <w:rFonts w:cs="Lucida Sans Unicode"/>
          <w:sz w:val="20"/>
          <w:szCs w:val="20"/>
        </w:rPr>
      </w:pPr>
      <w:r>
        <w:rPr>
          <w:rFonts w:cs="Lucida Sans Unicode"/>
          <w:sz w:val="20"/>
          <w:szCs w:val="20"/>
        </w:rPr>
        <w:t xml:space="preserve">Essen. </w:t>
      </w:r>
      <w:r w:rsidR="00EF0375">
        <w:rPr>
          <w:rFonts w:cs="Lucida Sans Unicode"/>
          <w:sz w:val="20"/>
          <w:szCs w:val="20"/>
        </w:rPr>
        <w:t>„</w:t>
      </w:r>
      <w:r w:rsidR="00A2317B">
        <w:rPr>
          <w:rFonts w:cs="Lucida Sans Unicode"/>
          <w:sz w:val="20"/>
          <w:szCs w:val="20"/>
        </w:rPr>
        <w:t>In einem</w:t>
      </w:r>
      <w:r w:rsidR="002550E3">
        <w:rPr>
          <w:rFonts w:cs="Lucida Sans Unicode"/>
          <w:sz w:val="20"/>
          <w:szCs w:val="20"/>
        </w:rPr>
        <w:t xml:space="preserve"> </w:t>
      </w:r>
      <w:r w:rsidR="0080197D">
        <w:rPr>
          <w:rFonts w:cs="Lucida Sans Unicode"/>
          <w:sz w:val="20"/>
          <w:szCs w:val="20"/>
        </w:rPr>
        <w:t>schwierigeren</w:t>
      </w:r>
      <w:r w:rsidR="00A2317B">
        <w:rPr>
          <w:rFonts w:cs="Lucida Sans Unicode"/>
          <w:sz w:val="20"/>
          <w:szCs w:val="20"/>
        </w:rPr>
        <w:t xml:space="preserve"> weltwirtschaftlichen Umfeld hat sich das </w:t>
      </w:r>
      <w:r w:rsidR="00EF0375">
        <w:rPr>
          <w:rFonts w:cs="Lucida Sans Unicode"/>
          <w:sz w:val="20"/>
          <w:szCs w:val="20"/>
        </w:rPr>
        <w:t xml:space="preserve">Geschäft von Evonik im </w:t>
      </w:r>
      <w:r w:rsidR="00415D3E">
        <w:rPr>
          <w:rFonts w:cs="Lucida Sans Unicode"/>
          <w:sz w:val="20"/>
          <w:szCs w:val="20"/>
        </w:rPr>
        <w:t xml:space="preserve">2. Quartal </w:t>
      </w:r>
      <w:r w:rsidR="00EF0375">
        <w:rPr>
          <w:rFonts w:cs="Lucida Sans Unicode"/>
          <w:sz w:val="20"/>
          <w:szCs w:val="20"/>
        </w:rPr>
        <w:t>schwächer entwickelt als erwartet</w:t>
      </w:r>
      <w:r w:rsidR="008E2BBA">
        <w:rPr>
          <w:rFonts w:cs="Lucida Sans Unicode"/>
          <w:sz w:val="20"/>
          <w:szCs w:val="20"/>
        </w:rPr>
        <w:t xml:space="preserve">. </w:t>
      </w:r>
      <w:r w:rsidR="008E2BBA" w:rsidRPr="008E2BBA">
        <w:rPr>
          <w:rFonts w:cs="Lucida Sans Unicode"/>
          <w:sz w:val="20"/>
          <w:szCs w:val="20"/>
        </w:rPr>
        <w:t>Bei leicht gestiegenen Mengen haben insbesondere sinkende Preise zu r</w:t>
      </w:r>
      <w:r w:rsidR="008E2BBA">
        <w:rPr>
          <w:rFonts w:cs="Lucida Sans Unicode"/>
          <w:sz w:val="20"/>
          <w:szCs w:val="20"/>
        </w:rPr>
        <w:t>ückläufigen Ergebnissen geführt</w:t>
      </w:r>
      <w:r w:rsidR="002550E3">
        <w:rPr>
          <w:rFonts w:cs="Lucida Sans Unicode"/>
          <w:sz w:val="20"/>
          <w:szCs w:val="20"/>
        </w:rPr>
        <w:t>“, sagte Klaus Engel, Vorstandsvorsitzender der Evonik Industries AG</w:t>
      </w:r>
      <w:r w:rsidR="00D2002C">
        <w:rPr>
          <w:rFonts w:cs="Lucida Sans Unicode"/>
          <w:sz w:val="20"/>
          <w:szCs w:val="20"/>
        </w:rPr>
        <w:t>,</w:t>
      </w:r>
      <w:r w:rsidR="002550E3">
        <w:rPr>
          <w:rFonts w:cs="Lucida Sans Unicode"/>
          <w:sz w:val="20"/>
          <w:szCs w:val="20"/>
        </w:rPr>
        <w:t xml:space="preserve"> heute anlässlich der Vorstellung der wirtschaftlichen Eckdaten für das 1. Halbjahr 2013 und das 2. Quartal 2013. „Trotz dieser aktuellen Entwicklung halten wir an unseren Wachstums</w:t>
      </w:r>
      <w:r w:rsidR="002A4A93">
        <w:rPr>
          <w:rFonts w:cs="Lucida Sans Unicode"/>
          <w:sz w:val="20"/>
          <w:szCs w:val="20"/>
        </w:rPr>
        <w:t>plänen</w:t>
      </w:r>
      <w:r w:rsidR="002550E3">
        <w:rPr>
          <w:rFonts w:cs="Lucida Sans Unicode"/>
          <w:sz w:val="20"/>
          <w:szCs w:val="20"/>
        </w:rPr>
        <w:t xml:space="preserve"> fest. </w:t>
      </w:r>
      <w:r w:rsidR="008C0512">
        <w:rPr>
          <w:rFonts w:cs="Lucida Sans Unicode"/>
          <w:sz w:val="20"/>
          <w:szCs w:val="20"/>
        </w:rPr>
        <w:t xml:space="preserve">Kurzfristig werden wir </w:t>
      </w:r>
      <w:r w:rsidR="00CC7A4E">
        <w:rPr>
          <w:rFonts w:cs="Lucida Sans Unicode"/>
          <w:sz w:val="20"/>
          <w:szCs w:val="20"/>
        </w:rPr>
        <w:t>diesen</w:t>
      </w:r>
      <w:r w:rsidR="008C0512">
        <w:rPr>
          <w:rFonts w:cs="Lucida Sans Unicode"/>
          <w:sz w:val="20"/>
          <w:szCs w:val="20"/>
        </w:rPr>
        <w:t xml:space="preserve"> Wachstumspfad durch verschärfte Kostendisziplin und die weitere konsequente Umsetzung unseres Effizienzprogramms On</w:t>
      </w:r>
      <w:r w:rsidR="00D2002C">
        <w:rPr>
          <w:rFonts w:cs="Lucida Sans Unicode"/>
          <w:sz w:val="20"/>
          <w:szCs w:val="20"/>
        </w:rPr>
        <w:t xml:space="preserve"> </w:t>
      </w:r>
      <w:r w:rsidR="008C0512">
        <w:rPr>
          <w:rFonts w:cs="Lucida Sans Unicode"/>
          <w:sz w:val="20"/>
          <w:szCs w:val="20"/>
        </w:rPr>
        <w:t xml:space="preserve">Track 2.0 unterstützen.“ </w:t>
      </w:r>
      <w:r w:rsidR="00415D3E">
        <w:rPr>
          <w:rFonts w:cs="Lucida Sans Unicode"/>
          <w:sz w:val="20"/>
          <w:szCs w:val="20"/>
        </w:rPr>
        <w:t xml:space="preserve">Für die zweite Jahreshälfte </w:t>
      </w:r>
      <w:r w:rsidR="002A4A93">
        <w:rPr>
          <w:rFonts w:cs="Lucida Sans Unicode"/>
          <w:sz w:val="20"/>
          <w:szCs w:val="20"/>
        </w:rPr>
        <w:t xml:space="preserve">2013 </w:t>
      </w:r>
      <w:r w:rsidR="00EB3292">
        <w:rPr>
          <w:rFonts w:cs="Lucida Sans Unicode"/>
          <w:sz w:val="20"/>
          <w:szCs w:val="20"/>
        </w:rPr>
        <w:t>unterstellt</w:t>
      </w:r>
      <w:r w:rsidR="008E2BBA">
        <w:rPr>
          <w:rFonts w:cs="Lucida Sans Unicode"/>
          <w:sz w:val="20"/>
          <w:szCs w:val="20"/>
        </w:rPr>
        <w:t xml:space="preserve"> das Unternehmen</w:t>
      </w:r>
      <w:r w:rsidR="00415D3E">
        <w:rPr>
          <w:rFonts w:cs="Lucida Sans Unicode"/>
          <w:sz w:val="20"/>
          <w:szCs w:val="20"/>
        </w:rPr>
        <w:t xml:space="preserve"> </w:t>
      </w:r>
      <w:r w:rsidR="008E2BBA">
        <w:rPr>
          <w:rFonts w:cs="Lucida Sans Unicode"/>
          <w:sz w:val="20"/>
          <w:szCs w:val="20"/>
        </w:rPr>
        <w:t>eine</w:t>
      </w:r>
      <w:r w:rsidR="00415D3E">
        <w:rPr>
          <w:rFonts w:cs="Lucida Sans Unicode"/>
          <w:sz w:val="20"/>
          <w:szCs w:val="20"/>
        </w:rPr>
        <w:t xml:space="preserve"> Stabilisierung der Preise auf dem aktuellen Niveau bei gleichzeitig </w:t>
      </w:r>
      <w:r w:rsidR="002A4A93">
        <w:rPr>
          <w:rFonts w:cs="Lucida Sans Unicode"/>
          <w:sz w:val="20"/>
          <w:szCs w:val="20"/>
        </w:rPr>
        <w:t xml:space="preserve">leicht über Vorjahr liegenden </w:t>
      </w:r>
      <w:r w:rsidR="00415D3E">
        <w:rPr>
          <w:rFonts w:cs="Lucida Sans Unicode"/>
          <w:sz w:val="20"/>
          <w:szCs w:val="20"/>
        </w:rPr>
        <w:t xml:space="preserve">Verkaufsmengen. </w:t>
      </w:r>
      <w:r w:rsidR="008E2BBA">
        <w:rPr>
          <w:rFonts w:cs="Lucida Sans Unicode"/>
          <w:sz w:val="20"/>
          <w:szCs w:val="20"/>
        </w:rPr>
        <w:t xml:space="preserve">Insgesamt erwartet Evonik mit rund 13 Milliarden € einen Umsatz etwa auf Vorjahreshöhe sowie </w:t>
      </w:r>
      <w:r w:rsidR="00CA7CED">
        <w:rPr>
          <w:rFonts w:cs="Lucida Sans Unicode"/>
          <w:sz w:val="20"/>
          <w:szCs w:val="20"/>
        </w:rPr>
        <w:t>ein bereinigtes EBITDA in der Größenordnung von 2,0 Milliarden € (2012: 2,4 Milliarden €)</w:t>
      </w:r>
      <w:r w:rsidR="008E2BBA">
        <w:rPr>
          <w:rFonts w:cs="Lucida Sans Unicode"/>
          <w:sz w:val="20"/>
          <w:szCs w:val="20"/>
        </w:rPr>
        <w:t>.</w:t>
      </w:r>
    </w:p>
    <w:p w:rsidR="00B405E7" w:rsidRPr="00CC212D" w:rsidRDefault="00B405E7" w:rsidP="00A66F03">
      <w:pPr>
        <w:spacing w:line="300" w:lineRule="atLeast"/>
        <w:rPr>
          <w:rFonts w:cs="Lucida Sans Unicode"/>
          <w:sz w:val="20"/>
          <w:szCs w:val="20"/>
        </w:rPr>
      </w:pPr>
    </w:p>
    <w:p w:rsidR="00C74A53" w:rsidRDefault="00C74A53" w:rsidP="00A66F03">
      <w:pPr>
        <w:spacing w:line="300" w:lineRule="atLeast"/>
        <w:rPr>
          <w:rFonts w:cs="Lucida Sans Unicode"/>
          <w:b/>
          <w:sz w:val="20"/>
          <w:szCs w:val="20"/>
        </w:rPr>
      </w:pPr>
    </w:p>
    <w:p w:rsidR="00A66F03" w:rsidRDefault="009534D3" w:rsidP="00233F93">
      <w:pPr>
        <w:spacing w:line="300" w:lineRule="atLeast"/>
        <w:ind w:left="0"/>
        <w:rPr>
          <w:rFonts w:cs="Lucida Sans Unicode"/>
          <w:b/>
          <w:sz w:val="20"/>
          <w:szCs w:val="20"/>
        </w:rPr>
      </w:pPr>
      <w:r>
        <w:rPr>
          <w:rFonts w:cs="Lucida Sans Unicode"/>
          <w:b/>
          <w:sz w:val="20"/>
          <w:szCs w:val="20"/>
        </w:rPr>
        <w:lastRenderedPageBreak/>
        <w:t>Geschäftsentwicklung im 1. Halbjahr 2013</w:t>
      </w:r>
    </w:p>
    <w:p w:rsidR="00603A28" w:rsidRPr="00EB3292" w:rsidRDefault="00603A28" w:rsidP="00233F93">
      <w:pPr>
        <w:ind w:left="0"/>
      </w:pPr>
    </w:p>
    <w:p w:rsidR="0031538E" w:rsidRPr="00CA6F8C" w:rsidRDefault="0031538E" w:rsidP="00233F93">
      <w:pPr>
        <w:pStyle w:val="ErsteZeile"/>
        <w:ind w:left="0"/>
      </w:pPr>
      <w:r w:rsidRPr="00CA6F8C">
        <w:t xml:space="preserve">Im 1. Halbjahr 2013 ging der </w:t>
      </w:r>
      <w:r w:rsidRPr="00D108EA">
        <w:rPr>
          <w:b/>
        </w:rPr>
        <w:t>Konzernumsatz</w:t>
      </w:r>
      <w:r w:rsidRPr="00CA6F8C">
        <w:t xml:space="preserve"> </w:t>
      </w:r>
      <w:r w:rsidR="007636A7">
        <w:t xml:space="preserve">organisch </w:t>
      </w:r>
      <w:r w:rsidRPr="00CA6F8C">
        <w:t>bei geringeren Verkaufspreisen (-4 Prozent) und leicht höheren Mengen (+1 Prozent) um 3 Prozent zurück. Insgesamt verringerte sich der Konzernumsatz</w:t>
      </w:r>
      <w:r w:rsidR="007636A7">
        <w:t xml:space="preserve"> aufgrund der Abgabe von zwei kleineren Geschäften im Vorjahr </w:t>
      </w:r>
      <w:r w:rsidRPr="00CA6F8C">
        <w:t>um 5 Prozent auf 6.526 Millionen € (Vorjahreshalbjahr: 6.835 Millionen €</w:t>
      </w:r>
      <w:r w:rsidR="00EF0375">
        <w:t>)</w:t>
      </w:r>
      <w:r w:rsidRPr="00CA6F8C">
        <w:t xml:space="preserve">. </w:t>
      </w:r>
    </w:p>
    <w:p w:rsidR="00CA6F8C" w:rsidRDefault="00CA6F8C" w:rsidP="00233F93">
      <w:pPr>
        <w:pStyle w:val="ErsteZeile"/>
        <w:ind w:left="0"/>
      </w:pPr>
    </w:p>
    <w:p w:rsidR="00046554" w:rsidRDefault="00CA6F8C" w:rsidP="00233F93">
      <w:pPr>
        <w:pStyle w:val="ErsteZeile"/>
        <w:ind w:left="0"/>
      </w:pPr>
      <w:r w:rsidRPr="00CA6F8C">
        <w:t>Die operativen Ergebnisse</w:t>
      </w:r>
      <w:r w:rsidRPr="00D45B2E">
        <w:t xml:space="preserve"> </w:t>
      </w:r>
      <w:r w:rsidR="00DB6963">
        <w:t>blieben</w:t>
      </w:r>
      <w:r w:rsidRPr="00D45B2E">
        <w:t xml:space="preserve"> </w:t>
      </w:r>
      <w:r>
        <w:t xml:space="preserve">im 1. Halbjahr 2013 </w:t>
      </w:r>
      <w:r w:rsidRPr="00D45B2E">
        <w:t>vor allem infolge der geringeren Verkaufspreise</w:t>
      </w:r>
      <w:r>
        <w:t xml:space="preserve"> bei </w:t>
      </w:r>
      <w:r w:rsidR="00FB37EB">
        <w:t xml:space="preserve">einigen </w:t>
      </w:r>
      <w:r>
        <w:t>wichtigen Produkten</w:t>
      </w:r>
      <w:r w:rsidRPr="00D45B2E">
        <w:t xml:space="preserve"> </w:t>
      </w:r>
      <w:r w:rsidR="00DB6963">
        <w:t xml:space="preserve">sowie </w:t>
      </w:r>
      <w:r w:rsidR="00906F6F">
        <w:t>eine</w:t>
      </w:r>
      <w:r w:rsidR="002E78DB">
        <w:t>s</w:t>
      </w:r>
      <w:r w:rsidR="00906F6F">
        <w:t xml:space="preserve"> planmäßigen großen </w:t>
      </w:r>
      <w:r w:rsidR="002E78DB">
        <w:t xml:space="preserve">Revisionsstillstandes in einem Produktionsverbund des </w:t>
      </w:r>
      <w:r w:rsidR="00DB6963">
        <w:t>Segment</w:t>
      </w:r>
      <w:r w:rsidR="002E78DB">
        <w:t>s</w:t>
      </w:r>
      <w:r w:rsidR="00DB6963">
        <w:t xml:space="preserve"> Specialty Materials unter den hohen Vorjahreswerten</w:t>
      </w:r>
      <w:r w:rsidRPr="00D45B2E">
        <w:t>.</w:t>
      </w:r>
      <w:r>
        <w:t xml:space="preserve"> </w:t>
      </w:r>
      <w:r w:rsidRPr="00D45B2E">
        <w:t xml:space="preserve">Insgesamt </w:t>
      </w:r>
      <w:r>
        <w:t>nahm</w:t>
      </w:r>
      <w:r w:rsidRPr="00D45B2E">
        <w:t xml:space="preserve"> das bereinigte </w:t>
      </w:r>
      <w:r w:rsidRPr="00CA6F8C">
        <w:rPr>
          <w:b/>
        </w:rPr>
        <w:t>EBITDA</w:t>
      </w:r>
      <w:r w:rsidRPr="00D45B2E">
        <w:t xml:space="preserve"> um </w:t>
      </w:r>
      <w:r>
        <w:t>16 Prozent auf 1.079</w:t>
      </w:r>
      <w:r w:rsidRPr="00D45B2E">
        <w:t xml:space="preserve"> Millionen € </w:t>
      </w:r>
      <w:r w:rsidR="00CC212D">
        <w:t xml:space="preserve">(Vorjahreshalbjahr: </w:t>
      </w:r>
      <w:r>
        <w:t xml:space="preserve">1.289 Millionen €) </w:t>
      </w:r>
      <w:r w:rsidRPr="00D45B2E">
        <w:t xml:space="preserve">und das bereinigte </w:t>
      </w:r>
      <w:r w:rsidRPr="00CA6F8C">
        <w:rPr>
          <w:b/>
        </w:rPr>
        <w:t>EBIT</w:t>
      </w:r>
      <w:r w:rsidRPr="00D45B2E">
        <w:t xml:space="preserve"> um </w:t>
      </w:r>
      <w:r>
        <w:t>21</w:t>
      </w:r>
      <w:r w:rsidRPr="00D45B2E">
        <w:t xml:space="preserve"> Prozent auf </w:t>
      </w:r>
      <w:r>
        <w:t>787</w:t>
      </w:r>
      <w:r w:rsidRPr="00D45B2E">
        <w:t xml:space="preserve"> Millionen € </w:t>
      </w:r>
      <w:r>
        <w:t>(Vorjahr</w:t>
      </w:r>
      <w:r w:rsidR="0022525D">
        <w:t>es</w:t>
      </w:r>
      <w:r w:rsidR="00EF0375">
        <w:t>halbjah</w:t>
      </w:r>
      <w:r>
        <w:t>r: 995 Millionen €) ab</w:t>
      </w:r>
      <w:r w:rsidRPr="00D45B2E">
        <w:t xml:space="preserve">. Die bereinigte </w:t>
      </w:r>
      <w:r w:rsidRPr="00CA6F8C">
        <w:rPr>
          <w:b/>
        </w:rPr>
        <w:t>EBITDA-Marge</w:t>
      </w:r>
      <w:r w:rsidRPr="00D45B2E">
        <w:t xml:space="preserve"> verringerte sich von 1</w:t>
      </w:r>
      <w:r>
        <w:t>8,9</w:t>
      </w:r>
      <w:r w:rsidRPr="00D45B2E">
        <w:t xml:space="preserve"> Prozent auf 1</w:t>
      </w:r>
      <w:r>
        <w:t>6,5</w:t>
      </w:r>
      <w:r w:rsidRPr="00D45B2E">
        <w:t xml:space="preserve"> Prozent. </w:t>
      </w:r>
    </w:p>
    <w:p w:rsidR="00046554" w:rsidRDefault="00046554" w:rsidP="00233F93">
      <w:pPr>
        <w:pStyle w:val="ErsteZeile"/>
        <w:ind w:left="0"/>
      </w:pPr>
    </w:p>
    <w:p w:rsidR="00DA0C58" w:rsidRDefault="002A17DF" w:rsidP="00233F93">
      <w:pPr>
        <w:pStyle w:val="ErsteZeile"/>
        <w:ind w:left="0"/>
      </w:pPr>
      <w:r w:rsidRPr="002A17DF">
        <w:t xml:space="preserve">Die </w:t>
      </w:r>
      <w:r w:rsidRPr="002A17DF">
        <w:rPr>
          <w:b/>
        </w:rPr>
        <w:t>Bereinigungen</w:t>
      </w:r>
      <w:r w:rsidRPr="002A17DF">
        <w:t xml:space="preserve"> von -93 Millionen € </w:t>
      </w:r>
      <w:r w:rsidR="00885579">
        <w:t xml:space="preserve">im 1. Halbjahr 2013 </w:t>
      </w:r>
      <w:r w:rsidRPr="002A17DF">
        <w:t>betr</w:t>
      </w:r>
      <w:r>
        <w:t xml:space="preserve">afen </w:t>
      </w:r>
      <w:r w:rsidRPr="002A17DF">
        <w:t xml:space="preserve">im Wesentlichen </w:t>
      </w:r>
      <w:r w:rsidR="00BA5E1E">
        <w:t xml:space="preserve">Erträge, </w:t>
      </w:r>
      <w:r w:rsidRPr="002A17DF">
        <w:t xml:space="preserve">Aufwendungen und Wertminderungen im Zusammenhang mit der Stilllegung von Produktionsanlagen der Segmente Resource Efficiency und Specialty Materials sowie Aufwendungen aus dem Verkauf früherer Randaktivitäten. Darüber hinaus </w:t>
      </w:r>
      <w:r w:rsidR="00BA5E1E">
        <w:t xml:space="preserve">waren </w:t>
      </w:r>
      <w:r w:rsidRPr="002A17DF">
        <w:t>Aufwendungen im Zusammenhang mit der Bilanzierung der Put- und der Call-Option für die restlichen Ante</w:t>
      </w:r>
      <w:r>
        <w:t xml:space="preserve">ile an der STEAG GmbH </w:t>
      </w:r>
      <w:r w:rsidRPr="002A17DF">
        <w:t xml:space="preserve">enthalten. Der Vorjahreswert umfasste maßgeblich Wertminderungen auf Produktionsanlagen des Segments Resource Efficiency infolge der erhöhten </w:t>
      </w:r>
      <w:r>
        <w:t>W</w:t>
      </w:r>
      <w:r w:rsidRPr="002A17DF">
        <w:t>ettbewerbsintensität in der Fotovoltaikindustrie sowie Aufwendungen im Zusammenhang mit der Bilanzierung der STEAG-Optionen.</w:t>
      </w:r>
    </w:p>
    <w:p w:rsidR="00B405E7" w:rsidRPr="00B405E7" w:rsidRDefault="00B405E7" w:rsidP="00233F93">
      <w:pPr>
        <w:ind w:left="0"/>
        <w:rPr>
          <w:lang w:eastAsia="en-US"/>
        </w:rPr>
      </w:pPr>
    </w:p>
    <w:p w:rsidR="00DA0C58" w:rsidRDefault="00931077" w:rsidP="00233F93">
      <w:pPr>
        <w:pStyle w:val="ErsteZeile"/>
        <w:ind w:left="0"/>
      </w:pPr>
      <w:r w:rsidRPr="002E4A55">
        <w:t xml:space="preserve">Das </w:t>
      </w:r>
      <w:r w:rsidRPr="002E4A55">
        <w:rPr>
          <w:b/>
        </w:rPr>
        <w:t>Ergebnis nach Ertragsteuern der fortgeführten Aktivitäten</w:t>
      </w:r>
      <w:r w:rsidRPr="002E4A55">
        <w:t xml:space="preserve"> ging </w:t>
      </w:r>
      <w:r w:rsidR="002E4A55">
        <w:t>vor allem infolge der schwächeren operativen Geschäftsentwicklung</w:t>
      </w:r>
      <w:r w:rsidRPr="002E4A55">
        <w:t xml:space="preserve"> um 14 Prozent auf 397 Millionen € zurück (Vorjahreshalbjahr: 464 Millionen €</w:t>
      </w:r>
      <w:r w:rsidR="002E4A55">
        <w:t>)</w:t>
      </w:r>
      <w:r w:rsidRPr="002E4A55">
        <w:t>.</w:t>
      </w:r>
      <w:r>
        <w:rPr>
          <w:i/>
        </w:rPr>
        <w:t xml:space="preserve"> </w:t>
      </w:r>
      <w:r w:rsidR="00DA0C58" w:rsidRPr="00DA0C58">
        <w:t xml:space="preserve">Das </w:t>
      </w:r>
      <w:r w:rsidR="00DA0C58" w:rsidRPr="00095CCC">
        <w:rPr>
          <w:b/>
        </w:rPr>
        <w:t>Er</w:t>
      </w:r>
      <w:r w:rsidR="00DA0C58" w:rsidRPr="00095CCC">
        <w:rPr>
          <w:b/>
        </w:rPr>
        <w:softHyphen/>
        <w:t>gebnis nach Steuern der nicht fortge</w:t>
      </w:r>
      <w:r w:rsidR="00DA0C58" w:rsidRPr="00095CCC">
        <w:rPr>
          <w:b/>
        </w:rPr>
        <w:softHyphen/>
        <w:t>führten Aktivitäten</w:t>
      </w:r>
      <w:r w:rsidR="00DA0C58">
        <w:t xml:space="preserve"> von 7</w:t>
      </w:r>
      <w:r w:rsidR="00BE2D21">
        <w:t>5</w:t>
      </w:r>
      <w:r w:rsidR="00DA0C58">
        <w:t> Millionen € betraf im Wesentlichen das laufende Ergebnis des Segments Real Estate.</w:t>
      </w:r>
    </w:p>
    <w:p w:rsidR="00DA0C58" w:rsidRDefault="00DA0C58" w:rsidP="007A6A1A">
      <w:pPr>
        <w:pStyle w:val="ErsteZeile"/>
      </w:pPr>
    </w:p>
    <w:p w:rsidR="00B405E7" w:rsidRPr="00B405E7" w:rsidRDefault="00B405E7" w:rsidP="00B405E7">
      <w:pPr>
        <w:rPr>
          <w:lang w:eastAsia="en-US"/>
        </w:rPr>
      </w:pPr>
    </w:p>
    <w:p w:rsidR="007B6855" w:rsidRDefault="00275F28" w:rsidP="00233F93">
      <w:pPr>
        <w:pStyle w:val="ErsteZeile"/>
        <w:ind w:left="0"/>
      </w:pPr>
      <w:r>
        <w:lastRenderedPageBreak/>
        <w:t xml:space="preserve">Das </w:t>
      </w:r>
      <w:r w:rsidR="00A44708" w:rsidRPr="001C3DAD">
        <w:rPr>
          <w:b/>
        </w:rPr>
        <w:t>Konzernergebnis</w:t>
      </w:r>
      <w:r>
        <w:t xml:space="preserve"> blieb im 1. Halbjahr 2013 mit 481 Millionen € um 10 Prozent unter dem </w:t>
      </w:r>
      <w:r w:rsidR="00F62F34">
        <w:t xml:space="preserve">sehr guten </w:t>
      </w:r>
      <w:r>
        <w:t>Wert des Vorjahreszeitraums</w:t>
      </w:r>
      <w:r w:rsidR="00D24A3A">
        <w:t xml:space="preserve"> (533 Millionen €)</w:t>
      </w:r>
      <w:r>
        <w:t xml:space="preserve">. </w:t>
      </w:r>
      <w:r w:rsidR="001C3DAD">
        <w:t xml:space="preserve">Das </w:t>
      </w:r>
      <w:r w:rsidR="001C3DAD" w:rsidRPr="00931077">
        <w:rPr>
          <w:b/>
        </w:rPr>
        <w:t>E</w:t>
      </w:r>
      <w:r w:rsidR="001C3DAD" w:rsidRPr="001C3DAD">
        <w:rPr>
          <w:b/>
        </w:rPr>
        <w:t>rgebnis je Aktie</w:t>
      </w:r>
      <w:r w:rsidR="001C3DAD">
        <w:t xml:space="preserve"> </w:t>
      </w:r>
      <w:r w:rsidR="002E4A55">
        <w:t>nahm</w:t>
      </w:r>
      <w:r w:rsidR="001C3DAD">
        <w:t xml:space="preserve"> auf 1,03 € </w:t>
      </w:r>
      <w:r w:rsidR="002E4A55">
        <w:t xml:space="preserve">ab </w:t>
      </w:r>
      <w:r w:rsidR="001C3DAD">
        <w:t xml:space="preserve">(Vorjahr: 1,14 €). </w:t>
      </w:r>
    </w:p>
    <w:p w:rsidR="007B6855" w:rsidRDefault="007B6855" w:rsidP="007A6A1A">
      <w:pPr>
        <w:pStyle w:val="ErsteZeile"/>
      </w:pPr>
    </w:p>
    <w:p w:rsidR="007B6855" w:rsidRDefault="007B6855" w:rsidP="00233F93">
      <w:pPr>
        <w:pStyle w:val="ErsteZeile"/>
        <w:ind w:left="0"/>
      </w:pPr>
      <w:r w:rsidRPr="007B6855">
        <w:t xml:space="preserve">Der </w:t>
      </w:r>
      <w:r w:rsidRPr="007B6855">
        <w:rPr>
          <w:b/>
        </w:rPr>
        <w:t>Cashflow aus laufender Geschäftstätigkeit der fortgeführten Aktivitäten</w:t>
      </w:r>
      <w:r w:rsidRPr="007B6855">
        <w:t xml:space="preserve"> ging im </w:t>
      </w:r>
      <w:r>
        <w:t xml:space="preserve">1. </w:t>
      </w:r>
      <w:r w:rsidRPr="007B6855">
        <w:t xml:space="preserve">Halbjahr 2013 um 166 Millionen € auf 172 Millionen € zurück. Dies ist vor allem auf das </w:t>
      </w:r>
      <w:r w:rsidR="00F62F34">
        <w:t>geringere</w:t>
      </w:r>
      <w:r w:rsidRPr="007B6855">
        <w:t xml:space="preserve"> Ergebnis vor Abschreibungen, Finanzergebnis und </w:t>
      </w:r>
      <w:r w:rsidR="00F62F34">
        <w:t>S</w:t>
      </w:r>
      <w:r w:rsidRPr="007B6855">
        <w:t>teuern zurückzuführen, während der geringere Aufbau des Nettoumlaufvermögens gegenläufig wirkte.</w:t>
      </w:r>
      <w:r>
        <w:t xml:space="preserve"> Einschließlich des Cashflows der nicht fortgeführten Aktivitäten </w:t>
      </w:r>
      <w:r w:rsidR="00931077">
        <w:t>lag</w:t>
      </w:r>
      <w:r w:rsidRPr="00881192">
        <w:t xml:space="preserve"> der </w:t>
      </w:r>
      <w:r w:rsidRPr="00EF0375">
        <w:rPr>
          <w:b/>
        </w:rPr>
        <w:t xml:space="preserve">Cashflow aus laufender Geschäftstätigkeit </w:t>
      </w:r>
      <w:r w:rsidRPr="00881192">
        <w:t>mit 2</w:t>
      </w:r>
      <w:r>
        <w:t>22</w:t>
      </w:r>
      <w:r w:rsidRPr="00881192">
        <w:t xml:space="preserve"> Millionen € um 1</w:t>
      </w:r>
      <w:r>
        <w:t>6</w:t>
      </w:r>
      <w:r w:rsidRPr="00881192">
        <w:t>7 Millionen € unter dem</w:t>
      </w:r>
      <w:r>
        <w:t xml:space="preserve"> Wert des Vorjahreszeitraums. </w:t>
      </w:r>
    </w:p>
    <w:p w:rsidR="007B6855" w:rsidRDefault="007B6855" w:rsidP="00233F93">
      <w:pPr>
        <w:pStyle w:val="ErsteZeile"/>
        <w:ind w:left="0"/>
      </w:pPr>
    </w:p>
    <w:p w:rsidR="00EA6FA9" w:rsidRDefault="007664AC" w:rsidP="00233F93">
      <w:pPr>
        <w:pStyle w:val="ErsteZeile"/>
        <w:ind w:left="0"/>
      </w:pPr>
      <w:r w:rsidRPr="00D91AC8">
        <w:t xml:space="preserve">Die </w:t>
      </w:r>
      <w:r w:rsidRPr="001A68D9">
        <w:rPr>
          <w:b/>
        </w:rPr>
        <w:t>Sachinvestitionen</w:t>
      </w:r>
      <w:r>
        <w:t xml:space="preserve"> erhöhten sich</w:t>
      </w:r>
      <w:r w:rsidR="00912CE9">
        <w:t xml:space="preserve"> im 1. Halbjahr 2013 </w:t>
      </w:r>
      <w:r>
        <w:t xml:space="preserve">entsprechend </w:t>
      </w:r>
      <w:r w:rsidR="00F2008D">
        <w:t>des</w:t>
      </w:r>
      <w:r>
        <w:t xml:space="preserve"> ehrgeizigen Investitionsprogramms um 14 Prozent auf</w:t>
      </w:r>
      <w:r w:rsidRPr="00D91AC8">
        <w:t xml:space="preserve"> </w:t>
      </w:r>
      <w:r>
        <w:t>431</w:t>
      </w:r>
      <w:r w:rsidRPr="00D91AC8">
        <w:t> Millionen </w:t>
      </w:r>
      <w:r w:rsidR="001C3DAD">
        <w:t xml:space="preserve">(Vorjahreshalbjahr: 378 Millionen €). </w:t>
      </w:r>
      <w:r w:rsidRPr="00DB3A66">
        <w:t>33 </w:t>
      </w:r>
      <w:r w:rsidRPr="00E3383F">
        <w:t xml:space="preserve">Prozent der Sachinvestitionen </w:t>
      </w:r>
      <w:r>
        <w:t xml:space="preserve">entfielen </w:t>
      </w:r>
      <w:r w:rsidRPr="00E3383F">
        <w:t xml:space="preserve">auf das </w:t>
      </w:r>
      <w:r>
        <w:t>Segment Consumer, Health &amp; Nutrition, 29</w:t>
      </w:r>
      <w:r w:rsidRPr="00E3383F">
        <w:t> Prozent</w:t>
      </w:r>
      <w:r>
        <w:t xml:space="preserve"> auf das Segment Specialty Materials und </w:t>
      </w:r>
      <w:r w:rsidRPr="00DB3A66">
        <w:t>20 </w:t>
      </w:r>
      <w:r w:rsidRPr="00E3383F">
        <w:t xml:space="preserve">Prozent </w:t>
      </w:r>
      <w:r>
        <w:t>auf das Segment Re</w:t>
      </w:r>
      <w:r w:rsidR="009A6864">
        <w:t>s</w:t>
      </w:r>
      <w:r>
        <w:t>ource Efficiency.</w:t>
      </w:r>
      <w:r w:rsidRPr="00E3383F">
        <w:t xml:space="preserve"> </w:t>
      </w:r>
    </w:p>
    <w:p w:rsidR="00164C74" w:rsidRPr="00164C74" w:rsidRDefault="00164C74" w:rsidP="00233F93">
      <w:pPr>
        <w:ind w:left="0"/>
        <w:rPr>
          <w:lang w:eastAsia="en-US"/>
        </w:rPr>
      </w:pPr>
    </w:p>
    <w:p w:rsidR="0028538F" w:rsidRPr="0028538F" w:rsidRDefault="002A4A93" w:rsidP="00233F93">
      <w:pPr>
        <w:pStyle w:val="ErsteZeile"/>
        <w:ind w:left="0"/>
      </w:pPr>
      <w:r>
        <w:t>Evonik investiert derzeit in große Projekte wie die Errichtung von Produktionsanlagen für Methionin auf Juron</w:t>
      </w:r>
      <w:r w:rsidR="00D2002C">
        <w:t>g</w:t>
      </w:r>
      <w:r>
        <w:t xml:space="preserve"> Island in Singapur, für </w:t>
      </w:r>
      <w:r w:rsidR="00ED1C75">
        <w:t xml:space="preserve">Isophoron und </w:t>
      </w:r>
      <w:r>
        <w:t>Isophorondiamin in Schanghai</w:t>
      </w:r>
      <w:r w:rsidR="00D2002C">
        <w:t xml:space="preserve"> (</w:t>
      </w:r>
      <w:r>
        <w:t>China</w:t>
      </w:r>
      <w:r w:rsidR="00D2002C">
        <w:t>)</w:t>
      </w:r>
      <w:r>
        <w:t xml:space="preserve"> sowie für Wassers</w:t>
      </w:r>
      <w:r w:rsidR="006F38E0">
        <w:t>t</w:t>
      </w:r>
      <w:r>
        <w:t>offperoxid in Jilin</w:t>
      </w:r>
      <w:r w:rsidR="00D2002C">
        <w:t xml:space="preserve"> (</w:t>
      </w:r>
      <w:r>
        <w:t>China</w:t>
      </w:r>
      <w:r w:rsidR="00D2002C">
        <w:t>)</w:t>
      </w:r>
      <w:r>
        <w:t xml:space="preserve">. In Brasilien </w:t>
      </w:r>
      <w:r w:rsidR="00D2002C">
        <w:t xml:space="preserve">und Russland wurden </w:t>
      </w:r>
      <w:r>
        <w:t xml:space="preserve">die Grundsteine für zwei Anlagen zur </w:t>
      </w:r>
      <w:r w:rsidR="00F136B2">
        <w:t xml:space="preserve">biotechnologischen Herstellung der Aminosäure </w:t>
      </w:r>
      <w:r>
        <w:t xml:space="preserve">L-Lysin </w:t>
      </w:r>
      <w:r w:rsidR="00F136B2">
        <w:t xml:space="preserve">für die Tierernährung </w:t>
      </w:r>
      <w:r>
        <w:t>gelegt</w:t>
      </w:r>
      <w:r w:rsidR="00D2002C">
        <w:t xml:space="preserve">, die 2014 bzw. 2015 </w:t>
      </w:r>
      <w:r w:rsidR="00F136B2">
        <w:t>in Betrieb gehen</w:t>
      </w:r>
      <w:r w:rsidR="00D2002C">
        <w:t xml:space="preserve"> sollen</w:t>
      </w:r>
      <w:r w:rsidR="00F136B2">
        <w:t>.</w:t>
      </w:r>
      <w:r w:rsidR="009B0678">
        <w:t xml:space="preserve"> </w:t>
      </w:r>
      <w:r w:rsidR="00BF189F">
        <w:t>A</w:t>
      </w:r>
      <w:r w:rsidR="00092B35">
        <w:t>m Standort Marl</w:t>
      </w:r>
      <w:r w:rsidR="00EA6FA9">
        <w:t xml:space="preserve"> hat das Unternehmen </w:t>
      </w:r>
      <w:r w:rsidR="00D2002C">
        <w:t xml:space="preserve">vor kurzem </w:t>
      </w:r>
      <w:r w:rsidR="00EA6FA9">
        <w:t xml:space="preserve">eine Produktion für den </w:t>
      </w:r>
      <w:r w:rsidR="00306141">
        <w:t>neuen p</w:t>
      </w:r>
      <w:r w:rsidR="001B1110">
        <w:t>hthalat</w:t>
      </w:r>
      <w:r w:rsidR="00306141">
        <w:t>freien Weichmacher ELATUR</w:t>
      </w:r>
      <w:r w:rsidR="00107EB2">
        <w:t>®C</w:t>
      </w:r>
      <w:r w:rsidR="00306141">
        <w:t xml:space="preserve">H </w:t>
      </w:r>
      <w:r w:rsidR="00092B35">
        <w:t>bereits in Betrieb genommen.</w:t>
      </w:r>
      <w:r w:rsidR="00BF189F">
        <w:t xml:space="preserve"> Weichmacher werden überwiegend in der Kunststoffindustrie sowie der Automobil- und Baubranche eingesetzt.</w:t>
      </w:r>
      <w:r w:rsidR="00092B35">
        <w:t xml:space="preserve"> </w:t>
      </w:r>
    </w:p>
    <w:p w:rsidR="00E03222" w:rsidRDefault="00E03222" w:rsidP="00233F93">
      <w:pPr>
        <w:pStyle w:val="ErsteZeile"/>
        <w:ind w:left="0"/>
      </w:pPr>
    </w:p>
    <w:p w:rsidR="00A02C86" w:rsidRDefault="0028538F" w:rsidP="00233F93">
      <w:pPr>
        <w:pStyle w:val="ErsteZeile"/>
        <w:ind w:left="0"/>
      </w:pPr>
      <w:r>
        <w:t xml:space="preserve">Die </w:t>
      </w:r>
      <w:r w:rsidRPr="002E4A55">
        <w:rPr>
          <w:b/>
        </w:rPr>
        <w:t>Nettofinanzverschuldung</w:t>
      </w:r>
      <w:r>
        <w:t xml:space="preserve"> lag Ende Juni 2013 mit 1.230 Millionen € um 67 Millionen € über dem Wert vom Jahresende 2012. Hierbei wirkten sich gegenläufige Effekte aus: Zum einen der deutliche Rückgang Ende März 2013 durch die Umgliederung des Segments Real Estate in die nicht fortgeführten Aktivitäten und zum anderen die Auszahlung der Dividende von 429 Millionen € für das Jahr 2012.</w:t>
      </w:r>
    </w:p>
    <w:p w:rsidR="0028538F" w:rsidRDefault="0028538F" w:rsidP="00233F93">
      <w:pPr>
        <w:ind w:left="0"/>
        <w:rPr>
          <w:lang w:eastAsia="en-US"/>
        </w:rPr>
      </w:pPr>
    </w:p>
    <w:p w:rsidR="00C74A53" w:rsidRDefault="00C74A53" w:rsidP="00233F93">
      <w:pPr>
        <w:spacing w:line="240" w:lineRule="auto"/>
        <w:ind w:left="0" w:right="0"/>
        <w:rPr>
          <w:lang w:eastAsia="en-US"/>
        </w:rPr>
      </w:pPr>
      <w:r>
        <w:rPr>
          <w:lang w:eastAsia="en-US"/>
        </w:rPr>
        <w:br w:type="page"/>
      </w:r>
    </w:p>
    <w:p w:rsidR="00306141" w:rsidRPr="0028538F" w:rsidRDefault="00306141" w:rsidP="0028538F">
      <w:pPr>
        <w:rPr>
          <w:lang w:eastAsia="en-US"/>
        </w:rPr>
      </w:pPr>
    </w:p>
    <w:p w:rsidR="00233F93" w:rsidRDefault="00DE60B6" w:rsidP="00233F93">
      <w:pPr>
        <w:spacing w:line="300" w:lineRule="exact"/>
        <w:ind w:left="0"/>
        <w:rPr>
          <w:b/>
          <w:sz w:val="20"/>
          <w:szCs w:val="20"/>
        </w:rPr>
      </w:pPr>
      <w:r>
        <w:rPr>
          <w:b/>
          <w:sz w:val="20"/>
          <w:szCs w:val="20"/>
        </w:rPr>
        <w:t>Geschäftsentwicklung im 2. Quartal 2013</w:t>
      </w:r>
    </w:p>
    <w:p w:rsidR="00D941D1" w:rsidRPr="007A6A1A" w:rsidRDefault="007A6A1A" w:rsidP="00233F93">
      <w:pPr>
        <w:spacing w:line="300" w:lineRule="exact"/>
        <w:ind w:left="0"/>
        <w:rPr>
          <w:sz w:val="20"/>
          <w:szCs w:val="20"/>
        </w:rPr>
      </w:pPr>
      <w:r w:rsidRPr="007A6A1A">
        <w:rPr>
          <w:sz w:val="20"/>
          <w:szCs w:val="20"/>
        </w:rPr>
        <w:t xml:space="preserve">Marktumfeld </w:t>
      </w:r>
      <w:r w:rsidR="000A5B01">
        <w:rPr>
          <w:sz w:val="20"/>
          <w:szCs w:val="20"/>
        </w:rPr>
        <w:t xml:space="preserve">deutlich </w:t>
      </w:r>
      <w:r w:rsidRPr="007A6A1A">
        <w:rPr>
          <w:sz w:val="20"/>
          <w:szCs w:val="20"/>
        </w:rPr>
        <w:t xml:space="preserve">schwieriger als erwartet – </w:t>
      </w:r>
      <w:r w:rsidR="00F136B2">
        <w:rPr>
          <w:sz w:val="20"/>
          <w:szCs w:val="20"/>
        </w:rPr>
        <w:t>Weiterhin g</w:t>
      </w:r>
      <w:r w:rsidRPr="007A6A1A">
        <w:rPr>
          <w:sz w:val="20"/>
          <w:szCs w:val="20"/>
        </w:rPr>
        <w:t>ute Mengenentwicklung bei spürbar rückläufigen Verkaufspreisen</w:t>
      </w:r>
    </w:p>
    <w:p w:rsidR="002E4A55" w:rsidRDefault="002E4A55" w:rsidP="00233F93">
      <w:pPr>
        <w:spacing w:line="300" w:lineRule="exact"/>
        <w:ind w:left="0"/>
        <w:rPr>
          <w:rFonts w:cs="Lucida Sans Unicode"/>
          <w:b/>
          <w:sz w:val="20"/>
          <w:szCs w:val="20"/>
        </w:rPr>
      </w:pPr>
    </w:p>
    <w:p w:rsidR="003F55A5" w:rsidRDefault="00782C1C" w:rsidP="00233F93">
      <w:pPr>
        <w:pStyle w:val="ErsteZeile"/>
        <w:ind w:left="0"/>
      </w:pPr>
      <w:r w:rsidRPr="00782C1C">
        <w:t xml:space="preserve">Der </w:t>
      </w:r>
      <w:r w:rsidRPr="003F55A5">
        <w:rPr>
          <w:b/>
        </w:rPr>
        <w:t>Konzernumsatz</w:t>
      </w:r>
      <w:r>
        <w:t xml:space="preserve"> </w:t>
      </w:r>
      <w:r w:rsidR="002E78DB">
        <w:t>nahm</w:t>
      </w:r>
      <w:r>
        <w:t xml:space="preserve"> im 2. </w:t>
      </w:r>
      <w:r w:rsidRPr="00782C1C">
        <w:t>Quartal 2013 um 5 Prozent auf 3.263 Millionen €</w:t>
      </w:r>
      <w:r>
        <w:t xml:space="preserve"> (Vorjahresquartal: 3.428 Millionen €)</w:t>
      </w:r>
      <w:r w:rsidRPr="00782C1C">
        <w:t xml:space="preserve"> </w:t>
      </w:r>
      <w:r w:rsidR="002E78DB">
        <w:t>ab</w:t>
      </w:r>
      <w:r w:rsidRPr="00782C1C">
        <w:t xml:space="preserve">. </w:t>
      </w:r>
      <w:r>
        <w:t xml:space="preserve">Maßgeblich dafür war ein </w:t>
      </w:r>
      <w:r w:rsidR="00F11873">
        <w:t xml:space="preserve">organischer Umsatzrückgang um 3 Prozent </w:t>
      </w:r>
      <w:r>
        <w:t>aufgrund geringerer Verkaufspreise bei ausgeweiteten Mengen</w:t>
      </w:r>
      <w:r w:rsidR="00F11873">
        <w:t>.</w:t>
      </w:r>
      <w:r>
        <w:t xml:space="preserve"> </w:t>
      </w:r>
    </w:p>
    <w:p w:rsidR="00B405E7" w:rsidRPr="00B405E7" w:rsidRDefault="00B405E7" w:rsidP="00233F93">
      <w:pPr>
        <w:ind w:left="0"/>
        <w:rPr>
          <w:lang w:eastAsia="en-US"/>
        </w:rPr>
      </w:pPr>
    </w:p>
    <w:p w:rsidR="003F55A5" w:rsidRDefault="003F55A5" w:rsidP="00233F93">
      <w:pPr>
        <w:pStyle w:val="ErsteZeile"/>
        <w:ind w:left="0"/>
      </w:pPr>
      <w:r w:rsidRPr="003F55A5">
        <w:t>Die operativen Ergebnisse</w:t>
      </w:r>
      <w:r w:rsidRPr="00D45B2E">
        <w:t xml:space="preserve"> blieben </w:t>
      </w:r>
      <w:r>
        <w:t xml:space="preserve">im 2. Quartal 2013 </w:t>
      </w:r>
      <w:r w:rsidRPr="00D45B2E">
        <w:t>vor allem infolge der geringeren Verkaufspreise</w:t>
      </w:r>
      <w:r>
        <w:t xml:space="preserve"> bei </w:t>
      </w:r>
      <w:r w:rsidR="007A6A1A">
        <w:t xml:space="preserve">einigen </w:t>
      </w:r>
      <w:r>
        <w:t>wichtigen Produkten</w:t>
      </w:r>
      <w:r w:rsidR="00F136B2">
        <w:t>, insbesondere bei Butadien und Aminosäuren für die Tierernährung,</w:t>
      </w:r>
      <w:r w:rsidRPr="00D45B2E">
        <w:t xml:space="preserve"> sowie</w:t>
      </w:r>
      <w:r>
        <w:t xml:space="preserve"> </w:t>
      </w:r>
      <w:r w:rsidR="00E970FC">
        <w:t>einer</w:t>
      </w:r>
      <w:r>
        <w:t xml:space="preserve"> </w:t>
      </w:r>
      <w:r w:rsidR="009A6864">
        <w:t xml:space="preserve">planmäßigen </w:t>
      </w:r>
      <w:r w:rsidR="00E970FC">
        <w:t>großen Anlage</w:t>
      </w:r>
      <w:r w:rsidR="00A60C6B">
        <w:t>n</w:t>
      </w:r>
      <w:r w:rsidR="00E970FC">
        <w:t>revision</w:t>
      </w:r>
      <w:r>
        <w:t xml:space="preserve"> im Segment Specialty Materials</w:t>
      </w:r>
      <w:r w:rsidRPr="00D45B2E">
        <w:t xml:space="preserve"> unter den hohen</w:t>
      </w:r>
      <w:r>
        <w:t xml:space="preserve"> Werten </w:t>
      </w:r>
      <w:r w:rsidR="00CE6308">
        <w:t>d</w:t>
      </w:r>
      <w:r>
        <w:t>es</w:t>
      </w:r>
      <w:r w:rsidRPr="00D45B2E">
        <w:t xml:space="preserve"> Vorjahres</w:t>
      </w:r>
      <w:r w:rsidR="00C7197A">
        <w:t>quartals</w:t>
      </w:r>
      <w:r>
        <w:t xml:space="preserve">. </w:t>
      </w:r>
      <w:r w:rsidRPr="00D45B2E">
        <w:t xml:space="preserve">Insgesamt ging das bereinigte </w:t>
      </w:r>
      <w:r w:rsidRPr="00080C81">
        <w:rPr>
          <w:b/>
        </w:rPr>
        <w:t>EBITDA</w:t>
      </w:r>
      <w:r w:rsidRPr="00D45B2E">
        <w:t xml:space="preserve"> um </w:t>
      </w:r>
      <w:r>
        <w:t>23 Prozent auf 4</w:t>
      </w:r>
      <w:r w:rsidRPr="00D45B2E">
        <w:t xml:space="preserve">89 Millionen € </w:t>
      </w:r>
      <w:r w:rsidR="00080C81">
        <w:t xml:space="preserve">(Vorjahresquartal: 632 Millionen €) </w:t>
      </w:r>
      <w:r w:rsidRPr="00D45B2E">
        <w:t xml:space="preserve">und das bereinigte </w:t>
      </w:r>
      <w:r w:rsidRPr="00C74A53">
        <w:rPr>
          <w:b/>
        </w:rPr>
        <w:t>EBIT</w:t>
      </w:r>
      <w:r w:rsidRPr="00D45B2E">
        <w:t xml:space="preserve"> um 3</w:t>
      </w:r>
      <w:r>
        <w:t>0</w:t>
      </w:r>
      <w:r w:rsidRPr="00D45B2E">
        <w:t xml:space="preserve"> Prozent auf </w:t>
      </w:r>
      <w:r>
        <w:t>3</w:t>
      </w:r>
      <w:r w:rsidRPr="00D45B2E">
        <w:t>4</w:t>
      </w:r>
      <w:r>
        <w:t>2</w:t>
      </w:r>
      <w:r w:rsidRPr="00D45B2E">
        <w:t xml:space="preserve"> Millionen € </w:t>
      </w:r>
      <w:r w:rsidR="00080C81">
        <w:t xml:space="preserve">(Vorjahresquartal: 486 Millionen €) </w:t>
      </w:r>
      <w:r w:rsidRPr="00D45B2E">
        <w:t xml:space="preserve">zurück. Die bereinigte </w:t>
      </w:r>
      <w:r w:rsidRPr="00C15075">
        <w:rPr>
          <w:b/>
        </w:rPr>
        <w:t>EBITDA-Marge</w:t>
      </w:r>
      <w:r w:rsidRPr="00D45B2E">
        <w:t xml:space="preserve"> verringerte sich von 1</w:t>
      </w:r>
      <w:r>
        <w:t>8,4</w:t>
      </w:r>
      <w:r w:rsidRPr="00D45B2E">
        <w:t xml:space="preserve"> Prozent auf 1</w:t>
      </w:r>
      <w:r>
        <w:t>5,0</w:t>
      </w:r>
      <w:r w:rsidRPr="00D45B2E">
        <w:t xml:space="preserve"> Prozent. </w:t>
      </w:r>
      <w:r w:rsidR="00C15075">
        <w:t xml:space="preserve">Das </w:t>
      </w:r>
      <w:r w:rsidR="00C15075" w:rsidRPr="00EF0375">
        <w:rPr>
          <w:b/>
        </w:rPr>
        <w:t>Konzernergebnis</w:t>
      </w:r>
      <w:r w:rsidR="00C15075">
        <w:t xml:space="preserve"> ging um 28 Prozent auf 191 Millionen € zurück (Vorjahresquartal: 264 Millionen €</w:t>
      </w:r>
      <w:r w:rsidR="00A60C6B">
        <w:t>)</w:t>
      </w:r>
      <w:r w:rsidR="00C15075">
        <w:t xml:space="preserve">. </w:t>
      </w:r>
    </w:p>
    <w:p w:rsidR="00B405E7" w:rsidRDefault="00B405E7" w:rsidP="00233F93">
      <w:pPr>
        <w:ind w:left="0"/>
        <w:rPr>
          <w:lang w:eastAsia="en-US"/>
        </w:rPr>
      </w:pPr>
    </w:p>
    <w:p w:rsidR="00A60C6B" w:rsidRPr="00B405E7" w:rsidRDefault="00A60C6B" w:rsidP="00233F93">
      <w:pPr>
        <w:ind w:left="0"/>
        <w:rPr>
          <w:lang w:eastAsia="en-US"/>
        </w:rPr>
      </w:pPr>
    </w:p>
    <w:p w:rsidR="005717DF" w:rsidRPr="003A2A7D" w:rsidRDefault="003A2A7D" w:rsidP="00233F93">
      <w:pPr>
        <w:pStyle w:val="EvonikStandard"/>
        <w:keepNext/>
        <w:keepLines/>
        <w:spacing w:line="300" w:lineRule="exact"/>
        <w:ind w:right="85" w:firstLine="0"/>
        <w:rPr>
          <w:rFonts w:eastAsia="Times New Roman" w:cs="Lucida Sans Unicode"/>
          <w:b/>
          <w:bCs/>
          <w:sz w:val="20"/>
        </w:rPr>
      </w:pPr>
      <w:r w:rsidRPr="003A2A7D">
        <w:rPr>
          <w:rFonts w:eastAsia="Times New Roman" w:cs="Lucida Sans Unicode"/>
          <w:b/>
          <w:bCs/>
          <w:sz w:val="20"/>
        </w:rPr>
        <w:t>Erfolgreiche Veräußerung des Immobiliengeschäfts</w:t>
      </w:r>
    </w:p>
    <w:p w:rsidR="003A2A7D" w:rsidRDefault="003A2A7D" w:rsidP="00233F93">
      <w:pPr>
        <w:pStyle w:val="EvonikStandard"/>
        <w:keepNext/>
        <w:keepLines/>
        <w:spacing w:line="300" w:lineRule="exact"/>
        <w:ind w:right="85" w:firstLine="0"/>
        <w:rPr>
          <w:rFonts w:eastAsia="Times New Roman" w:cs="Lucida Sans Unicode"/>
          <w:bCs/>
          <w:sz w:val="20"/>
        </w:rPr>
      </w:pPr>
    </w:p>
    <w:p w:rsidR="003A2A7D" w:rsidRDefault="003A2A7D" w:rsidP="00233F93">
      <w:pPr>
        <w:pStyle w:val="EvonikStandard"/>
        <w:keepNext/>
        <w:keepLines/>
        <w:spacing w:line="300" w:lineRule="exact"/>
        <w:ind w:right="85" w:firstLine="0"/>
        <w:rPr>
          <w:rFonts w:eastAsia="Times New Roman" w:cs="Lucida Sans Unicode"/>
          <w:bCs/>
          <w:sz w:val="20"/>
        </w:rPr>
      </w:pPr>
      <w:r>
        <w:rPr>
          <w:rFonts w:eastAsia="Times New Roman" w:cs="Lucida Sans Unicode"/>
          <w:bCs/>
          <w:sz w:val="20"/>
        </w:rPr>
        <w:t xml:space="preserve">Im Zuge der Fokussierung auf die Spezialchemie ist Evonik </w:t>
      </w:r>
      <w:r w:rsidR="007B4BCE">
        <w:rPr>
          <w:rFonts w:eastAsia="Times New Roman" w:cs="Lucida Sans Unicode"/>
          <w:bCs/>
          <w:sz w:val="20"/>
        </w:rPr>
        <w:t xml:space="preserve">entscheidend vorangekommen und hat die </w:t>
      </w:r>
      <w:r>
        <w:rPr>
          <w:rFonts w:eastAsia="Times New Roman" w:cs="Lucida Sans Unicode"/>
          <w:bCs/>
          <w:sz w:val="20"/>
        </w:rPr>
        <w:t xml:space="preserve">im Segment Real Estate gebündelten Immobilienaktivitäten </w:t>
      </w:r>
      <w:r w:rsidR="007B4BCE">
        <w:rPr>
          <w:rFonts w:eastAsia="Times New Roman" w:cs="Lucida Sans Unicode"/>
          <w:bCs/>
          <w:sz w:val="20"/>
        </w:rPr>
        <w:t>erfolgreich veräußert.</w:t>
      </w:r>
      <w:r>
        <w:rPr>
          <w:rFonts w:eastAsia="Times New Roman" w:cs="Lucida Sans Unicode"/>
          <w:bCs/>
          <w:sz w:val="20"/>
        </w:rPr>
        <w:t xml:space="preserve"> Nachdem </w:t>
      </w:r>
      <w:r w:rsidR="00D92AA5">
        <w:rPr>
          <w:rFonts w:eastAsia="Times New Roman" w:cs="Lucida Sans Unicode"/>
          <w:bCs/>
          <w:sz w:val="20"/>
        </w:rPr>
        <w:t xml:space="preserve">die </w:t>
      </w:r>
      <w:r>
        <w:rPr>
          <w:rFonts w:eastAsia="Times New Roman" w:cs="Lucida Sans Unicode"/>
          <w:bCs/>
          <w:sz w:val="20"/>
        </w:rPr>
        <w:t xml:space="preserve">Vivawest </w:t>
      </w:r>
      <w:r w:rsidR="00D92AA5">
        <w:rPr>
          <w:rFonts w:eastAsia="Times New Roman" w:cs="Lucida Sans Unicode"/>
          <w:bCs/>
          <w:sz w:val="20"/>
        </w:rPr>
        <w:t xml:space="preserve">GmbH </w:t>
      </w:r>
      <w:r>
        <w:rPr>
          <w:rFonts w:eastAsia="Times New Roman" w:cs="Lucida Sans Unicode"/>
          <w:bCs/>
          <w:sz w:val="20"/>
        </w:rPr>
        <w:t xml:space="preserve">und </w:t>
      </w:r>
      <w:r w:rsidR="00D92AA5">
        <w:rPr>
          <w:rFonts w:eastAsia="Times New Roman" w:cs="Lucida Sans Unicode"/>
          <w:bCs/>
          <w:sz w:val="20"/>
        </w:rPr>
        <w:t xml:space="preserve">die </w:t>
      </w:r>
      <w:r>
        <w:rPr>
          <w:rFonts w:eastAsia="Times New Roman" w:cs="Lucida Sans Unicode"/>
          <w:bCs/>
          <w:sz w:val="20"/>
        </w:rPr>
        <w:t xml:space="preserve">THS </w:t>
      </w:r>
      <w:r w:rsidR="00D92AA5">
        <w:rPr>
          <w:rFonts w:eastAsia="Times New Roman" w:cs="Lucida Sans Unicode"/>
          <w:bCs/>
          <w:sz w:val="20"/>
        </w:rPr>
        <w:t xml:space="preserve">GmbH </w:t>
      </w:r>
      <w:r>
        <w:rPr>
          <w:rFonts w:eastAsia="Times New Roman" w:cs="Lucida Sans Unicode"/>
          <w:bCs/>
          <w:sz w:val="20"/>
        </w:rPr>
        <w:t xml:space="preserve">bereits seit dem 1. Januar 2012 ihre jeweiligen Wohnungsbestände gebündelt haben, wurden </w:t>
      </w:r>
      <w:r w:rsidR="00773B05">
        <w:rPr>
          <w:rFonts w:eastAsia="Times New Roman" w:cs="Lucida Sans Unicode"/>
          <w:bCs/>
          <w:sz w:val="20"/>
        </w:rPr>
        <w:t>Vivawest und THS gesellschaftsrechtlich zusammengeführt und in eine neue, stab</w:t>
      </w:r>
      <w:r w:rsidR="00E970FC">
        <w:rPr>
          <w:rFonts w:eastAsia="Times New Roman" w:cs="Lucida Sans Unicode"/>
          <w:bCs/>
          <w:sz w:val="20"/>
        </w:rPr>
        <w:t>i</w:t>
      </w:r>
      <w:r w:rsidR="00773B05">
        <w:rPr>
          <w:rFonts w:eastAsia="Times New Roman" w:cs="Lucida Sans Unicode"/>
          <w:bCs/>
          <w:sz w:val="20"/>
        </w:rPr>
        <w:t xml:space="preserve">le Eigentümerstruktur überführt. </w:t>
      </w:r>
      <w:r w:rsidR="007E7170">
        <w:rPr>
          <w:rFonts w:eastAsia="Times New Roman" w:cs="Lucida Sans Unicode"/>
          <w:bCs/>
          <w:sz w:val="20"/>
        </w:rPr>
        <w:t xml:space="preserve">Nach Vollzug aller Transaktionen Anfang Juli 2013 halten </w:t>
      </w:r>
      <w:r w:rsidR="006F38E0">
        <w:rPr>
          <w:rFonts w:eastAsia="Times New Roman" w:cs="Lucida Sans Unicode"/>
          <w:bCs/>
          <w:sz w:val="20"/>
        </w:rPr>
        <w:t xml:space="preserve">nun </w:t>
      </w:r>
      <w:r w:rsidR="00773B05">
        <w:rPr>
          <w:rFonts w:eastAsia="Times New Roman" w:cs="Lucida Sans Unicode"/>
          <w:bCs/>
          <w:sz w:val="20"/>
        </w:rPr>
        <w:t>die RAG-Stiftung 30</w:t>
      </w:r>
      <w:r w:rsidR="000737CA">
        <w:rPr>
          <w:rFonts w:eastAsia="Times New Roman" w:cs="Lucida Sans Unicode"/>
          <w:bCs/>
          <w:sz w:val="20"/>
        </w:rPr>
        <w:t>,0</w:t>
      </w:r>
      <w:r w:rsidR="00773B05">
        <w:rPr>
          <w:rFonts w:eastAsia="Times New Roman" w:cs="Lucida Sans Unicode"/>
          <w:bCs/>
          <w:sz w:val="20"/>
        </w:rPr>
        <w:t xml:space="preserve"> Prozent</w:t>
      </w:r>
      <w:r w:rsidR="0022525D">
        <w:rPr>
          <w:rFonts w:eastAsia="Times New Roman" w:cs="Lucida Sans Unicode"/>
          <w:bCs/>
          <w:sz w:val="20"/>
        </w:rPr>
        <w:t xml:space="preserve"> an Vivawest</w:t>
      </w:r>
      <w:r w:rsidR="00773B05">
        <w:rPr>
          <w:rFonts w:eastAsia="Times New Roman" w:cs="Lucida Sans Unicode"/>
          <w:bCs/>
          <w:sz w:val="20"/>
        </w:rPr>
        <w:t xml:space="preserve">, die </w:t>
      </w:r>
      <w:r w:rsidR="00D145B1">
        <w:rPr>
          <w:rFonts w:eastAsia="Times New Roman" w:cs="Lucida Sans Unicode"/>
          <w:bCs/>
          <w:sz w:val="20"/>
        </w:rPr>
        <w:br/>
      </w:r>
      <w:bookmarkStart w:id="0" w:name="_GoBack"/>
      <w:bookmarkEnd w:id="0"/>
      <w:r w:rsidR="00773B05">
        <w:rPr>
          <w:rFonts w:eastAsia="Times New Roman" w:cs="Lucida Sans Unicode"/>
          <w:bCs/>
          <w:sz w:val="20"/>
        </w:rPr>
        <w:t>IG BCE 26</w:t>
      </w:r>
      <w:r w:rsidR="00A60C6B">
        <w:rPr>
          <w:rFonts w:eastAsia="Times New Roman" w:cs="Lucida Sans Unicode"/>
          <w:bCs/>
          <w:sz w:val="20"/>
        </w:rPr>
        <w:t>,</w:t>
      </w:r>
      <w:r w:rsidR="00773B05">
        <w:rPr>
          <w:rFonts w:eastAsia="Times New Roman" w:cs="Lucida Sans Unicode"/>
          <w:bCs/>
          <w:sz w:val="20"/>
        </w:rPr>
        <w:t>8 Prozent, der Evonik Pensionstreuhand e.V. 25</w:t>
      </w:r>
      <w:r w:rsidR="000737CA">
        <w:rPr>
          <w:rFonts w:eastAsia="Times New Roman" w:cs="Lucida Sans Unicode"/>
          <w:bCs/>
          <w:sz w:val="20"/>
        </w:rPr>
        <w:t>,0</w:t>
      </w:r>
      <w:r w:rsidR="00773B05">
        <w:rPr>
          <w:rFonts w:eastAsia="Times New Roman" w:cs="Lucida Sans Unicode"/>
          <w:bCs/>
          <w:sz w:val="20"/>
        </w:rPr>
        <w:t xml:space="preserve"> Prozent sowie die RAG </w:t>
      </w:r>
      <w:r w:rsidR="006F38E0">
        <w:rPr>
          <w:rFonts w:eastAsia="Times New Roman" w:cs="Lucida Sans Unicode"/>
          <w:bCs/>
          <w:sz w:val="20"/>
        </w:rPr>
        <w:t>Aktiengesellschaft</w:t>
      </w:r>
      <w:r w:rsidR="00773B05">
        <w:rPr>
          <w:rFonts w:eastAsia="Times New Roman" w:cs="Lucida Sans Unicode"/>
          <w:bCs/>
          <w:sz w:val="20"/>
        </w:rPr>
        <w:t xml:space="preserve"> 7,3 Prozent. Mittelfristig will Evonik </w:t>
      </w:r>
      <w:r w:rsidR="00F136B2">
        <w:rPr>
          <w:rFonts w:eastAsia="Times New Roman" w:cs="Lucida Sans Unicode"/>
          <w:bCs/>
          <w:sz w:val="20"/>
        </w:rPr>
        <w:t xml:space="preserve">auch </w:t>
      </w:r>
      <w:r w:rsidR="00773B05">
        <w:rPr>
          <w:rFonts w:eastAsia="Times New Roman" w:cs="Lucida Sans Unicode"/>
          <w:bCs/>
          <w:sz w:val="20"/>
        </w:rPr>
        <w:t>seinen noch verbliebenen Anteil an Vivawest von 10,9 Prozent an langfristig orientierte Investoren veräußern.</w:t>
      </w:r>
    </w:p>
    <w:p w:rsidR="003A2A7D" w:rsidRDefault="003A2A7D" w:rsidP="00D941D1">
      <w:pPr>
        <w:pStyle w:val="EvonikStandard"/>
        <w:keepNext/>
        <w:keepLines/>
        <w:spacing w:line="300" w:lineRule="exact"/>
        <w:ind w:left="85" w:right="85" w:firstLine="0"/>
        <w:rPr>
          <w:rFonts w:eastAsia="Times New Roman" w:cs="Lucida Sans Unicode"/>
          <w:bCs/>
          <w:sz w:val="20"/>
        </w:rPr>
      </w:pPr>
    </w:p>
    <w:p w:rsidR="00362FA3" w:rsidRDefault="00362FA3" w:rsidP="00A02C86">
      <w:pPr>
        <w:pStyle w:val="EvonikStandard"/>
        <w:ind w:firstLine="0"/>
        <w:rPr>
          <w:rFonts w:cs="Lucida Sans Unicode"/>
          <w:bCs/>
          <w:sz w:val="20"/>
        </w:rPr>
      </w:pPr>
    </w:p>
    <w:p w:rsidR="00D73A5C" w:rsidRDefault="00D73A5C">
      <w:pPr>
        <w:spacing w:line="240" w:lineRule="auto"/>
        <w:ind w:left="0" w:right="0"/>
        <w:rPr>
          <w:rFonts w:eastAsia="Calibri" w:cs="Lucida Sans Unicode"/>
          <w:bCs/>
          <w:position w:val="0"/>
          <w:sz w:val="20"/>
          <w:szCs w:val="20"/>
          <w:lang w:eastAsia="en-US"/>
        </w:rPr>
      </w:pPr>
      <w:r>
        <w:rPr>
          <w:rFonts w:cs="Lucida Sans Unicode"/>
          <w:bCs/>
          <w:sz w:val="20"/>
        </w:rPr>
        <w:br w:type="page"/>
      </w:r>
    </w:p>
    <w:p w:rsidR="00D73A5C" w:rsidRDefault="00D73A5C" w:rsidP="00A02C86">
      <w:pPr>
        <w:pStyle w:val="EvonikStandard"/>
        <w:ind w:firstLine="0"/>
        <w:rPr>
          <w:rFonts w:cs="Lucida Sans Unicode"/>
          <w:bCs/>
          <w:sz w:val="20"/>
        </w:rPr>
      </w:pPr>
    </w:p>
    <w:p w:rsidR="00362FA3" w:rsidRPr="00310D51" w:rsidRDefault="00362FA3" w:rsidP="00A02C86">
      <w:pPr>
        <w:pStyle w:val="EvonikStandard"/>
        <w:ind w:firstLine="0"/>
        <w:rPr>
          <w:rFonts w:cs="Lucida Sans Unicode"/>
          <w:b/>
          <w:bCs/>
          <w:sz w:val="20"/>
        </w:rPr>
      </w:pPr>
      <w:r w:rsidRPr="00310D51">
        <w:rPr>
          <w:rFonts w:cs="Lucida Sans Unicode"/>
          <w:b/>
          <w:bCs/>
          <w:sz w:val="20"/>
        </w:rPr>
        <w:t>Entwicklung in den Segmenten im 1. Ha</w:t>
      </w:r>
      <w:r w:rsidR="00310D51" w:rsidRPr="00310D51">
        <w:rPr>
          <w:rFonts w:cs="Lucida Sans Unicode"/>
          <w:b/>
          <w:bCs/>
          <w:sz w:val="20"/>
        </w:rPr>
        <w:t>l</w:t>
      </w:r>
      <w:r w:rsidRPr="00310D51">
        <w:rPr>
          <w:rFonts w:cs="Lucida Sans Unicode"/>
          <w:b/>
          <w:bCs/>
          <w:sz w:val="20"/>
        </w:rPr>
        <w:t>bjahr 2013</w:t>
      </w:r>
    </w:p>
    <w:p w:rsidR="008A4429" w:rsidRDefault="008A4429" w:rsidP="00A02C86">
      <w:pPr>
        <w:pStyle w:val="EvonikStandard"/>
        <w:ind w:firstLine="0"/>
        <w:rPr>
          <w:rFonts w:cs="Lucida Sans Unicode"/>
          <w:bCs/>
          <w:sz w:val="20"/>
        </w:rPr>
      </w:pPr>
    </w:p>
    <w:p w:rsidR="008A4429" w:rsidRPr="00E169B1" w:rsidRDefault="008A4429" w:rsidP="00A02C86">
      <w:pPr>
        <w:pStyle w:val="EvonikStandard"/>
        <w:ind w:firstLine="0"/>
        <w:rPr>
          <w:rFonts w:cs="Lucida Sans Unicode"/>
          <w:b/>
          <w:bCs/>
          <w:sz w:val="20"/>
        </w:rPr>
      </w:pPr>
      <w:r w:rsidRPr="00E169B1">
        <w:rPr>
          <w:rFonts w:cs="Lucida Sans Unicode"/>
          <w:b/>
          <w:bCs/>
          <w:sz w:val="20"/>
        </w:rPr>
        <w:t>Consumer, Health &amp; Nutrition</w:t>
      </w:r>
    </w:p>
    <w:p w:rsidR="008A4429" w:rsidRDefault="008A4429" w:rsidP="00A02C86">
      <w:pPr>
        <w:pStyle w:val="EvonikStandard"/>
        <w:ind w:firstLine="0"/>
        <w:rPr>
          <w:rFonts w:cs="Lucida Sans Unicode"/>
          <w:bCs/>
          <w:sz w:val="20"/>
        </w:rPr>
      </w:pPr>
    </w:p>
    <w:p w:rsidR="00DE3960" w:rsidRDefault="00DE3960" w:rsidP="00DE3960">
      <w:pPr>
        <w:pStyle w:val="EvonikStandard"/>
        <w:numPr>
          <w:ilvl w:val="0"/>
          <w:numId w:val="20"/>
        </w:numPr>
        <w:rPr>
          <w:rFonts w:cs="Lucida Sans Unicode"/>
          <w:bCs/>
          <w:sz w:val="20"/>
        </w:rPr>
      </w:pPr>
      <w:r>
        <w:rPr>
          <w:rFonts w:cs="Lucida Sans Unicode"/>
          <w:bCs/>
          <w:sz w:val="20"/>
        </w:rPr>
        <w:t>Höhere Mengen, rückläufige Verkaufspreise</w:t>
      </w:r>
    </w:p>
    <w:p w:rsidR="00DE3960" w:rsidRDefault="00DE3960" w:rsidP="00DE3960">
      <w:pPr>
        <w:pStyle w:val="EvonikStandard"/>
        <w:numPr>
          <w:ilvl w:val="0"/>
          <w:numId w:val="20"/>
        </w:numPr>
        <w:rPr>
          <w:rFonts w:cs="Lucida Sans Unicode"/>
          <w:bCs/>
          <w:sz w:val="20"/>
        </w:rPr>
      </w:pPr>
      <w:r>
        <w:rPr>
          <w:rFonts w:cs="Lucida Sans Unicode"/>
          <w:bCs/>
          <w:sz w:val="20"/>
        </w:rPr>
        <w:t>Operative Ergebnisse unter sehr guten Vorjahreswerten</w:t>
      </w:r>
    </w:p>
    <w:p w:rsidR="00DE3960" w:rsidRDefault="00DE3960" w:rsidP="00DE3960">
      <w:pPr>
        <w:pStyle w:val="EvonikStandard"/>
        <w:numPr>
          <w:ilvl w:val="0"/>
          <w:numId w:val="20"/>
        </w:numPr>
        <w:rPr>
          <w:rFonts w:cs="Lucida Sans Unicode"/>
          <w:bCs/>
          <w:sz w:val="20"/>
        </w:rPr>
      </w:pPr>
      <w:r>
        <w:rPr>
          <w:rFonts w:cs="Lucida Sans Unicode"/>
          <w:bCs/>
          <w:sz w:val="20"/>
        </w:rPr>
        <w:t>Bereinigte EBITDA-Marge im Halbjahr mit 23,7 Prozent erneut auf sehr gutem Niveau</w:t>
      </w:r>
    </w:p>
    <w:p w:rsidR="00DE3960" w:rsidRDefault="00DE3960" w:rsidP="00DE3960">
      <w:pPr>
        <w:pStyle w:val="EvonikStandard"/>
        <w:ind w:left="720" w:firstLine="0"/>
        <w:rPr>
          <w:rFonts w:cs="Lucida Sans Unicode"/>
          <w:bCs/>
          <w:sz w:val="20"/>
        </w:rPr>
      </w:pPr>
    </w:p>
    <w:p w:rsidR="008A4429" w:rsidRDefault="00E169B1" w:rsidP="00A02C86">
      <w:pPr>
        <w:pStyle w:val="EvonikStandard"/>
        <w:ind w:firstLine="0"/>
        <w:rPr>
          <w:rFonts w:cs="Lucida Sans Unicode"/>
          <w:bCs/>
          <w:sz w:val="20"/>
        </w:rPr>
      </w:pPr>
      <w:r>
        <w:rPr>
          <w:rFonts w:cs="Lucida Sans Unicode"/>
          <w:bCs/>
          <w:sz w:val="20"/>
        </w:rPr>
        <w:t xml:space="preserve">Das </w:t>
      </w:r>
      <w:r w:rsidR="00461C60">
        <w:rPr>
          <w:rFonts w:cs="Lucida Sans Unicode"/>
          <w:bCs/>
          <w:sz w:val="20"/>
        </w:rPr>
        <w:t xml:space="preserve">Segment Consumer, Health &amp; Nutrition produziert schwerpunktmäßig für Anwendungen in Konsumgütern, in der Tierernährung und im Bereich Healthcare. Es umfasst die Geschäftsbereiche Consumer Specialties sowie Health &amp; Nutrition. </w:t>
      </w:r>
    </w:p>
    <w:p w:rsidR="0012620A" w:rsidRDefault="0012620A" w:rsidP="00A02C86">
      <w:pPr>
        <w:pStyle w:val="EvonikStandard"/>
        <w:ind w:firstLine="0"/>
        <w:rPr>
          <w:rFonts w:cs="Lucida Sans Unicode"/>
          <w:bCs/>
          <w:sz w:val="20"/>
        </w:rPr>
      </w:pPr>
    </w:p>
    <w:p w:rsidR="008A4429" w:rsidRDefault="0012620A" w:rsidP="00A02C86">
      <w:pPr>
        <w:pStyle w:val="EvonikStandard"/>
        <w:ind w:firstLine="0"/>
        <w:rPr>
          <w:rFonts w:cs="Lucida Sans Unicode"/>
          <w:bCs/>
          <w:sz w:val="20"/>
        </w:rPr>
      </w:pPr>
      <w:r>
        <w:rPr>
          <w:rFonts w:cs="Lucida Sans Unicode"/>
          <w:bCs/>
          <w:sz w:val="20"/>
        </w:rPr>
        <w:t xml:space="preserve">Der </w:t>
      </w:r>
      <w:r w:rsidR="008C46E3" w:rsidRPr="0012620A">
        <w:rPr>
          <w:rFonts w:cs="Lucida Sans Unicode"/>
          <w:b/>
          <w:bCs/>
          <w:sz w:val="20"/>
        </w:rPr>
        <w:t>Umsatz</w:t>
      </w:r>
      <w:r>
        <w:rPr>
          <w:rFonts w:cs="Lucida Sans Unicode"/>
          <w:bCs/>
          <w:sz w:val="20"/>
        </w:rPr>
        <w:t xml:space="preserve"> lag im 1. Halbjahr </w:t>
      </w:r>
      <w:r w:rsidR="00CD47D4">
        <w:rPr>
          <w:rFonts w:cs="Lucida Sans Unicode"/>
          <w:bCs/>
          <w:sz w:val="20"/>
        </w:rPr>
        <w:t xml:space="preserve">2013 </w:t>
      </w:r>
      <w:r>
        <w:rPr>
          <w:rFonts w:cs="Lucida Sans Unicode"/>
          <w:bCs/>
          <w:sz w:val="20"/>
        </w:rPr>
        <w:t>mit 2.093 Millionen € auf der Höhe des Vorjahreszeitraums</w:t>
      </w:r>
      <w:r w:rsidR="005325F9">
        <w:rPr>
          <w:rFonts w:cs="Lucida Sans Unicode"/>
          <w:bCs/>
          <w:sz w:val="20"/>
        </w:rPr>
        <w:t xml:space="preserve"> (2.086 Millionen €</w:t>
      </w:r>
      <w:r w:rsidR="00AB7B96">
        <w:rPr>
          <w:rFonts w:cs="Lucida Sans Unicode"/>
          <w:bCs/>
          <w:sz w:val="20"/>
        </w:rPr>
        <w:t>)</w:t>
      </w:r>
      <w:r>
        <w:rPr>
          <w:rFonts w:cs="Lucida Sans Unicode"/>
          <w:bCs/>
          <w:sz w:val="20"/>
        </w:rPr>
        <w:t xml:space="preserve">. Die insgesamt geringeren Verkaufspreise wurden vom Mengenwachstum ausgeglichen. </w:t>
      </w:r>
      <w:r w:rsidR="00AB7B96">
        <w:rPr>
          <w:rFonts w:cs="Lucida Sans Unicode"/>
          <w:bCs/>
          <w:sz w:val="20"/>
        </w:rPr>
        <w:t xml:space="preserve">Bei den Aminosäuren für die Tierernährung war die Entwicklung unter anderem von den Auswirkungen der Vogelgrippe </w:t>
      </w:r>
      <w:r w:rsidR="00913620">
        <w:rPr>
          <w:rFonts w:cs="Lucida Sans Unicode"/>
          <w:bCs/>
          <w:sz w:val="20"/>
        </w:rPr>
        <w:t xml:space="preserve">in China beeinträchtigt, wobei eine leichte Erholung zum Ende des Berichtszeitraums eintrat. </w:t>
      </w:r>
      <w:r>
        <w:rPr>
          <w:rFonts w:cs="Lucida Sans Unicode"/>
          <w:bCs/>
          <w:sz w:val="20"/>
        </w:rPr>
        <w:t>Besonders erfreulich entwickelte</w:t>
      </w:r>
      <w:r w:rsidR="00D2002C">
        <w:rPr>
          <w:rFonts w:cs="Lucida Sans Unicode"/>
          <w:bCs/>
          <w:sz w:val="20"/>
        </w:rPr>
        <w:t>n</w:t>
      </w:r>
      <w:r>
        <w:rPr>
          <w:rFonts w:cs="Lucida Sans Unicode"/>
          <w:bCs/>
          <w:sz w:val="20"/>
        </w:rPr>
        <w:t xml:space="preserve"> sich </w:t>
      </w:r>
      <w:r w:rsidR="00CE6308">
        <w:rPr>
          <w:rFonts w:cs="Lucida Sans Unicode"/>
          <w:bCs/>
          <w:sz w:val="20"/>
        </w:rPr>
        <w:t>d</w:t>
      </w:r>
      <w:r w:rsidR="00D2002C">
        <w:rPr>
          <w:rFonts w:cs="Lucida Sans Unicode"/>
          <w:bCs/>
          <w:sz w:val="20"/>
        </w:rPr>
        <w:t>ie</w:t>
      </w:r>
      <w:r w:rsidR="00CE6308">
        <w:rPr>
          <w:rFonts w:cs="Lucida Sans Unicode"/>
          <w:bCs/>
          <w:sz w:val="20"/>
        </w:rPr>
        <w:t xml:space="preserve"> Geschäft</w:t>
      </w:r>
      <w:r w:rsidR="00D2002C">
        <w:rPr>
          <w:rFonts w:cs="Lucida Sans Unicode"/>
          <w:bCs/>
          <w:sz w:val="20"/>
        </w:rPr>
        <w:t>e</w:t>
      </w:r>
      <w:r w:rsidR="00CE6308">
        <w:rPr>
          <w:rFonts w:cs="Lucida Sans Unicode"/>
          <w:bCs/>
          <w:sz w:val="20"/>
        </w:rPr>
        <w:t xml:space="preserve"> mit </w:t>
      </w:r>
      <w:r>
        <w:rPr>
          <w:rFonts w:cs="Lucida Sans Unicode"/>
          <w:bCs/>
          <w:sz w:val="20"/>
        </w:rPr>
        <w:t>Superabsorber</w:t>
      </w:r>
      <w:r w:rsidR="00CE6308">
        <w:rPr>
          <w:rFonts w:cs="Lucida Sans Unicode"/>
          <w:bCs/>
          <w:sz w:val="20"/>
        </w:rPr>
        <w:t>n</w:t>
      </w:r>
      <w:r>
        <w:rPr>
          <w:rFonts w:cs="Lucida Sans Unicode"/>
          <w:bCs/>
          <w:sz w:val="20"/>
        </w:rPr>
        <w:t xml:space="preserve">, </w:t>
      </w:r>
      <w:r w:rsidR="00E67553">
        <w:rPr>
          <w:rFonts w:cs="Lucida Sans Unicode"/>
          <w:bCs/>
          <w:sz w:val="20"/>
        </w:rPr>
        <w:t>d</w:t>
      </w:r>
      <w:r w:rsidR="00D2002C">
        <w:rPr>
          <w:rFonts w:cs="Lucida Sans Unicode"/>
          <w:bCs/>
          <w:sz w:val="20"/>
        </w:rPr>
        <w:t>ie</w:t>
      </w:r>
      <w:r>
        <w:rPr>
          <w:rFonts w:cs="Lucida Sans Unicode"/>
          <w:bCs/>
          <w:sz w:val="20"/>
        </w:rPr>
        <w:t xml:space="preserve"> von einer hohen Nachfrage pro</w:t>
      </w:r>
      <w:r w:rsidR="005325F9">
        <w:rPr>
          <w:rFonts w:cs="Lucida Sans Unicode"/>
          <w:bCs/>
          <w:sz w:val="20"/>
        </w:rPr>
        <w:t>fi</w:t>
      </w:r>
      <w:r>
        <w:rPr>
          <w:rFonts w:cs="Lucida Sans Unicode"/>
          <w:bCs/>
          <w:sz w:val="20"/>
        </w:rPr>
        <w:t>tierte</w:t>
      </w:r>
      <w:r w:rsidR="00D2002C">
        <w:rPr>
          <w:rFonts w:cs="Lucida Sans Unicode"/>
          <w:bCs/>
          <w:sz w:val="20"/>
        </w:rPr>
        <w:t>n</w:t>
      </w:r>
      <w:r w:rsidR="005577E4">
        <w:rPr>
          <w:rFonts w:cs="Lucida Sans Unicode"/>
          <w:bCs/>
          <w:sz w:val="20"/>
        </w:rPr>
        <w:t>,</w:t>
      </w:r>
      <w:r>
        <w:rPr>
          <w:rFonts w:cs="Lucida Sans Unicode"/>
          <w:bCs/>
          <w:sz w:val="20"/>
        </w:rPr>
        <w:t xml:space="preserve"> sowie </w:t>
      </w:r>
      <w:r w:rsidR="00D2002C">
        <w:rPr>
          <w:rFonts w:cs="Lucida Sans Unicode"/>
          <w:bCs/>
          <w:sz w:val="20"/>
        </w:rPr>
        <w:t xml:space="preserve">mit </w:t>
      </w:r>
      <w:r>
        <w:rPr>
          <w:rFonts w:cs="Lucida Sans Unicode"/>
          <w:bCs/>
          <w:sz w:val="20"/>
        </w:rPr>
        <w:t>Pf</w:t>
      </w:r>
      <w:r w:rsidR="005325F9">
        <w:rPr>
          <w:rFonts w:cs="Lucida Sans Unicode"/>
          <w:bCs/>
          <w:sz w:val="20"/>
        </w:rPr>
        <w:t>le</w:t>
      </w:r>
      <w:r>
        <w:rPr>
          <w:rFonts w:cs="Lucida Sans Unicode"/>
          <w:bCs/>
          <w:sz w:val="20"/>
        </w:rPr>
        <w:t>geprodukte</w:t>
      </w:r>
      <w:r w:rsidR="00D2002C">
        <w:rPr>
          <w:rFonts w:cs="Lucida Sans Unicode"/>
          <w:bCs/>
          <w:sz w:val="20"/>
        </w:rPr>
        <w:t>n</w:t>
      </w:r>
      <w:r>
        <w:rPr>
          <w:rFonts w:cs="Lucida Sans Unicode"/>
          <w:bCs/>
          <w:sz w:val="20"/>
        </w:rPr>
        <w:t xml:space="preserve"> für den persönlichen Gebrauch.</w:t>
      </w:r>
    </w:p>
    <w:p w:rsidR="0012620A" w:rsidRDefault="0012620A" w:rsidP="00A02C86">
      <w:pPr>
        <w:pStyle w:val="EvonikStandard"/>
        <w:ind w:firstLine="0"/>
        <w:rPr>
          <w:rFonts w:cs="Lucida Sans Unicode"/>
          <w:bCs/>
          <w:sz w:val="20"/>
        </w:rPr>
      </w:pPr>
    </w:p>
    <w:p w:rsidR="0012620A" w:rsidRDefault="0012620A" w:rsidP="00A02C86">
      <w:pPr>
        <w:pStyle w:val="EvonikStandard"/>
        <w:ind w:firstLine="0"/>
        <w:rPr>
          <w:rFonts w:cs="Lucida Sans Unicode"/>
          <w:bCs/>
          <w:sz w:val="20"/>
        </w:rPr>
      </w:pPr>
      <w:r>
        <w:rPr>
          <w:rFonts w:cs="Lucida Sans Unicode"/>
          <w:bCs/>
          <w:sz w:val="20"/>
        </w:rPr>
        <w:t xml:space="preserve">Die operativen Ergebnisse erreichten im 1. Halbjahr vor allem preisbedingt </w:t>
      </w:r>
      <w:r w:rsidR="00F136B2">
        <w:rPr>
          <w:rFonts w:cs="Lucida Sans Unicode"/>
          <w:bCs/>
          <w:sz w:val="20"/>
        </w:rPr>
        <w:t xml:space="preserve">sowie aufgrund höherer Rohstoffkosten </w:t>
      </w:r>
      <w:r>
        <w:rPr>
          <w:rFonts w:cs="Lucida Sans Unicode"/>
          <w:bCs/>
          <w:sz w:val="20"/>
        </w:rPr>
        <w:t xml:space="preserve">nicht die hohen Vergleichswerte des Vorjahreszeitraums. </w:t>
      </w:r>
      <w:r w:rsidR="005325F9">
        <w:rPr>
          <w:rFonts w:cs="Lucida Sans Unicode"/>
          <w:bCs/>
          <w:sz w:val="20"/>
        </w:rPr>
        <w:t xml:space="preserve">Das </w:t>
      </w:r>
      <w:r w:rsidR="005325F9" w:rsidRPr="00F011AC">
        <w:rPr>
          <w:rFonts w:cs="Lucida Sans Unicode"/>
          <w:bCs/>
          <w:sz w:val="20"/>
        </w:rPr>
        <w:t xml:space="preserve">bereinigte </w:t>
      </w:r>
      <w:r w:rsidR="005325F9" w:rsidRPr="005577E4">
        <w:rPr>
          <w:rFonts w:cs="Lucida Sans Unicode"/>
          <w:b/>
          <w:bCs/>
          <w:sz w:val="20"/>
        </w:rPr>
        <w:t>EBITDA</w:t>
      </w:r>
      <w:r w:rsidR="005325F9">
        <w:rPr>
          <w:rFonts w:cs="Lucida Sans Unicode"/>
          <w:bCs/>
          <w:sz w:val="20"/>
        </w:rPr>
        <w:t xml:space="preserve"> nahm um 9 Prozent auf 496 Millionen € </w:t>
      </w:r>
      <w:r w:rsidR="005577E4">
        <w:rPr>
          <w:rFonts w:cs="Lucida Sans Unicode"/>
          <w:bCs/>
          <w:sz w:val="20"/>
        </w:rPr>
        <w:t xml:space="preserve">(Vorjahreshalbjahr: 546 Millionen €) und das </w:t>
      </w:r>
      <w:r w:rsidR="005577E4" w:rsidRPr="00F011AC">
        <w:rPr>
          <w:rFonts w:cs="Lucida Sans Unicode"/>
          <w:bCs/>
          <w:sz w:val="20"/>
        </w:rPr>
        <w:t xml:space="preserve">bereinigte </w:t>
      </w:r>
      <w:r w:rsidR="005577E4" w:rsidRPr="005577E4">
        <w:rPr>
          <w:rFonts w:cs="Lucida Sans Unicode"/>
          <w:b/>
          <w:bCs/>
          <w:sz w:val="20"/>
        </w:rPr>
        <w:t>EBIT</w:t>
      </w:r>
      <w:r w:rsidR="005577E4">
        <w:rPr>
          <w:rFonts w:cs="Lucida Sans Unicode"/>
          <w:bCs/>
          <w:sz w:val="20"/>
        </w:rPr>
        <w:t xml:space="preserve"> um 12 Prozent auf 428 Millionen € (Vorjahreshalbjahr: 484 Millionen €) ab. Die </w:t>
      </w:r>
      <w:r w:rsidR="005577E4" w:rsidRPr="00F011AC">
        <w:rPr>
          <w:rFonts w:cs="Lucida Sans Unicode"/>
          <w:bCs/>
          <w:sz w:val="20"/>
        </w:rPr>
        <w:t xml:space="preserve">bereinigte </w:t>
      </w:r>
      <w:r w:rsidR="005577E4" w:rsidRPr="005577E4">
        <w:rPr>
          <w:rFonts w:cs="Lucida Sans Unicode"/>
          <w:b/>
          <w:bCs/>
          <w:sz w:val="20"/>
        </w:rPr>
        <w:t>EBITDA-Marge</w:t>
      </w:r>
      <w:r w:rsidR="005577E4">
        <w:rPr>
          <w:rFonts w:cs="Lucida Sans Unicode"/>
          <w:bCs/>
          <w:sz w:val="20"/>
        </w:rPr>
        <w:t xml:space="preserve"> lag mit 23,7 Prozent auf sehr gutem Niveau (Vorjahreshalbjahr: 26,2 Prozent).</w:t>
      </w:r>
    </w:p>
    <w:p w:rsidR="008C46E3" w:rsidRDefault="008C46E3" w:rsidP="00A02C86">
      <w:pPr>
        <w:pStyle w:val="EvonikStandard"/>
        <w:ind w:firstLine="0"/>
        <w:rPr>
          <w:rFonts w:cs="Lucida Sans Unicode"/>
          <w:bCs/>
          <w:sz w:val="20"/>
        </w:rPr>
      </w:pPr>
    </w:p>
    <w:p w:rsidR="00E169B1" w:rsidRDefault="00E169B1" w:rsidP="00A02C86">
      <w:pPr>
        <w:pStyle w:val="EvonikStandard"/>
        <w:ind w:firstLine="0"/>
        <w:rPr>
          <w:rFonts w:cs="Lucida Sans Unicode"/>
          <w:bCs/>
          <w:sz w:val="20"/>
        </w:rPr>
      </w:pPr>
    </w:p>
    <w:p w:rsidR="008A4429" w:rsidRPr="00E169B1" w:rsidRDefault="008A4429" w:rsidP="00A02C86">
      <w:pPr>
        <w:pStyle w:val="EvonikStandard"/>
        <w:ind w:firstLine="0"/>
        <w:rPr>
          <w:rFonts w:cs="Lucida Sans Unicode"/>
          <w:b/>
          <w:bCs/>
          <w:sz w:val="20"/>
        </w:rPr>
      </w:pPr>
      <w:r w:rsidRPr="00E169B1">
        <w:rPr>
          <w:rFonts w:cs="Lucida Sans Unicode"/>
          <w:b/>
          <w:bCs/>
          <w:sz w:val="20"/>
        </w:rPr>
        <w:t>Resource Efficiency</w:t>
      </w:r>
    </w:p>
    <w:p w:rsidR="008A4429" w:rsidRDefault="008A4429" w:rsidP="00A02C86">
      <w:pPr>
        <w:pStyle w:val="EvonikStandard"/>
        <w:ind w:firstLine="0"/>
        <w:rPr>
          <w:rFonts w:cs="Lucida Sans Unicode"/>
          <w:bCs/>
          <w:sz w:val="20"/>
        </w:rPr>
      </w:pPr>
    </w:p>
    <w:p w:rsidR="00DE3960" w:rsidRDefault="00DE3960" w:rsidP="00DE3960">
      <w:pPr>
        <w:pStyle w:val="EvonikStandard"/>
        <w:numPr>
          <w:ilvl w:val="0"/>
          <w:numId w:val="21"/>
        </w:numPr>
        <w:rPr>
          <w:rFonts w:cs="Lucida Sans Unicode"/>
          <w:bCs/>
          <w:sz w:val="20"/>
        </w:rPr>
      </w:pPr>
      <w:r>
        <w:rPr>
          <w:rFonts w:cs="Lucida Sans Unicode"/>
          <w:bCs/>
          <w:sz w:val="20"/>
        </w:rPr>
        <w:t>Stabiles operatives Geschäft</w:t>
      </w:r>
    </w:p>
    <w:p w:rsidR="00DE3960" w:rsidRDefault="00DE3960" w:rsidP="00DE3960">
      <w:pPr>
        <w:pStyle w:val="EvonikStandard"/>
        <w:numPr>
          <w:ilvl w:val="0"/>
          <w:numId w:val="21"/>
        </w:numPr>
        <w:rPr>
          <w:rFonts w:cs="Lucida Sans Unicode"/>
          <w:bCs/>
          <w:sz w:val="20"/>
        </w:rPr>
      </w:pPr>
      <w:r>
        <w:rPr>
          <w:rFonts w:cs="Lucida Sans Unicode"/>
          <w:bCs/>
          <w:sz w:val="20"/>
        </w:rPr>
        <w:t>Operative Ergebnisse profitieren von niedrigeren Fixkosten</w:t>
      </w:r>
    </w:p>
    <w:p w:rsidR="00DE3960" w:rsidRDefault="00DE3960" w:rsidP="00DE3960">
      <w:pPr>
        <w:pStyle w:val="EvonikStandard"/>
        <w:numPr>
          <w:ilvl w:val="0"/>
          <w:numId w:val="21"/>
        </w:numPr>
        <w:rPr>
          <w:rFonts w:cs="Lucida Sans Unicode"/>
          <w:bCs/>
          <w:sz w:val="20"/>
        </w:rPr>
      </w:pPr>
      <w:r>
        <w:rPr>
          <w:rFonts w:cs="Lucida Sans Unicode"/>
          <w:bCs/>
          <w:sz w:val="20"/>
        </w:rPr>
        <w:t>Bereinigte EBITDA-Marge verbessert sich im Halbjahr von 20,8 auf 22,0 Prozent</w:t>
      </w:r>
    </w:p>
    <w:p w:rsidR="00DE3960" w:rsidRDefault="00DE3960" w:rsidP="00A02C86">
      <w:pPr>
        <w:pStyle w:val="EvonikStandard"/>
        <w:ind w:firstLine="0"/>
        <w:rPr>
          <w:rFonts w:cs="Lucida Sans Unicode"/>
          <w:bCs/>
          <w:sz w:val="20"/>
        </w:rPr>
      </w:pPr>
    </w:p>
    <w:p w:rsidR="008A4429" w:rsidRDefault="009E4AC2" w:rsidP="00A02C86">
      <w:pPr>
        <w:pStyle w:val="EvonikStandard"/>
        <w:ind w:firstLine="0"/>
        <w:rPr>
          <w:rFonts w:cs="Lucida Sans Unicode"/>
          <w:bCs/>
          <w:sz w:val="20"/>
        </w:rPr>
      </w:pPr>
      <w:r>
        <w:rPr>
          <w:rFonts w:cs="Lucida Sans Unicode"/>
          <w:bCs/>
          <w:sz w:val="20"/>
        </w:rPr>
        <w:t>Das Segment Resource Efficiency bietet umweltfreundliche und energieeffiziente Systemlösungen. Ihm sind die beide</w:t>
      </w:r>
      <w:r w:rsidR="00CE6308">
        <w:rPr>
          <w:rFonts w:cs="Lucida Sans Unicode"/>
          <w:bCs/>
          <w:sz w:val="20"/>
        </w:rPr>
        <w:t>n</w:t>
      </w:r>
      <w:r>
        <w:rPr>
          <w:rFonts w:cs="Lucida Sans Unicode"/>
          <w:bCs/>
          <w:sz w:val="20"/>
        </w:rPr>
        <w:t xml:space="preserve"> Geschäftsbereiche Inorganic Materials sowie Coatings &amp; Additives zugeordnet. </w:t>
      </w:r>
    </w:p>
    <w:p w:rsidR="009E4AC2" w:rsidRDefault="009E4AC2" w:rsidP="00A02C86">
      <w:pPr>
        <w:pStyle w:val="EvonikStandard"/>
        <w:ind w:firstLine="0"/>
        <w:rPr>
          <w:rFonts w:cs="Lucida Sans Unicode"/>
          <w:bCs/>
          <w:sz w:val="20"/>
        </w:rPr>
      </w:pPr>
    </w:p>
    <w:p w:rsidR="00DE3960" w:rsidRDefault="005577E4" w:rsidP="00A02C86">
      <w:pPr>
        <w:pStyle w:val="EvonikStandard"/>
        <w:ind w:firstLine="0"/>
        <w:rPr>
          <w:rFonts w:cs="Lucida Sans Unicode"/>
          <w:bCs/>
          <w:sz w:val="20"/>
        </w:rPr>
      </w:pPr>
      <w:r>
        <w:rPr>
          <w:rFonts w:cs="Lucida Sans Unicode"/>
          <w:bCs/>
          <w:sz w:val="20"/>
        </w:rPr>
        <w:t xml:space="preserve">Der </w:t>
      </w:r>
      <w:r w:rsidRPr="005577E4">
        <w:rPr>
          <w:rFonts w:cs="Lucida Sans Unicode"/>
          <w:b/>
          <w:bCs/>
          <w:sz w:val="20"/>
        </w:rPr>
        <w:t>Umsatz</w:t>
      </w:r>
      <w:r>
        <w:rPr>
          <w:rFonts w:cs="Lucida Sans Unicode"/>
          <w:bCs/>
          <w:sz w:val="20"/>
        </w:rPr>
        <w:t xml:space="preserve"> nahm </w:t>
      </w:r>
      <w:r w:rsidR="006706B9">
        <w:rPr>
          <w:rFonts w:cs="Lucida Sans Unicode"/>
          <w:bCs/>
          <w:sz w:val="20"/>
        </w:rPr>
        <w:t xml:space="preserve">im 1. Halbjahr </w:t>
      </w:r>
      <w:r w:rsidR="00CD47D4">
        <w:rPr>
          <w:rFonts w:cs="Lucida Sans Unicode"/>
          <w:bCs/>
          <w:sz w:val="20"/>
        </w:rPr>
        <w:t xml:space="preserve">2013 </w:t>
      </w:r>
      <w:r w:rsidR="006706B9">
        <w:rPr>
          <w:rFonts w:cs="Lucida Sans Unicode"/>
          <w:bCs/>
          <w:sz w:val="20"/>
        </w:rPr>
        <w:t>mit 1.572 Millionen € um 5 Prozent ab (Vorjahreshalbjahr: 1.651 Millionen €). Dies ist auf einen leichten organischen Umsatzrückgang, einen negative</w:t>
      </w:r>
      <w:r w:rsidR="00CE6308">
        <w:rPr>
          <w:rFonts w:cs="Lucida Sans Unicode"/>
          <w:bCs/>
          <w:sz w:val="20"/>
        </w:rPr>
        <w:t>n</w:t>
      </w:r>
      <w:r w:rsidR="006706B9">
        <w:rPr>
          <w:rFonts w:cs="Lucida Sans Unicode"/>
          <w:bCs/>
          <w:sz w:val="20"/>
        </w:rPr>
        <w:t xml:space="preserve"> Währungseffekt sowie die </w:t>
      </w:r>
      <w:r w:rsidR="001E5A44">
        <w:rPr>
          <w:rFonts w:cs="Lucida Sans Unicode"/>
          <w:bCs/>
          <w:sz w:val="20"/>
        </w:rPr>
        <w:t xml:space="preserve">Ende April 2012 erfolgte </w:t>
      </w:r>
      <w:r w:rsidR="006706B9">
        <w:rPr>
          <w:rFonts w:cs="Lucida Sans Unicode"/>
          <w:bCs/>
          <w:sz w:val="20"/>
        </w:rPr>
        <w:t xml:space="preserve">Veräußerung des Colorants-Geschäfts zurückzuführen. Die operativen Ergebnisse erhöhten sich </w:t>
      </w:r>
      <w:r w:rsidR="003C126D">
        <w:rPr>
          <w:rFonts w:cs="Lucida Sans Unicode"/>
          <w:bCs/>
          <w:sz w:val="20"/>
        </w:rPr>
        <w:t xml:space="preserve">bei </w:t>
      </w:r>
      <w:r w:rsidR="00F136B2">
        <w:rPr>
          <w:rFonts w:cs="Lucida Sans Unicode"/>
          <w:bCs/>
          <w:sz w:val="20"/>
        </w:rPr>
        <w:t>stabile</w:t>
      </w:r>
      <w:r w:rsidR="00E67553">
        <w:rPr>
          <w:rFonts w:cs="Lucida Sans Unicode"/>
          <w:bCs/>
          <w:sz w:val="20"/>
        </w:rPr>
        <w:t>r</w:t>
      </w:r>
      <w:r w:rsidR="00F136B2">
        <w:rPr>
          <w:rFonts w:cs="Lucida Sans Unicode"/>
          <w:bCs/>
          <w:sz w:val="20"/>
        </w:rPr>
        <w:t xml:space="preserve"> operative</w:t>
      </w:r>
      <w:r w:rsidR="00E67553">
        <w:rPr>
          <w:rFonts w:cs="Lucida Sans Unicode"/>
          <w:bCs/>
          <w:sz w:val="20"/>
        </w:rPr>
        <w:t>r</w:t>
      </w:r>
      <w:r w:rsidR="00F136B2">
        <w:rPr>
          <w:rFonts w:cs="Lucida Sans Unicode"/>
          <w:bCs/>
          <w:sz w:val="20"/>
        </w:rPr>
        <w:t xml:space="preserve"> Geschäftsentwicklung </w:t>
      </w:r>
      <w:r w:rsidR="00E67553">
        <w:rPr>
          <w:rFonts w:cs="Lucida Sans Unicode"/>
          <w:bCs/>
          <w:sz w:val="20"/>
        </w:rPr>
        <w:t>aufgrund</w:t>
      </w:r>
      <w:r w:rsidR="00F136B2">
        <w:rPr>
          <w:rFonts w:cs="Lucida Sans Unicode"/>
          <w:bCs/>
          <w:sz w:val="20"/>
        </w:rPr>
        <w:t xml:space="preserve"> </w:t>
      </w:r>
      <w:r w:rsidR="006706B9">
        <w:rPr>
          <w:rFonts w:cs="Lucida Sans Unicode"/>
          <w:bCs/>
          <w:sz w:val="20"/>
        </w:rPr>
        <w:t>geringere</w:t>
      </w:r>
      <w:r w:rsidR="00E67553">
        <w:rPr>
          <w:rFonts w:cs="Lucida Sans Unicode"/>
          <w:bCs/>
          <w:sz w:val="20"/>
        </w:rPr>
        <w:t>r</w:t>
      </w:r>
      <w:r w:rsidR="006706B9">
        <w:rPr>
          <w:rFonts w:cs="Lucida Sans Unicode"/>
          <w:bCs/>
          <w:sz w:val="20"/>
        </w:rPr>
        <w:t xml:space="preserve"> Fixkosten infolge der Stilllegung bzw. des Verkaufs je einer Produktionsanlage im 4. Quartal 2012. Das </w:t>
      </w:r>
      <w:r w:rsidR="006706B9" w:rsidRPr="00F011AC">
        <w:rPr>
          <w:rFonts w:cs="Lucida Sans Unicode"/>
          <w:bCs/>
          <w:sz w:val="20"/>
        </w:rPr>
        <w:t xml:space="preserve">bereinigte </w:t>
      </w:r>
      <w:r w:rsidR="006706B9" w:rsidRPr="001E5A44">
        <w:rPr>
          <w:rFonts w:cs="Lucida Sans Unicode"/>
          <w:b/>
          <w:bCs/>
          <w:sz w:val="20"/>
        </w:rPr>
        <w:t>EBITDA</w:t>
      </w:r>
      <w:r w:rsidR="006706B9">
        <w:rPr>
          <w:rFonts w:cs="Lucida Sans Unicode"/>
          <w:bCs/>
          <w:sz w:val="20"/>
        </w:rPr>
        <w:t xml:space="preserve"> nahm um 1 Prozent auf 346 Millionen € (Vorjahreshalbjahr: 344 Millionen €) und das </w:t>
      </w:r>
      <w:r w:rsidR="006706B9" w:rsidRPr="00F011AC">
        <w:rPr>
          <w:rFonts w:cs="Lucida Sans Unicode"/>
          <w:bCs/>
          <w:sz w:val="20"/>
        </w:rPr>
        <w:t xml:space="preserve">bereinigte </w:t>
      </w:r>
      <w:r w:rsidR="006706B9" w:rsidRPr="001E5A44">
        <w:rPr>
          <w:rFonts w:cs="Lucida Sans Unicode"/>
          <w:b/>
          <w:bCs/>
          <w:sz w:val="20"/>
        </w:rPr>
        <w:t>EBIT</w:t>
      </w:r>
      <w:r w:rsidR="006706B9">
        <w:rPr>
          <w:rFonts w:cs="Lucida Sans Unicode"/>
          <w:bCs/>
          <w:sz w:val="20"/>
        </w:rPr>
        <w:t xml:space="preserve"> um 7 Prozent auf 289 Millionen € zu (Vorjahreshalbjahr: </w:t>
      </w:r>
      <w:r w:rsidR="001E5A44">
        <w:rPr>
          <w:rFonts w:cs="Lucida Sans Unicode"/>
          <w:bCs/>
          <w:sz w:val="20"/>
        </w:rPr>
        <w:t xml:space="preserve">270 Millionen €). Die </w:t>
      </w:r>
      <w:r w:rsidR="001E5A44" w:rsidRPr="00F011AC">
        <w:rPr>
          <w:rFonts w:cs="Lucida Sans Unicode"/>
          <w:bCs/>
          <w:sz w:val="20"/>
        </w:rPr>
        <w:t>bereinigte</w:t>
      </w:r>
      <w:r w:rsidR="001E5A44" w:rsidRPr="001E5A44">
        <w:rPr>
          <w:rFonts w:cs="Lucida Sans Unicode"/>
          <w:b/>
          <w:bCs/>
          <w:sz w:val="20"/>
        </w:rPr>
        <w:t xml:space="preserve"> EBITDA-Marge</w:t>
      </w:r>
      <w:r w:rsidR="001E5A44">
        <w:rPr>
          <w:rFonts w:cs="Lucida Sans Unicode"/>
          <w:bCs/>
          <w:sz w:val="20"/>
        </w:rPr>
        <w:t xml:space="preserve"> stieg von 20,8 auf 22,0 Prozent.</w:t>
      </w:r>
    </w:p>
    <w:p w:rsidR="005577E4" w:rsidRDefault="005577E4" w:rsidP="00A02C86">
      <w:pPr>
        <w:pStyle w:val="EvonikStandard"/>
        <w:ind w:firstLine="0"/>
        <w:rPr>
          <w:rFonts w:cs="Lucida Sans Unicode"/>
          <w:bCs/>
          <w:sz w:val="20"/>
        </w:rPr>
      </w:pPr>
    </w:p>
    <w:p w:rsidR="00E169B1" w:rsidRDefault="00E169B1" w:rsidP="00A02C86">
      <w:pPr>
        <w:pStyle w:val="EvonikStandard"/>
        <w:ind w:firstLine="0"/>
        <w:rPr>
          <w:rFonts w:cs="Lucida Sans Unicode"/>
          <w:bCs/>
          <w:sz w:val="20"/>
        </w:rPr>
      </w:pPr>
    </w:p>
    <w:p w:rsidR="008A4429" w:rsidRPr="00E169B1" w:rsidRDefault="008A4429" w:rsidP="00A02C86">
      <w:pPr>
        <w:pStyle w:val="EvonikStandard"/>
        <w:ind w:firstLine="0"/>
        <w:rPr>
          <w:rFonts w:cs="Lucida Sans Unicode"/>
          <w:b/>
          <w:bCs/>
          <w:sz w:val="20"/>
        </w:rPr>
      </w:pPr>
      <w:r w:rsidRPr="00E169B1">
        <w:rPr>
          <w:rFonts w:cs="Lucida Sans Unicode"/>
          <w:b/>
          <w:bCs/>
          <w:sz w:val="20"/>
        </w:rPr>
        <w:t>Specialty Materials</w:t>
      </w:r>
    </w:p>
    <w:p w:rsidR="008A4429" w:rsidRDefault="008A4429" w:rsidP="00A02C86">
      <w:pPr>
        <w:pStyle w:val="EvonikStandard"/>
        <w:ind w:firstLine="0"/>
        <w:rPr>
          <w:rFonts w:cs="Lucida Sans Unicode"/>
          <w:bCs/>
          <w:sz w:val="20"/>
        </w:rPr>
      </w:pPr>
    </w:p>
    <w:p w:rsidR="00DE3960" w:rsidRDefault="00DE3960" w:rsidP="00DE3960">
      <w:pPr>
        <w:pStyle w:val="EvonikStandard"/>
        <w:numPr>
          <w:ilvl w:val="0"/>
          <w:numId w:val="22"/>
        </w:numPr>
        <w:rPr>
          <w:rFonts w:cs="Lucida Sans Unicode"/>
          <w:bCs/>
          <w:sz w:val="20"/>
        </w:rPr>
      </w:pPr>
      <w:r>
        <w:rPr>
          <w:rFonts w:cs="Lucida Sans Unicode"/>
          <w:bCs/>
          <w:sz w:val="20"/>
        </w:rPr>
        <w:t xml:space="preserve">Deutlich rückläufige Verkaufspreise und </w:t>
      </w:r>
      <w:r w:rsidR="00913620">
        <w:rPr>
          <w:rFonts w:cs="Lucida Sans Unicode"/>
          <w:bCs/>
          <w:sz w:val="20"/>
        </w:rPr>
        <w:t>Anlagenrevision eines Produktionsverbunds</w:t>
      </w:r>
      <w:r>
        <w:rPr>
          <w:rFonts w:cs="Lucida Sans Unicode"/>
          <w:bCs/>
          <w:sz w:val="20"/>
        </w:rPr>
        <w:t xml:space="preserve"> wirken belastend</w:t>
      </w:r>
    </w:p>
    <w:p w:rsidR="00DE3960" w:rsidRDefault="00DE3960" w:rsidP="00DE3960">
      <w:pPr>
        <w:pStyle w:val="EvonikStandard"/>
        <w:numPr>
          <w:ilvl w:val="0"/>
          <w:numId w:val="22"/>
        </w:numPr>
        <w:rPr>
          <w:rFonts w:cs="Lucida Sans Unicode"/>
          <w:bCs/>
          <w:sz w:val="20"/>
        </w:rPr>
      </w:pPr>
      <w:r>
        <w:rPr>
          <w:rFonts w:cs="Lucida Sans Unicode"/>
          <w:bCs/>
          <w:sz w:val="20"/>
        </w:rPr>
        <w:t>Operative Ergebnisse unter sehr guten Vorjahreswerten</w:t>
      </w:r>
    </w:p>
    <w:p w:rsidR="00DE3960" w:rsidRDefault="00DE3960" w:rsidP="00DE3960">
      <w:pPr>
        <w:pStyle w:val="EvonikStandard"/>
        <w:numPr>
          <w:ilvl w:val="0"/>
          <w:numId w:val="22"/>
        </w:numPr>
        <w:rPr>
          <w:rFonts w:cs="Lucida Sans Unicode"/>
          <w:bCs/>
          <w:sz w:val="20"/>
        </w:rPr>
      </w:pPr>
      <w:r>
        <w:rPr>
          <w:rFonts w:cs="Lucida Sans Unicode"/>
          <w:bCs/>
          <w:sz w:val="20"/>
        </w:rPr>
        <w:t>Bereinigte EBITDA-Marge verringert sich im Halbjahr von 18,3 auf 13,5 Prozent</w:t>
      </w:r>
    </w:p>
    <w:p w:rsidR="00DE3960" w:rsidRDefault="00DE3960" w:rsidP="00A02C86">
      <w:pPr>
        <w:pStyle w:val="EvonikStandard"/>
        <w:ind w:firstLine="0"/>
        <w:rPr>
          <w:rFonts w:cs="Lucida Sans Unicode"/>
          <w:bCs/>
          <w:sz w:val="20"/>
        </w:rPr>
      </w:pPr>
    </w:p>
    <w:p w:rsidR="008A4429" w:rsidRDefault="009E4AC2" w:rsidP="00A02C86">
      <w:pPr>
        <w:pStyle w:val="EvonikStandard"/>
        <w:ind w:firstLine="0"/>
        <w:rPr>
          <w:rFonts w:cs="Lucida Sans Unicode"/>
          <w:bCs/>
          <w:sz w:val="20"/>
        </w:rPr>
      </w:pPr>
      <w:r>
        <w:rPr>
          <w:rFonts w:cs="Lucida Sans Unicode"/>
          <w:bCs/>
          <w:sz w:val="20"/>
        </w:rPr>
        <w:t xml:space="preserve">Im Mittelpunkt des Segments Specialty Materials steht die Herstellung von polymeren Werkstoffen sowie Zwischenprodukten vor allem für die Gummi- und Kunststoffindustrie. Es gliedert sich in die Geschäftsbereiche Performance Polymers und Advanced Intermediates. </w:t>
      </w:r>
    </w:p>
    <w:p w:rsidR="008A4429" w:rsidRDefault="008A4429" w:rsidP="00A02C86">
      <w:pPr>
        <w:pStyle w:val="EvonikStandard"/>
        <w:ind w:firstLine="0"/>
        <w:rPr>
          <w:rFonts w:cs="Lucida Sans Unicode"/>
          <w:bCs/>
          <w:sz w:val="20"/>
        </w:rPr>
      </w:pPr>
    </w:p>
    <w:p w:rsidR="001E5A44" w:rsidRDefault="001E5A44" w:rsidP="00A02C86">
      <w:pPr>
        <w:pStyle w:val="EvonikStandard"/>
        <w:ind w:firstLine="0"/>
        <w:rPr>
          <w:rFonts w:cs="Lucida Sans Unicode"/>
          <w:bCs/>
          <w:sz w:val="20"/>
        </w:rPr>
      </w:pPr>
      <w:r>
        <w:rPr>
          <w:rFonts w:cs="Lucida Sans Unicode"/>
          <w:bCs/>
          <w:sz w:val="20"/>
        </w:rPr>
        <w:t xml:space="preserve">Der </w:t>
      </w:r>
      <w:r w:rsidRPr="001E5A44">
        <w:rPr>
          <w:rFonts w:cs="Lucida Sans Unicode"/>
          <w:b/>
          <w:bCs/>
          <w:sz w:val="20"/>
        </w:rPr>
        <w:t>Umsatz</w:t>
      </w:r>
      <w:r>
        <w:rPr>
          <w:rFonts w:cs="Lucida Sans Unicode"/>
          <w:bCs/>
          <w:sz w:val="20"/>
        </w:rPr>
        <w:t xml:space="preserve"> gab im 1. Halbjahr </w:t>
      </w:r>
      <w:r w:rsidR="00CD47D4">
        <w:rPr>
          <w:rFonts w:cs="Lucida Sans Unicode"/>
          <w:bCs/>
          <w:sz w:val="20"/>
        </w:rPr>
        <w:t xml:space="preserve">2013 </w:t>
      </w:r>
      <w:r>
        <w:rPr>
          <w:rFonts w:cs="Lucida Sans Unicode"/>
          <w:bCs/>
          <w:sz w:val="20"/>
        </w:rPr>
        <w:t>um 8 Prozent auf 2.299 Millionen € nach (Vorjahreshalbjahr: 2.50</w:t>
      </w:r>
      <w:r w:rsidR="00CE6308">
        <w:rPr>
          <w:rFonts w:cs="Lucida Sans Unicode"/>
          <w:bCs/>
          <w:sz w:val="20"/>
        </w:rPr>
        <w:t>3</w:t>
      </w:r>
      <w:r>
        <w:rPr>
          <w:rFonts w:cs="Lucida Sans Unicode"/>
          <w:bCs/>
          <w:sz w:val="20"/>
        </w:rPr>
        <w:t xml:space="preserve"> Millionen €). </w:t>
      </w:r>
      <w:r w:rsidR="00CD47D4">
        <w:rPr>
          <w:rFonts w:cs="Lucida Sans Unicode"/>
          <w:bCs/>
          <w:sz w:val="20"/>
        </w:rPr>
        <w:t>Neben der Abgabe des chinesischen Cyanurchlorid-Geschäfts ging der Umsatz organisch vor allem aufgrund der deutlich geringeren Verkaufspreise, insbesondere für Butadien, zurück. Die operativen Ergebnisse blieben infolge der rückläufigen Verkaufspreise sowie der planmäßigen Großrevision eine</w:t>
      </w:r>
      <w:r w:rsidR="001B1110">
        <w:rPr>
          <w:rFonts w:cs="Lucida Sans Unicode"/>
          <w:bCs/>
          <w:sz w:val="20"/>
        </w:rPr>
        <w:t>s</w:t>
      </w:r>
      <w:r w:rsidR="00CD47D4">
        <w:rPr>
          <w:rFonts w:cs="Lucida Sans Unicode"/>
          <w:bCs/>
          <w:sz w:val="20"/>
        </w:rPr>
        <w:t xml:space="preserve"> Produktions</w:t>
      </w:r>
      <w:r w:rsidR="001B1110">
        <w:rPr>
          <w:rFonts w:cs="Lucida Sans Unicode"/>
          <w:bCs/>
          <w:sz w:val="20"/>
        </w:rPr>
        <w:t>verbundes</w:t>
      </w:r>
      <w:r w:rsidR="00CD47D4">
        <w:rPr>
          <w:rFonts w:cs="Lucida Sans Unicode"/>
          <w:bCs/>
          <w:sz w:val="20"/>
        </w:rPr>
        <w:t xml:space="preserve"> unter den guten Vorjahreswerten. Das </w:t>
      </w:r>
      <w:r w:rsidR="00CD47D4" w:rsidRPr="00F011AC">
        <w:rPr>
          <w:rFonts w:cs="Lucida Sans Unicode"/>
          <w:bCs/>
          <w:sz w:val="20"/>
        </w:rPr>
        <w:t xml:space="preserve">bereinigte </w:t>
      </w:r>
      <w:r w:rsidR="00CD47D4" w:rsidRPr="00CD47D4">
        <w:rPr>
          <w:rFonts w:cs="Lucida Sans Unicode"/>
          <w:b/>
          <w:bCs/>
          <w:sz w:val="20"/>
        </w:rPr>
        <w:t>EBITDA</w:t>
      </w:r>
      <w:r w:rsidR="00CD47D4">
        <w:rPr>
          <w:rFonts w:cs="Lucida Sans Unicode"/>
          <w:bCs/>
          <w:sz w:val="20"/>
        </w:rPr>
        <w:t xml:space="preserve"> verringerte sich um 32 Prozent auf 310 Millionen € (Vorjahreshalbjahr: 457 Millionen €) und das </w:t>
      </w:r>
      <w:r w:rsidR="00CD47D4" w:rsidRPr="00F011AC">
        <w:rPr>
          <w:rFonts w:cs="Lucida Sans Unicode"/>
          <w:bCs/>
          <w:sz w:val="20"/>
        </w:rPr>
        <w:t xml:space="preserve">bereinigte </w:t>
      </w:r>
      <w:r w:rsidR="00CD47D4" w:rsidRPr="00CD47D4">
        <w:rPr>
          <w:rFonts w:cs="Lucida Sans Unicode"/>
          <w:b/>
          <w:bCs/>
          <w:sz w:val="20"/>
        </w:rPr>
        <w:t>EBIT</w:t>
      </w:r>
      <w:r w:rsidR="00CD47D4">
        <w:rPr>
          <w:rFonts w:cs="Lucida Sans Unicode"/>
          <w:bCs/>
          <w:sz w:val="20"/>
        </w:rPr>
        <w:t xml:space="preserve"> um </w:t>
      </w:r>
      <w:r w:rsidR="000737CA">
        <w:rPr>
          <w:rFonts w:cs="Lucida Sans Unicode"/>
          <w:bCs/>
          <w:sz w:val="20"/>
        </w:rPr>
        <w:br/>
      </w:r>
      <w:r w:rsidR="00CD47D4">
        <w:rPr>
          <w:rFonts w:cs="Lucida Sans Unicode"/>
          <w:bCs/>
          <w:sz w:val="20"/>
        </w:rPr>
        <w:lastRenderedPageBreak/>
        <w:t xml:space="preserve">39 Prozent auf 234 Millionen € (Vorjahreshalbjahr: 381 Millionen €). Die </w:t>
      </w:r>
      <w:r w:rsidR="00CD47D4" w:rsidRPr="00F011AC">
        <w:rPr>
          <w:rFonts w:cs="Lucida Sans Unicode"/>
          <w:bCs/>
          <w:sz w:val="20"/>
        </w:rPr>
        <w:t xml:space="preserve">bereinigte </w:t>
      </w:r>
      <w:r w:rsidR="00CD47D4" w:rsidRPr="00CD47D4">
        <w:rPr>
          <w:rFonts w:cs="Lucida Sans Unicode"/>
          <w:b/>
          <w:bCs/>
          <w:sz w:val="20"/>
        </w:rPr>
        <w:t>EBITDA-Marge</w:t>
      </w:r>
      <w:r w:rsidR="00CD47D4">
        <w:rPr>
          <w:rFonts w:cs="Lucida Sans Unicode"/>
          <w:bCs/>
          <w:sz w:val="20"/>
        </w:rPr>
        <w:t xml:space="preserve"> ging von 18,3 auf 13,5 Prozent zurück.</w:t>
      </w:r>
    </w:p>
    <w:p w:rsidR="001E5A44" w:rsidRDefault="001E5A44" w:rsidP="00A02C86">
      <w:pPr>
        <w:pStyle w:val="EvonikStandard"/>
        <w:ind w:firstLine="0"/>
        <w:rPr>
          <w:rFonts w:cs="Lucida Sans Unicode"/>
          <w:bCs/>
          <w:sz w:val="20"/>
        </w:rPr>
      </w:pPr>
    </w:p>
    <w:p w:rsidR="00E169B1" w:rsidRDefault="00E169B1" w:rsidP="00A02C86">
      <w:pPr>
        <w:pStyle w:val="EvonikStandard"/>
        <w:ind w:firstLine="0"/>
        <w:rPr>
          <w:rFonts w:cs="Lucida Sans Unicode"/>
          <w:bCs/>
          <w:sz w:val="20"/>
        </w:rPr>
      </w:pPr>
    </w:p>
    <w:p w:rsidR="008A4429" w:rsidRPr="00E169B1" w:rsidRDefault="008A4429" w:rsidP="00A02C86">
      <w:pPr>
        <w:pStyle w:val="EvonikStandard"/>
        <w:ind w:firstLine="0"/>
        <w:rPr>
          <w:rFonts w:cs="Lucida Sans Unicode"/>
          <w:b/>
          <w:bCs/>
          <w:sz w:val="20"/>
        </w:rPr>
      </w:pPr>
      <w:r w:rsidRPr="00E169B1">
        <w:rPr>
          <w:rFonts w:cs="Lucida Sans Unicode"/>
          <w:b/>
          <w:bCs/>
          <w:sz w:val="20"/>
        </w:rPr>
        <w:t>Services</w:t>
      </w:r>
    </w:p>
    <w:p w:rsidR="008A4429" w:rsidRDefault="008A4429" w:rsidP="00A02C86">
      <w:pPr>
        <w:pStyle w:val="EvonikStandard"/>
        <w:ind w:firstLine="0"/>
        <w:rPr>
          <w:rFonts w:cs="Lucida Sans Unicode"/>
          <w:bCs/>
          <w:sz w:val="20"/>
        </w:rPr>
      </w:pPr>
    </w:p>
    <w:p w:rsidR="008A4429" w:rsidRDefault="00A42217" w:rsidP="00A02C86">
      <w:pPr>
        <w:pStyle w:val="EvonikStandard"/>
        <w:ind w:firstLine="0"/>
        <w:rPr>
          <w:rFonts w:cs="Lucida Sans Unicode"/>
          <w:bCs/>
          <w:sz w:val="20"/>
        </w:rPr>
      </w:pPr>
      <w:r>
        <w:rPr>
          <w:rFonts w:cs="Lucida Sans Unicode"/>
          <w:bCs/>
          <w:sz w:val="20"/>
        </w:rPr>
        <w:t>Das Segment Services umfasst im Wesentlichen die Site Services und die Evonik Business Services. E</w:t>
      </w:r>
      <w:r w:rsidR="00CD47D4">
        <w:rPr>
          <w:rFonts w:cs="Lucida Sans Unicode"/>
          <w:bCs/>
          <w:sz w:val="20"/>
        </w:rPr>
        <w:t>s</w:t>
      </w:r>
      <w:r>
        <w:rPr>
          <w:rFonts w:cs="Lucida Sans Unicode"/>
          <w:bCs/>
          <w:sz w:val="20"/>
        </w:rPr>
        <w:t xml:space="preserve"> erbringt seine Dienstleistungen vor allem für die operativen Spezialchemie-Geschäfte und das Corporate Center von Evonik sowie für Dritte.</w:t>
      </w:r>
    </w:p>
    <w:p w:rsidR="00E169B1" w:rsidRDefault="00E169B1" w:rsidP="00A02C86">
      <w:pPr>
        <w:pStyle w:val="EvonikStandard"/>
        <w:ind w:firstLine="0"/>
        <w:rPr>
          <w:rFonts w:cs="Lucida Sans Unicode"/>
          <w:bCs/>
          <w:sz w:val="20"/>
        </w:rPr>
      </w:pPr>
    </w:p>
    <w:p w:rsidR="00E169B1" w:rsidRDefault="00DA3BB3" w:rsidP="00A02C86">
      <w:pPr>
        <w:pStyle w:val="EvonikStandard"/>
        <w:ind w:firstLine="0"/>
        <w:rPr>
          <w:rFonts w:cs="Lucida Sans Unicode"/>
          <w:bCs/>
          <w:sz w:val="20"/>
        </w:rPr>
      </w:pPr>
      <w:r>
        <w:rPr>
          <w:rFonts w:cs="Lucida Sans Unicode"/>
          <w:bCs/>
          <w:sz w:val="20"/>
        </w:rPr>
        <w:t xml:space="preserve">Der </w:t>
      </w:r>
      <w:r w:rsidRPr="008C46E3">
        <w:rPr>
          <w:rFonts w:cs="Lucida Sans Unicode"/>
          <w:b/>
          <w:bCs/>
          <w:sz w:val="20"/>
        </w:rPr>
        <w:t>Gesamtumsatz</w:t>
      </w:r>
      <w:r>
        <w:rPr>
          <w:rFonts w:cs="Lucida Sans Unicode"/>
          <w:bCs/>
          <w:sz w:val="20"/>
        </w:rPr>
        <w:t xml:space="preserve"> lag </w:t>
      </w:r>
      <w:r w:rsidR="00FB3ED9">
        <w:rPr>
          <w:rFonts w:cs="Lucida Sans Unicode"/>
          <w:bCs/>
          <w:sz w:val="20"/>
        </w:rPr>
        <w:t xml:space="preserve">im 1. Halbjahr 2013 </w:t>
      </w:r>
      <w:r w:rsidR="00C4145D">
        <w:rPr>
          <w:rFonts w:cs="Lucida Sans Unicode"/>
          <w:bCs/>
          <w:sz w:val="20"/>
        </w:rPr>
        <w:t xml:space="preserve">bei 1.282 Millionen €, hiervon entfielen 831 Millionen € auf Innenumsätze. Der Außenumsatz ging insbesondere aufgrund der Stilllegung einer Produktionsanlage eines Kunden am Standort Marl um 10 Prozent auf 451 Millionen € zurück. Die operativen Ergebnisse erhöhten sich im Wesentlichen dank verbesserter Kostenstrukturen bei den Site Services: Das </w:t>
      </w:r>
      <w:r w:rsidR="00C4145D" w:rsidRPr="00F011AC">
        <w:rPr>
          <w:rFonts w:cs="Lucida Sans Unicode"/>
          <w:bCs/>
          <w:sz w:val="20"/>
        </w:rPr>
        <w:t>bereinigte</w:t>
      </w:r>
      <w:r w:rsidR="00C4145D" w:rsidRPr="00A72D1A">
        <w:rPr>
          <w:rFonts w:cs="Lucida Sans Unicode"/>
          <w:b/>
          <w:bCs/>
          <w:sz w:val="20"/>
        </w:rPr>
        <w:t xml:space="preserve"> EBITDA</w:t>
      </w:r>
      <w:r w:rsidR="00C4145D">
        <w:rPr>
          <w:rFonts w:cs="Lucida Sans Unicode"/>
          <w:bCs/>
          <w:sz w:val="20"/>
        </w:rPr>
        <w:t xml:space="preserve"> nahm um 5 Prozent auf 107 Millionen € und das </w:t>
      </w:r>
      <w:r w:rsidR="00C4145D" w:rsidRPr="00F011AC">
        <w:rPr>
          <w:rFonts w:cs="Lucida Sans Unicode"/>
          <w:bCs/>
          <w:sz w:val="20"/>
        </w:rPr>
        <w:t xml:space="preserve">bereinigte </w:t>
      </w:r>
      <w:r w:rsidR="00C4145D" w:rsidRPr="00A72D1A">
        <w:rPr>
          <w:rFonts w:cs="Lucida Sans Unicode"/>
          <w:b/>
          <w:bCs/>
          <w:sz w:val="20"/>
        </w:rPr>
        <w:t>EBIT</w:t>
      </w:r>
      <w:r w:rsidR="00C4145D">
        <w:rPr>
          <w:rFonts w:cs="Lucida Sans Unicode"/>
          <w:bCs/>
          <w:sz w:val="20"/>
        </w:rPr>
        <w:t xml:space="preserve"> um 3 Prozent auf </w:t>
      </w:r>
      <w:r w:rsidR="00A72D1A">
        <w:rPr>
          <w:rFonts w:cs="Lucida Sans Unicode"/>
          <w:bCs/>
          <w:sz w:val="20"/>
        </w:rPr>
        <w:t>61 Millionen € zu.</w:t>
      </w:r>
    </w:p>
    <w:p w:rsidR="00E169B1" w:rsidRDefault="00E169B1" w:rsidP="00A02C86">
      <w:pPr>
        <w:pStyle w:val="EvonikStandard"/>
        <w:ind w:firstLine="0"/>
        <w:rPr>
          <w:rFonts w:cs="Lucida Sans Unicode"/>
          <w:bCs/>
          <w:sz w:val="20"/>
        </w:rPr>
      </w:pPr>
    </w:p>
    <w:p w:rsidR="00A60C6B" w:rsidRDefault="00A60C6B" w:rsidP="00A02C86">
      <w:pPr>
        <w:pStyle w:val="EvonikStandard"/>
        <w:ind w:firstLine="0"/>
        <w:rPr>
          <w:rFonts w:cs="Lucida Sans Unicode"/>
          <w:bCs/>
          <w:sz w:val="20"/>
        </w:rPr>
      </w:pPr>
    </w:p>
    <w:p w:rsidR="007E6C17" w:rsidRPr="007E6C17" w:rsidRDefault="007E6C17" w:rsidP="007E6C17">
      <w:pPr>
        <w:pStyle w:val="EvonikStandard"/>
        <w:ind w:firstLine="0"/>
        <w:rPr>
          <w:rFonts w:cs="Lucida Sans Unicode"/>
          <w:b/>
          <w:bCs/>
          <w:sz w:val="20"/>
        </w:rPr>
      </w:pPr>
      <w:r>
        <w:rPr>
          <w:rFonts w:cs="Lucida Sans Unicode"/>
          <w:b/>
          <w:bCs/>
          <w:sz w:val="20"/>
        </w:rPr>
        <w:t xml:space="preserve">Effizienz wird weiter gesteigert </w:t>
      </w:r>
      <w:r w:rsidR="00E67553">
        <w:rPr>
          <w:rFonts w:cs="Lucida Sans Unicode"/>
          <w:b/>
          <w:bCs/>
          <w:sz w:val="20"/>
        </w:rPr>
        <w:t>und</w:t>
      </w:r>
      <w:r>
        <w:rPr>
          <w:rFonts w:cs="Lucida Sans Unicode"/>
          <w:b/>
          <w:bCs/>
          <w:sz w:val="20"/>
        </w:rPr>
        <w:t xml:space="preserve"> Kostendisziplin  </w:t>
      </w:r>
      <w:r w:rsidR="00174934">
        <w:rPr>
          <w:rFonts w:cs="Lucida Sans Unicode"/>
          <w:b/>
          <w:bCs/>
          <w:sz w:val="20"/>
        </w:rPr>
        <w:t>ver</w:t>
      </w:r>
      <w:r>
        <w:rPr>
          <w:rFonts w:cs="Lucida Sans Unicode"/>
          <w:b/>
          <w:bCs/>
          <w:sz w:val="20"/>
        </w:rPr>
        <w:t>schärft</w:t>
      </w:r>
    </w:p>
    <w:p w:rsidR="007E6C17" w:rsidRPr="007E6C17" w:rsidRDefault="007E6C17" w:rsidP="007E6C17">
      <w:pPr>
        <w:pStyle w:val="EvonikStandard"/>
        <w:ind w:firstLine="0"/>
        <w:rPr>
          <w:rFonts w:cs="Lucida Sans Unicode"/>
          <w:bCs/>
          <w:sz w:val="20"/>
        </w:rPr>
      </w:pPr>
    </w:p>
    <w:p w:rsidR="007E6C17" w:rsidRDefault="007E6C17" w:rsidP="007E6C17">
      <w:pPr>
        <w:pStyle w:val="EvonikStandard"/>
        <w:ind w:firstLine="0"/>
        <w:rPr>
          <w:rFonts w:cs="Lucida Sans Unicode"/>
          <w:bCs/>
          <w:sz w:val="20"/>
        </w:rPr>
      </w:pPr>
      <w:r w:rsidRPr="007E6C17">
        <w:rPr>
          <w:rFonts w:cs="Lucida Sans Unicode"/>
          <w:bCs/>
          <w:sz w:val="20"/>
        </w:rPr>
        <w:t xml:space="preserve">Die Umsetzung des Effizienzsteigerungsprogramms On Track 2.0 kommt gut voran. Im 1. Halbjahr 2013 </w:t>
      </w:r>
      <w:r w:rsidR="00C84ABF">
        <w:rPr>
          <w:rFonts w:cs="Lucida Sans Unicode"/>
          <w:bCs/>
          <w:sz w:val="20"/>
        </w:rPr>
        <w:t>erzielte</w:t>
      </w:r>
      <w:r w:rsidRPr="007E6C17">
        <w:rPr>
          <w:rFonts w:cs="Lucida Sans Unicode"/>
          <w:bCs/>
          <w:sz w:val="20"/>
        </w:rPr>
        <w:t xml:space="preserve"> das Unternehmen </w:t>
      </w:r>
      <w:r w:rsidR="00C371B6">
        <w:rPr>
          <w:rFonts w:cs="Lucida Sans Unicode"/>
          <w:bCs/>
          <w:sz w:val="20"/>
        </w:rPr>
        <w:t>weitere</w:t>
      </w:r>
      <w:r w:rsidRPr="007E6C17">
        <w:rPr>
          <w:rFonts w:cs="Lucida Sans Unicode"/>
          <w:bCs/>
          <w:sz w:val="20"/>
        </w:rPr>
        <w:t xml:space="preserve"> Einsparungen von </w:t>
      </w:r>
      <w:r w:rsidR="00C371B6">
        <w:rPr>
          <w:rFonts w:cs="Lucida Sans Unicode"/>
          <w:bCs/>
          <w:sz w:val="20"/>
        </w:rPr>
        <w:t>gut 50</w:t>
      </w:r>
      <w:r w:rsidRPr="007E6C17">
        <w:rPr>
          <w:rFonts w:cs="Lucida Sans Unicode"/>
          <w:bCs/>
          <w:sz w:val="20"/>
        </w:rPr>
        <w:t xml:space="preserve"> Millionen €. </w:t>
      </w:r>
      <w:r w:rsidR="00C371B6">
        <w:rPr>
          <w:rFonts w:cs="Lucida Sans Unicode"/>
          <w:bCs/>
          <w:sz w:val="20"/>
        </w:rPr>
        <w:t>Damit hat Evonik nach nur 18 Monaten Laufzeit des Programms – zusammen mit den im Jahr 2012 umgesetzten Kostensenkungen – insgesamt bereits knapp 200 Millionen € der geplanten 500 Millionen € an jährlichen Einsparungen realisiert.</w:t>
      </w:r>
    </w:p>
    <w:p w:rsidR="006206A2" w:rsidRPr="007E6C17" w:rsidRDefault="006206A2" w:rsidP="007E6C17">
      <w:pPr>
        <w:pStyle w:val="EvonikStandard"/>
        <w:ind w:firstLine="0"/>
        <w:rPr>
          <w:rFonts w:cs="Lucida Sans Unicode"/>
          <w:bCs/>
          <w:sz w:val="20"/>
        </w:rPr>
      </w:pPr>
    </w:p>
    <w:p w:rsidR="007E6C17" w:rsidRDefault="007E6C17" w:rsidP="007E6C17">
      <w:pPr>
        <w:pStyle w:val="EvonikStandard"/>
        <w:ind w:firstLine="0"/>
        <w:rPr>
          <w:rFonts w:cs="Lucida Sans Unicode"/>
          <w:bCs/>
          <w:sz w:val="20"/>
        </w:rPr>
      </w:pPr>
      <w:r w:rsidRPr="007E6C17">
        <w:rPr>
          <w:rFonts w:cs="Lucida Sans Unicode"/>
          <w:bCs/>
          <w:sz w:val="20"/>
        </w:rPr>
        <w:t xml:space="preserve">Evonik wird die </w:t>
      </w:r>
      <w:r w:rsidR="000E6491">
        <w:rPr>
          <w:rFonts w:cs="Lucida Sans Unicode"/>
          <w:bCs/>
          <w:sz w:val="20"/>
        </w:rPr>
        <w:t xml:space="preserve">im Rahmen von </w:t>
      </w:r>
      <w:r w:rsidRPr="007E6C17">
        <w:rPr>
          <w:rFonts w:cs="Lucida Sans Unicode"/>
          <w:bCs/>
          <w:sz w:val="20"/>
        </w:rPr>
        <w:t xml:space="preserve">On Track 2.0 eingeleiteten Maßnahmen zur Effizienzsteigerung mit Nachdruck weiter vorantreiben. Vor dem Hintergrund der aktuellen weltwirtschaftlichen Entwicklung, die auch in der zweiten Jahreshälfte 2013 herausfordernd bleiben wird, </w:t>
      </w:r>
      <w:r w:rsidR="008014F7">
        <w:rPr>
          <w:rFonts w:cs="Lucida Sans Unicode"/>
          <w:bCs/>
          <w:sz w:val="20"/>
        </w:rPr>
        <w:t xml:space="preserve">hat Evonik zudem ein Kostenmanagementprojekt aufgesetzt mit dem Ziel, kurzfristige Einsparpotenziale zu identifizieren und mit sofortiger Wirkung zu realisieren. Der Schwerpunkt liegt dabei auf den nicht-operativen </w:t>
      </w:r>
      <w:r w:rsidR="00095CCC">
        <w:rPr>
          <w:rFonts w:cs="Lucida Sans Unicode"/>
          <w:bCs/>
          <w:sz w:val="20"/>
        </w:rPr>
        <w:t>Einheiten</w:t>
      </w:r>
      <w:r w:rsidR="008014F7">
        <w:rPr>
          <w:rFonts w:cs="Lucida Sans Unicode"/>
          <w:bCs/>
          <w:sz w:val="20"/>
        </w:rPr>
        <w:t>.</w:t>
      </w:r>
    </w:p>
    <w:p w:rsidR="006206A2" w:rsidRDefault="006206A2">
      <w:pPr>
        <w:spacing w:line="240" w:lineRule="auto"/>
        <w:ind w:left="0" w:right="0"/>
        <w:rPr>
          <w:rFonts w:eastAsia="Calibri" w:cs="Lucida Sans Unicode"/>
          <w:bCs/>
          <w:position w:val="0"/>
          <w:sz w:val="20"/>
          <w:szCs w:val="20"/>
          <w:lang w:eastAsia="en-US"/>
        </w:rPr>
      </w:pPr>
      <w:r>
        <w:rPr>
          <w:rFonts w:cs="Lucida Sans Unicode"/>
          <w:bCs/>
          <w:sz w:val="20"/>
        </w:rPr>
        <w:br w:type="page"/>
      </w:r>
    </w:p>
    <w:p w:rsidR="008A4429" w:rsidRPr="00E169B1" w:rsidRDefault="00706304" w:rsidP="00233F93">
      <w:pPr>
        <w:pStyle w:val="EvonikStandard"/>
        <w:ind w:firstLine="0"/>
        <w:rPr>
          <w:rFonts w:cs="Lucida Sans Unicode"/>
          <w:b/>
          <w:bCs/>
          <w:sz w:val="20"/>
        </w:rPr>
      </w:pPr>
      <w:r w:rsidRPr="00E169B1">
        <w:rPr>
          <w:rFonts w:cs="Lucida Sans Unicode"/>
          <w:b/>
          <w:bCs/>
          <w:sz w:val="20"/>
        </w:rPr>
        <w:lastRenderedPageBreak/>
        <w:t xml:space="preserve">Ausblick für das Geschäftsjahr 2013 </w:t>
      </w:r>
      <w:r w:rsidR="00B05D58">
        <w:rPr>
          <w:rFonts w:cs="Lucida Sans Unicode"/>
          <w:b/>
          <w:bCs/>
          <w:sz w:val="20"/>
        </w:rPr>
        <w:t xml:space="preserve">angepasst </w:t>
      </w:r>
    </w:p>
    <w:p w:rsidR="00174934" w:rsidRDefault="00174934" w:rsidP="00233F93">
      <w:pPr>
        <w:spacing w:line="300" w:lineRule="atLeast"/>
        <w:ind w:left="0"/>
        <w:rPr>
          <w:rFonts w:cs="Lucida Sans Unicode"/>
          <w:bCs/>
          <w:sz w:val="20"/>
        </w:rPr>
      </w:pPr>
    </w:p>
    <w:p w:rsidR="00C12008" w:rsidRDefault="00B05D58" w:rsidP="00233F93">
      <w:pPr>
        <w:spacing w:line="300" w:lineRule="atLeast"/>
        <w:ind w:left="0"/>
        <w:rPr>
          <w:rFonts w:cs="Lucida Sans Unicode"/>
          <w:bCs/>
          <w:sz w:val="20"/>
        </w:rPr>
      </w:pPr>
      <w:r w:rsidRPr="00B05D58">
        <w:rPr>
          <w:rFonts w:cs="Lucida Sans Unicode"/>
          <w:bCs/>
          <w:sz w:val="20"/>
        </w:rPr>
        <w:t xml:space="preserve">Die von </w:t>
      </w:r>
      <w:r w:rsidR="00F011AC">
        <w:rPr>
          <w:rFonts w:cs="Lucida Sans Unicode"/>
          <w:bCs/>
          <w:sz w:val="20"/>
        </w:rPr>
        <w:t>Evonik</w:t>
      </w:r>
      <w:r w:rsidRPr="00B05D58">
        <w:rPr>
          <w:rFonts w:cs="Lucida Sans Unicode"/>
          <w:bCs/>
          <w:sz w:val="20"/>
        </w:rPr>
        <w:t xml:space="preserve"> für </w:t>
      </w:r>
      <w:r>
        <w:rPr>
          <w:rFonts w:cs="Lucida Sans Unicode"/>
          <w:bCs/>
          <w:sz w:val="20"/>
        </w:rPr>
        <w:t xml:space="preserve">die zweite Jahreshälfte </w:t>
      </w:r>
      <w:r w:rsidRPr="00B05D58">
        <w:rPr>
          <w:rFonts w:cs="Lucida Sans Unicode"/>
          <w:bCs/>
          <w:sz w:val="20"/>
        </w:rPr>
        <w:t xml:space="preserve">erwartete Erholung der Weltkonjunktur fällt voraussichtlich weniger ausgeprägt aus als zu Jahresbeginn angenommen. Hauptgründe sind die Staatsschuldenkrise und ihre Auswirkungen in Europa sowie </w:t>
      </w:r>
      <w:r w:rsidR="0043315A">
        <w:rPr>
          <w:rFonts w:cs="Lucida Sans Unicode"/>
          <w:bCs/>
          <w:sz w:val="20"/>
        </w:rPr>
        <w:t>das deutlich geringere Wirtschaftswachstum in China.</w:t>
      </w:r>
      <w:r w:rsidRPr="00B05D58">
        <w:rPr>
          <w:rFonts w:cs="Lucida Sans Unicode"/>
          <w:bCs/>
          <w:sz w:val="20"/>
        </w:rPr>
        <w:t xml:space="preserve"> Daher geh</w:t>
      </w:r>
      <w:r w:rsidR="00F92DD8">
        <w:rPr>
          <w:rFonts w:cs="Lucida Sans Unicode"/>
          <w:bCs/>
          <w:sz w:val="20"/>
        </w:rPr>
        <w:t xml:space="preserve">t </w:t>
      </w:r>
      <w:r w:rsidR="008E6865">
        <w:rPr>
          <w:rFonts w:cs="Lucida Sans Unicode"/>
          <w:bCs/>
          <w:sz w:val="20"/>
        </w:rPr>
        <w:t>das Unternehmen</w:t>
      </w:r>
      <w:r w:rsidR="00F92DD8">
        <w:rPr>
          <w:rFonts w:cs="Lucida Sans Unicode"/>
          <w:bCs/>
          <w:sz w:val="20"/>
        </w:rPr>
        <w:t xml:space="preserve"> </w:t>
      </w:r>
      <w:r w:rsidRPr="00B05D58">
        <w:rPr>
          <w:rFonts w:cs="Lucida Sans Unicode"/>
          <w:bCs/>
          <w:sz w:val="20"/>
        </w:rPr>
        <w:t>nunmehr davon aus, dass die weltwirtschaftlichen Rahmenbedingungen für das Gesamtjahr 2013 schlechter sein werden als bisher prognostiziert.</w:t>
      </w:r>
      <w:r w:rsidR="00EF5295">
        <w:rPr>
          <w:rFonts w:cs="Lucida Sans Unicode"/>
          <w:bCs/>
          <w:sz w:val="20"/>
        </w:rPr>
        <w:t xml:space="preserve"> </w:t>
      </w:r>
      <w:r w:rsidR="00EF5295" w:rsidRPr="00EF5295">
        <w:rPr>
          <w:rFonts w:cs="Lucida Sans Unicode"/>
          <w:bCs/>
          <w:sz w:val="20"/>
        </w:rPr>
        <w:t xml:space="preserve">Infolge des schwächer als erwartet verlaufenen ersten Halbjahres sowie der gesenkten Erwartungen für das weltweite konjunkturelle Wachstum in der zweiten Jahreshälfte passt Evonik </w:t>
      </w:r>
      <w:r w:rsidR="00EF5295">
        <w:rPr>
          <w:rFonts w:cs="Lucida Sans Unicode"/>
          <w:bCs/>
          <w:sz w:val="20"/>
        </w:rPr>
        <w:t xml:space="preserve">daher </w:t>
      </w:r>
      <w:r w:rsidR="00EF5295" w:rsidRPr="00EF5295">
        <w:rPr>
          <w:rFonts w:cs="Lucida Sans Unicode"/>
          <w:bCs/>
          <w:sz w:val="20"/>
        </w:rPr>
        <w:t>den Ausblick für das Gesamtjahr an.</w:t>
      </w:r>
    </w:p>
    <w:p w:rsidR="00C12008" w:rsidRDefault="00C12008" w:rsidP="00233F93">
      <w:pPr>
        <w:spacing w:line="300" w:lineRule="atLeast"/>
        <w:ind w:left="0" w:firstLine="567"/>
        <w:rPr>
          <w:rFonts w:cs="Lucida Sans Unicode"/>
          <w:bCs/>
          <w:sz w:val="20"/>
        </w:rPr>
      </w:pPr>
    </w:p>
    <w:p w:rsidR="00B05D58" w:rsidRPr="00C12008" w:rsidRDefault="00C12008" w:rsidP="00233F93">
      <w:pPr>
        <w:spacing w:line="300" w:lineRule="atLeast"/>
        <w:ind w:left="0"/>
        <w:rPr>
          <w:rFonts w:cs="Lucida Sans Unicode"/>
          <w:bCs/>
          <w:sz w:val="20"/>
          <w:szCs w:val="20"/>
        </w:rPr>
      </w:pPr>
      <w:r w:rsidRPr="00C12008">
        <w:rPr>
          <w:sz w:val="20"/>
          <w:szCs w:val="20"/>
        </w:rPr>
        <w:t>Aufgrund der im März 2013 erfolgten Umgliederung des Segments Real Estate in die nicht fortgeführten Aktivitäten und der bevorstehenden Entkonsolidierung im dritten Quartal 2013 bezieh</w:t>
      </w:r>
      <w:r w:rsidR="00F850F3">
        <w:rPr>
          <w:sz w:val="20"/>
          <w:szCs w:val="20"/>
        </w:rPr>
        <w:t>t</w:t>
      </w:r>
      <w:r w:rsidRPr="00C12008">
        <w:rPr>
          <w:sz w:val="20"/>
          <w:szCs w:val="20"/>
        </w:rPr>
        <w:t xml:space="preserve"> </w:t>
      </w:r>
      <w:r w:rsidR="00F92DD8">
        <w:rPr>
          <w:sz w:val="20"/>
          <w:szCs w:val="20"/>
        </w:rPr>
        <w:t xml:space="preserve">sich </w:t>
      </w:r>
      <w:r w:rsidR="00542B1D">
        <w:rPr>
          <w:sz w:val="20"/>
          <w:szCs w:val="20"/>
        </w:rPr>
        <w:t xml:space="preserve">der Ausblick </w:t>
      </w:r>
      <w:r w:rsidRPr="00C12008">
        <w:rPr>
          <w:sz w:val="20"/>
          <w:szCs w:val="20"/>
        </w:rPr>
        <w:t>im Folgenden nur auf die fortgeführten Aktivitäten</w:t>
      </w:r>
      <w:r w:rsidR="00F92DD8">
        <w:rPr>
          <w:sz w:val="20"/>
          <w:szCs w:val="20"/>
        </w:rPr>
        <w:t xml:space="preserve">. </w:t>
      </w:r>
      <w:r w:rsidR="00542B1D">
        <w:rPr>
          <w:sz w:val="20"/>
          <w:szCs w:val="20"/>
        </w:rPr>
        <w:t xml:space="preserve">Die </w:t>
      </w:r>
      <w:r w:rsidRPr="00C12008">
        <w:rPr>
          <w:sz w:val="20"/>
          <w:szCs w:val="20"/>
        </w:rPr>
        <w:t xml:space="preserve">Vergleichswerte für 2012 </w:t>
      </w:r>
      <w:r w:rsidR="00F92DD8">
        <w:rPr>
          <w:sz w:val="20"/>
          <w:szCs w:val="20"/>
        </w:rPr>
        <w:t xml:space="preserve">wurden entsprechend </w:t>
      </w:r>
      <w:r w:rsidRPr="00C12008">
        <w:rPr>
          <w:sz w:val="20"/>
          <w:szCs w:val="20"/>
        </w:rPr>
        <w:t xml:space="preserve">angepasst. </w:t>
      </w:r>
    </w:p>
    <w:p w:rsidR="00C12008" w:rsidRDefault="00C12008" w:rsidP="00233F93">
      <w:pPr>
        <w:pStyle w:val="EvonikStandard"/>
        <w:ind w:firstLine="0"/>
        <w:rPr>
          <w:rFonts w:cs="Lucida Sans Unicode"/>
          <w:bCs/>
          <w:sz w:val="20"/>
        </w:rPr>
      </w:pPr>
    </w:p>
    <w:p w:rsidR="00B05D58" w:rsidRDefault="00B05D58" w:rsidP="00233F93">
      <w:pPr>
        <w:pStyle w:val="EvonikStandard"/>
        <w:ind w:firstLine="0"/>
        <w:rPr>
          <w:rFonts w:cs="Lucida Sans Unicode"/>
          <w:bCs/>
          <w:sz w:val="20"/>
        </w:rPr>
      </w:pPr>
      <w:r w:rsidRPr="00B05D58">
        <w:rPr>
          <w:rFonts w:cs="Lucida Sans Unicode"/>
          <w:bCs/>
          <w:sz w:val="20"/>
        </w:rPr>
        <w:t>Für die zweite Jahreshälfte 2013 geh</w:t>
      </w:r>
      <w:r w:rsidR="00F92DD8">
        <w:rPr>
          <w:rFonts w:cs="Lucida Sans Unicode"/>
          <w:bCs/>
          <w:sz w:val="20"/>
        </w:rPr>
        <w:t>t Evonik</w:t>
      </w:r>
      <w:r w:rsidRPr="00B05D58">
        <w:rPr>
          <w:rFonts w:cs="Lucida Sans Unicode"/>
          <w:bCs/>
          <w:sz w:val="20"/>
        </w:rPr>
        <w:t xml:space="preserve"> von einer leicht über dem Vorjahr liegenden Mengenentwicklung aus. Bei den Verkaufspreisen unterstell</w:t>
      </w:r>
      <w:r w:rsidR="00F92DD8">
        <w:rPr>
          <w:rFonts w:cs="Lucida Sans Unicode"/>
          <w:bCs/>
          <w:sz w:val="20"/>
        </w:rPr>
        <w:t>t das Unternehmen</w:t>
      </w:r>
      <w:r w:rsidRPr="00B05D58">
        <w:rPr>
          <w:rFonts w:cs="Lucida Sans Unicode"/>
          <w:bCs/>
          <w:sz w:val="20"/>
        </w:rPr>
        <w:t xml:space="preserve"> eine Stabilisierung auf dem derzeitigen Niveau. Insgesamt erwarte</w:t>
      </w:r>
      <w:r w:rsidR="00F92DD8">
        <w:rPr>
          <w:rFonts w:cs="Lucida Sans Unicode"/>
          <w:bCs/>
          <w:sz w:val="20"/>
        </w:rPr>
        <w:t xml:space="preserve">t der Konzern </w:t>
      </w:r>
      <w:r w:rsidRPr="00B05D58">
        <w:rPr>
          <w:rFonts w:cs="Lucida Sans Unicode"/>
          <w:bCs/>
          <w:sz w:val="20"/>
        </w:rPr>
        <w:t xml:space="preserve">für 2013 nun einen mit </w:t>
      </w:r>
      <w:r w:rsidR="00EF5295">
        <w:rPr>
          <w:rFonts w:cs="Lucida Sans Unicode"/>
          <w:bCs/>
          <w:sz w:val="20"/>
        </w:rPr>
        <w:t>rund</w:t>
      </w:r>
      <w:r w:rsidRPr="00B05D58">
        <w:rPr>
          <w:rFonts w:cs="Lucida Sans Unicode"/>
          <w:bCs/>
          <w:sz w:val="20"/>
        </w:rPr>
        <w:t xml:space="preserve"> 13 Milliarden € etwa auf Vorjahreshöhe liegenden Umsatz. Die operativen Ergebnisse werden unter den sehr guten Werten von 2012 bleiben</w:t>
      </w:r>
      <w:r w:rsidR="007E7170">
        <w:rPr>
          <w:rFonts w:cs="Lucida Sans Unicode"/>
          <w:bCs/>
          <w:sz w:val="20"/>
        </w:rPr>
        <w:t>.</w:t>
      </w:r>
      <w:r w:rsidRPr="00B05D58">
        <w:rPr>
          <w:rFonts w:cs="Lucida Sans Unicode"/>
          <w:bCs/>
          <w:sz w:val="20"/>
        </w:rPr>
        <w:t xml:space="preserve"> </w:t>
      </w:r>
      <w:r w:rsidR="00F92DD8">
        <w:rPr>
          <w:rFonts w:cs="Lucida Sans Unicode"/>
          <w:bCs/>
          <w:sz w:val="20"/>
        </w:rPr>
        <w:t xml:space="preserve">Evonik geht </w:t>
      </w:r>
      <w:r w:rsidRPr="00B05D58">
        <w:rPr>
          <w:rFonts w:cs="Lucida Sans Unicode"/>
          <w:bCs/>
          <w:sz w:val="20"/>
        </w:rPr>
        <w:t xml:space="preserve">davon aus, </w:t>
      </w:r>
      <w:r w:rsidR="00913620">
        <w:rPr>
          <w:rFonts w:cs="Lucida Sans Unicode"/>
          <w:bCs/>
          <w:sz w:val="20"/>
        </w:rPr>
        <w:t xml:space="preserve">2013 </w:t>
      </w:r>
      <w:r w:rsidRPr="00B05D58">
        <w:rPr>
          <w:rFonts w:cs="Lucida Sans Unicode"/>
          <w:bCs/>
          <w:sz w:val="20"/>
        </w:rPr>
        <w:t xml:space="preserve">ein bereinigtes EBITDA in der Größenordnung von 2,0 Milliarden € </w:t>
      </w:r>
      <w:r w:rsidR="00913620">
        <w:rPr>
          <w:rFonts w:cs="Lucida Sans Unicode"/>
          <w:bCs/>
          <w:sz w:val="20"/>
        </w:rPr>
        <w:t xml:space="preserve">(2012: 2,4 Milliarden €) </w:t>
      </w:r>
      <w:r w:rsidRPr="00B05D58">
        <w:rPr>
          <w:rFonts w:cs="Lucida Sans Unicode"/>
          <w:bCs/>
          <w:sz w:val="20"/>
        </w:rPr>
        <w:t xml:space="preserve">zu erzielen. </w:t>
      </w:r>
    </w:p>
    <w:p w:rsidR="00B05D58" w:rsidRDefault="00B05D58" w:rsidP="00B05D58">
      <w:pPr>
        <w:pStyle w:val="EvonikStandard"/>
        <w:ind w:firstLine="0"/>
        <w:rPr>
          <w:rFonts w:cs="Lucida Sans Unicode"/>
          <w:bCs/>
          <w:sz w:val="20"/>
        </w:rPr>
      </w:pPr>
    </w:p>
    <w:p w:rsidR="00EF5295" w:rsidRDefault="008014F7" w:rsidP="00B05D58">
      <w:pPr>
        <w:pStyle w:val="EvonikStandard"/>
        <w:ind w:firstLine="0"/>
        <w:rPr>
          <w:rFonts w:cs="Lucida Sans Unicode"/>
          <w:bCs/>
          <w:sz w:val="20"/>
        </w:rPr>
      </w:pPr>
      <w:r>
        <w:rPr>
          <w:rFonts w:cs="Lucida Sans Unicode"/>
          <w:bCs/>
          <w:sz w:val="20"/>
        </w:rPr>
        <w:t xml:space="preserve">Im Rahmen seines Wachstumskurses setzt Evonik das Investitionsprogramm für die Jahre 2012 bis 2016 von mehr als 6 Milliarden € fort. Die Flexibilität in der Umsetzung </w:t>
      </w:r>
      <w:r w:rsidR="007F5535">
        <w:rPr>
          <w:rFonts w:cs="Lucida Sans Unicode"/>
          <w:bCs/>
          <w:sz w:val="20"/>
        </w:rPr>
        <w:t xml:space="preserve">des Programms </w:t>
      </w:r>
      <w:r>
        <w:rPr>
          <w:rFonts w:cs="Lucida Sans Unicode"/>
          <w:bCs/>
          <w:sz w:val="20"/>
        </w:rPr>
        <w:t>erlaubt es im laufenden Jahr, das Budget für Sachinvestitionen von 1,5 Milliarden € auf 1,2 Mrd. € anzupassen und zeitlich zu strecken. Grundsätzlich gilt, dass das Unternehmen noch nicht begonnene Projekte vor dem Hintergrund veränderter Marktgegebenheiten der nächsten Jahre überprüf</w:t>
      </w:r>
      <w:r w:rsidR="00EA13B4">
        <w:rPr>
          <w:rFonts w:cs="Lucida Sans Unicode"/>
          <w:bCs/>
          <w:sz w:val="20"/>
        </w:rPr>
        <w:t>t</w:t>
      </w:r>
      <w:r>
        <w:rPr>
          <w:rFonts w:cs="Lucida Sans Unicode"/>
          <w:bCs/>
          <w:sz w:val="20"/>
        </w:rPr>
        <w:t xml:space="preserve"> und gegebenenfalls den </w:t>
      </w:r>
      <w:r w:rsidR="00EA13B4">
        <w:rPr>
          <w:rFonts w:cs="Lucida Sans Unicode"/>
          <w:bCs/>
          <w:sz w:val="20"/>
        </w:rPr>
        <w:t>Anlaufzeitpunkt verschiebt.</w:t>
      </w:r>
    </w:p>
    <w:p w:rsidR="00EF5295" w:rsidRDefault="00EF5295">
      <w:pPr>
        <w:spacing w:line="240" w:lineRule="auto"/>
        <w:ind w:left="0" w:right="0"/>
        <w:rPr>
          <w:rFonts w:eastAsia="Calibri" w:cs="Lucida Sans Unicode"/>
          <w:bCs/>
          <w:position w:val="0"/>
          <w:sz w:val="20"/>
          <w:szCs w:val="20"/>
          <w:lang w:eastAsia="en-US"/>
        </w:rPr>
      </w:pPr>
      <w:r>
        <w:rPr>
          <w:rFonts w:cs="Lucida Sans Unicode"/>
          <w:bCs/>
          <w:sz w:val="20"/>
        </w:rPr>
        <w:br w:type="page"/>
      </w:r>
    </w:p>
    <w:p w:rsidR="00706304" w:rsidRPr="00362FA3" w:rsidRDefault="00706304" w:rsidP="00B05D58">
      <w:pPr>
        <w:pStyle w:val="EvonikStandard"/>
        <w:ind w:firstLine="0"/>
        <w:rPr>
          <w:rFonts w:cs="Lucida Sans Unicode"/>
          <w:bCs/>
          <w:sz w:val="20"/>
        </w:rPr>
      </w:pPr>
    </w:p>
    <w:p w:rsidR="004A065A" w:rsidRDefault="004A065A" w:rsidP="004A065A">
      <w:pPr>
        <w:spacing w:after="120" w:line="300" w:lineRule="atLeast"/>
        <w:ind w:left="0"/>
        <w:rPr>
          <w:rFonts w:cs="Lucida Sans Unicode"/>
          <w:b/>
          <w:bCs/>
          <w:sz w:val="20"/>
          <w:szCs w:val="20"/>
        </w:rPr>
      </w:pPr>
      <w:r>
        <w:rPr>
          <w:rFonts w:cs="Lucida Sans Unicode"/>
          <w:b/>
          <w:bCs/>
          <w:sz w:val="20"/>
          <w:szCs w:val="20"/>
        </w:rPr>
        <w:t>Evonik-Konzern: Ergebnisrechnung im Überblick</w:t>
      </w:r>
    </w:p>
    <w:tbl>
      <w:tblPr>
        <w:tblW w:w="1008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823"/>
        <w:gridCol w:w="983"/>
        <w:gridCol w:w="984"/>
        <w:gridCol w:w="823"/>
        <w:gridCol w:w="881"/>
        <w:gridCol w:w="984"/>
      </w:tblGrid>
      <w:tr w:rsidR="004A065A" w:rsidTr="00542B1D">
        <w:trPr>
          <w:trHeight w:val="510"/>
        </w:trPr>
        <w:tc>
          <w:tcPr>
            <w:tcW w:w="4605" w:type="dxa"/>
            <w:shd w:val="clear" w:color="auto" w:fill="auto"/>
            <w:noWrap/>
            <w:vAlign w:val="center"/>
          </w:tcPr>
          <w:p w:rsidR="004A065A" w:rsidRDefault="004A065A" w:rsidP="00542B1D">
            <w:pPr>
              <w:ind w:left="-55"/>
              <w:rPr>
                <w:rFonts w:cs="Lucida Sans Unicode"/>
                <w:b/>
                <w:bCs/>
                <w:szCs w:val="20"/>
              </w:rPr>
            </w:pPr>
            <w:r>
              <w:rPr>
                <w:rFonts w:cs="Lucida Sans Unicode"/>
                <w:b/>
                <w:bCs/>
                <w:szCs w:val="20"/>
              </w:rPr>
              <w:t>(in Mio. €)</w:t>
            </w:r>
          </w:p>
        </w:tc>
        <w:tc>
          <w:tcPr>
            <w:tcW w:w="823" w:type="dxa"/>
            <w:shd w:val="clear" w:color="auto" w:fill="CCCCCC"/>
            <w:vAlign w:val="center"/>
          </w:tcPr>
          <w:p w:rsidR="004A065A" w:rsidRDefault="004A065A" w:rsidP="00542B1D">
            <w:pPr>
              <w:jc w:val="center"/>
              <w:rPr>
                <w:rFonts w:cs="Lucida Sans Unicode"/>
                <w:b/>
                <w:bCs/>
                <w:szCs w:val="20"/>
              </w:rPr>
            </w:pPr>
            <w:r>
              <w:rPr>
                <w:rFonts w:cs="Lucida Sans Unicode"/>
                <w:b/>
                <w:bCs/>
                <w:szCs w:val="20"/>
              </w:rPr>
              <w:t>Q2 2013</w:t>
            </w:r>
          </w:p>
        </w:tc>
        <w:tc>
          <w:tcPr>
            <w:tcW w:w="983" w:type="dxa"/>
            <w:shd w:val="clear" w:color="auto" w:fill="auto"/>
            <w:vAlign w:val="center"/>
          </w:tcPr>
          <w:p w:rsidR="004A065A" w:rsidRDefault="004A065A" w:rsidP="00542B1D">
            <w:pPr>
              <w:jc w:val="center"/>
              <w:rPr>
                <w:rFonts w:cs="Lucida Sans Unicode"/>
                <w:b/>
                <w:bCs/>
                <w:szCs w:val="20"/>
              </w:rPr>
            </w:pPr>
            <w:r>
              <w:rPr>
                <w:rFonts w:cs="Lucida Sans Unicode"/>
                <w:b/>
                <w:bCs/>
                <w:szCs w:val="20"/>
              </w:rPr>
              <w:t xml:space="preserve">Q2  </w:t>
            </w:r>
            <w:r>
              <w:rPr>
                <w:rFonts w:cs="Lucida Sans Unicode"/>
                <w:b/>
                <w:bCs/>
                <w:szCs w:val="20"/>
              </w:rPr>
              <w:br/>
              <w:t xml:space="preserve"> 2012</w:t>
            </w:r>
          </w:p>
        </w:tc>
        <w:tc>
          <w:tcPr>
            <w:tcW w:w="984" w:type="dxa"/>
            <w:shd w:val="clear" w:color="auto" w:fill="auto"/>
            <w:vAlign w:val="center"/>
          </w:tcPr>
          <w:p w:rsidR="004A065A" w:rsidRDefault="004A065A" w:rsidP="00542B1D">
            <w:pPr>
              <w:jc w:val="center"/>
              <w:rPr>
                <w:rFonts w:cs="Lucida Sans Unicode"/>
                <w:b/>
                <w:bCs/>
                <w:spacing w:val="-6"/>
                <w:szCs w:val="20"/>
              </w:rPr>
            </w:pPr>
            <w:r>
              <w:rPr>
                <w:rFonts w:cs="Lucida Sans Unicode"/>
                <w:b/>
                <w:bCs/>
                <w:spacing w:val="-6"/>
                <w:szCs w:val="20"/>
              </w:rPr>
              <w:t xml:space="preserve">Veränd. </w:t>
            </w:r>
            <w:r>
              <w:rPr>
                <w:rFonts w:cs="Lucida Sans Unicode"/>
                <w:b/>
                <w:bCs/>
                <w:spacing w:val="-6"/>
                <w:szCs w:val="20"/>
              </w:rPr>
              <w:br/>
              <w:t>in %</w:t>
            </w:r>
          </w:p>
        </w:tc>
        <w:tc>
          <w:tcPr>
            <w:tcW w:w="823" w:type="dxa"/>
            <w:shd w:val="clear" w:color="auto" w:fill="CCCCCC"/>
            <w:vAlign w:val="center"/>
          </w:tcPr>
          <w:p w:rsidR="004A065A" w:rsidRDefault="004A065A" w:rsidP="00542B1D">
            <w:pPr>
              <w:jc w:val="center"/>
              <w:rPr>
                <w:rFonts w:cs="Lucida Sans Unicode"/>
                <w:b/>
                <w:bCs/>
                <w:szCs w:val="20"/>
              </w:rPr>
            </w:pPr>
            <w:r>
              <w:rPr>
                <w:rFonts w:cs="Lucida Sans Unicode"/>
                <w:b/>
                <w:bCs/>
                <w:szCs w:val="20"/>
              </w:rPr>
              <w:t>H1</w:t>
            </w:r>
          </w:p>
          <w:p w:rsidR="004A065A" w:rsidRDefault="004A065A" w:rsidP="00542B1D">
            <w:pPr>
              <w:jc w:val="center"/>
              <w:rPr>
                <w:rFonts w:cs="Lucida Sans Unicode"/>
                <w:b/>
                <w:bCs/>
                <w:szCs w:val="20"/>
              </w:rPr>
            </w:pPr>
            <w:r>
              <w:rPr>
                <w:rFonts w:cs="Lucida Sans Unicode"/>
                <w:b/>
                <w:bCs/>
                <w:szCs w:val="20"/>
              </w:rPr>
              <w:t>2013</w:t>
            </w:r>
          </w:p>
        </w:tc>
        <w:tc>
          <w:tcPr>
            <w:tcW w:w="881" w:type="dxa"/>
            <w:shd w:val="clear" w:color="auto" w:fill="auto"/>
            <w:vAlign w:val="center"/>
          </w:tcPr>
          <w:p w:rsidR="004A065A" w:rsidRDefault="004A065A" w:rsidP="00542B1D">
            <w:pPr>
              <w:jc w:val="center"/>
              <w:rPr>
                <w:rFonts w:cs="Lucida Sans Unicode"/>
                <w:b/>
                <w:bCs/>
                <w:szCs w:val="20"/>
              </w:rPr>
            </w:pPr>
            <w:r>
              <w:rPr>
                <w:rFonts w:cs="Lucida Sans Unicode"/>
                <w:b/>
                <w:bCs/>
                <w:szCs w:val="20"/>
              </w:rPr>
              <w:t>H1</w:t>
            </w:r>
          </w:p>
          <w:p w:rsidR="004A065A" w:rsidRDefault="004A065A" w:rsidP="00542B1D">
            <w:pPr>
              <w:jc w:val="center"/>
              <w:rPr>
                <w:rFonts w:cs="Lucida Sans Unicode"/>
                <w:b/>
                <w:bCs/>
                <w:szCs w:val="20"/>
              </w:rPr>
            </w:pPr>
            <w:r>
              <w:rPr>
                <w:rFonts w:cs="Lucida Sans Unicode"/>
                <w:b/>
                <w:bCs/>
                <w:szCs w:val="20"/>
              </w:rPr>
              <w:t>2012</w:t>
            </w:r>
          </w:p>
        </w:tc>
        <w:tc>
          <w:tcPr>
            <w:tcW w:w="984" w:type="dxa"/>
            <w:shd w:val="clear" w:color="auto" w:fill="auto"/>
            <w:vAlign w:val="center"/>
          </w:tcPr>
          <w:p w:rsidR="004A065A" w:rsidRDefault="004A065A" w:rsidP="00542B1D">
            <w:pPr>
              <w:jc w:val="center"/>
              <w:rPr>
                <w:rFonts w:cs="Lucida Sans Unicode"/>
                <w:b/>
                <w:bCs/>
                <w:spacing w:val="-6"/>
                <w:szCs w:val="20"/>
              </w:rPr>
            </w:pPr>
            <w:r>
              <w:rPr>
                <w:rFonts w:cs="Lucida Sans Unicode"/>
                <w:b/>
                <w:bCs/>
                <w:spacing w:val="-6"/>
                <w:szCs w:val="20"/>
              </w:rPr>
              <w:t xml:space="preserve">Veränd. </w:t>
            </w:r>
            <w:r>
              <w:rPr>
                <w:rFonts w:cs="Lucida Sans Unicode"/>
                <w:b/>
                <w:bCs/>
                <w:spacing w:val="-6"/>
                <w:szCs w:val="20"/>
              </w:rPr>
              <w:br/>
              <w:t>in %</w:t>
            </w:r>
          </w:p>
        </w:tc>
      </w:tr>
      <w:tr w:rsidR="004A065A" w:rsidTr="00542B1D">
        <w:trPr>
          <w:trHeight w:val="300"/>
        </w:trPr>
        <w:tc>
          <w:tcPr>
            <w:tcW w:w="4605" w:type="dxa"/>
            <w:shd w:val="clear" w:color="auto" w:fill="auto"/>
            <w:noWrap/>
            <w:vAlign w:val="bottom"/>
          </w:tcPr>
          <w:p w:rsidR="004A065A" w:rsidRDefault="004A065A" w:rsidP="00542B1D">
            <w:pPr>
              <w:ind w:left="-55"/>
              <w:rPr>
                <w:rFonts w:cs="Lucida Sans Unicode"/>
                <w:position w:val="0"/>
                <w:szCs w:val="20"/>
              </w:rPr>
            </w:pPr>
            <w:r>
              <w:rPr>
                <w:rFonts w:cs="Lucida Sans Unicode"/>
                <w:position w:val="0"/>
                <w:szCs w:val="20"/>
              </w:rPr>
              <w:t>Umsatzerlöse</w:t>
            </w:r>
          </w:p>
        </w:tc>
        <w:tc>
          <w:tcPr>
            <w:tcW w:w="823" w:type="dxa"/>
            <w:shd w:val="clear" w:color="auto" w:fill="CCCCCC"/>
            <w:noWrap/>
            <w:vAlign w:val="bottom"/>
          </w:tcPr>
          <w:p w:rsidR="004A065A" w:rsidRDefault="00542B1D" w:rsidP="00542B1D">
            <w:pPr>
              <w:jc w:val="right"/>
              <w:rPr>
                <w:rFonts w:cs="Lucida Sans Unicode"/>
                <w:position w:val="0"/>
                <w:szCs w:val="20"/>
              </w:rPr>
            </w:pPr>
            <w:r>
              <w:rPr>
                <w:rFonts w:cs="Lucida Sans Unicode"/>
                <w:position w:val="0"/>
                <w:szCs w:val="20"/>
              </w:rPr>
              <w:t>3.263</w:t>
            </w:r>
          </w:p>
        </w:tc>
        <w:tc>
          <w:tcPr>
            <w:tcW w:w="983" w:type="dxa"/>
            <w:shd w:val="clear" w:color="auto" w:fill="auto"/>
            <w:noWrap/>
            <w:vAlign w:val="bottom"/>
          </w:tcPr>
          <w:p w:rsidR="004A065A" w:rsidRDefault="00542B1D" w:rsidP="00542B1D">
            <w:pPr>
              <w:jc w:val="right"/>
              <w:rPr>
                <w:rFonts w:cs="Lucida Sans Unicode"/>
                <w:position w:val="0"/>
                <w:szCs w:val="20"/>
              </w:rPr>
            </w:pPr>
            <w:r>
              <w:rPr>
                <w:rFonts w:cs="Lucida Sans Unicode"/>
                <w:position w:val="0"/>
                <w:szCs w:val="20"/>
              </w:rPr>
              <w:t>3.428</w:t>
            </w:r>
          </w:p>
        </w:tc>
        <w:tc>
          <w:tcPr>
            <w:tcW w:w="984" w:type="dxa"/>
            <w:shd w:val="clear" w:color="auto" w:fill="auto"/>
            <w:noWrap/>
            <w:vAlign w:val="bottom"/>
          </w:tcPr>
          <w:p w:rsidR="004A065A" w:rsidRDefault="00902268" w:rsidP="00542B1D">
            <w:pPr>
              <w:jc w:val="right"/>
              <w:rPr>
                <w:rFonts w:cs="Lucida Sans Unicode"/>
                <w:position w:val="0"/>
                <w:szCs w:val="20"/>
              </w:rPr>
            </w:pPr>
            <w:r>
              <w:rPr>
                <w:rFonts w:cs="Lucida Sans Unicode"/>
                <w:position w:val="0"/>
                <w:szCs w:val="20"/>
              </w:rPr>
              <w:t>-5</w:t>
            </w:r>
          </w:p>
        </w:tc>
        <w:tc>
          <w:tcPr>
            <w:tcW w:w="823" w:type="dxa"/>
            <w:shd w:val="clear" w:color="auto" w:fill="CCCCCC"/>
            <w:noWrap/>
            <w:vAlign w:val="bottom"/>
          </w:tcPr>
          <w:p w:rsidR="004A065A" w:rsidRDefault="002B19DA" w:rsidP="00542B1D">
            <w:pPr>
              <w:jc w:val="right"/>
              <w:rPr>
                <w:rFonts w:cs="Lucida Sans Unicode"/>
                <w:position w:val="0"/>
                <w:szCs w:val="20"/>
              </w:rPr>
            </w:pPr>
            <w:r>
              <w:rPr>
                <w:rFonts w:cs="Lucida Sans Unicode"/>
                <w:position w:val="0"/>
                <w:szCs w:val="20"/>
              </w:rPr>
              <w:t>6.526</w:t>
            </w:r>
          </w:p>
        </w:tc>
        <w:tc>
          <w:tcPr>
            <w:tcW w:w="881" w:type="dxa"/>
            <w:shd w:val="clear" w:color="auto" w:fill="auto"/>
            <w:noWrap/>
            <w:vAlign w:val="bottom"/>
          </w:tcPr>
          <w:p w:rsidR="004A065A" w:rsidRDefault="002B19DA" w:rsidP="00542B1D">
            <w:pPr>
              <w:jc w:val="right"/>
              <w:rPr>
                <w:rFonts w:cs="Lucida Sans Unicode"/>
                <w:position w:val="0"/>
                <w:szCs w:val="20"/>
              </w:rPr>
            </w:pPr>
            <w:r>
              <w:rPr>
                <w:rFonts w:cs="Lucida Sans Unicode"/>
                <w:position w:val="0"/>
                <w:szCs w:val="20"/>
              </w:rPr>
              <w:t>6.835</w:t>
            </w:r>
          </w:p>
        </w:tc>
        <w:tc>
          <w:tcPr>
            <w:tcW w:w="984" w:type="dxa"/>
            <w:shd w:val="clear" w:color="auto" w:fill="auto"/>
            <w:noWrap/>
            <w:vAlign w:val="bottom"/>
          </w:tcPr>
          <w:p w:rsidR="004A065A" w:rsidRDefault="002B19DA" w:rsidP="00542B1D">
            <w:pPr>
              <w:jc w:val="right"/>
              <w:rPr>
                <w:rFonts w:cs="Lucida Sans Unicode"/>
                <w:position w:val="0"/>
                <w:szCs w:val="20"/>
              </w:rPr>
            </w:pPr>
            <w:r>
              <w:rPr>
                <w:rFonts w:cs="Lucida Sans Unicode"/>
                <w:position w:val="0"/>
                <w:szCs w:val="20"/>
              </w:rPr>
              <w:t>-5</w:t>
            </w:r>
          </w:p>
        </w:tc>
      </w:tr>
      <w:tr w:rsidR="004A065A" w:rsidTr="00542B1D">
        <w:trPr>
          <w:trHeight w:val="300"/>
        </w:trPr>
        <w:tc>
          <w:tcPr>
            <w:tcW w:w="4605" w:type="dxa"/>
            <w:shd w:val="clear" w:color="auto" w:fill="auto"/>
            <w:noWrap/>
            <w:vAlign w:val="bottom"/>
          </w:tcPr>
          <w:p w:rsidR="004A065A" w:rsidRDefault="004A065A" w:rsidP="00542B1D">
            <w:pPr>
              <w:ind w:left="-55"/>
              <w:rPr>
                <w:rFonts w:cs="Lucida Sans Unicode"/>
                <w:position w:val="0"/>
                <w:szCs w:val="20"/>
              </w:rPr>
            </w:pPr>
            <w:r>
              <w:rPr>
                <w:rFonts w:cs="Lucida Sans Unicode"/>
                <w:position w:val="0"/>
                <w:szCs w:val="20"/>
              </w:rPr>
              <w:t>Bereinigtes EBITDA</w:t>
            </w:r>
          </w:p>
        </w:tc>
        <w:tc>
          <w:tcPr>
            <w:tcW w:w="823" w:type="dxa"/>
            <w:shd w:val="clear" w:color="auto" w:fill="CCCCCC"/>
            <w:noWrap/>
            <w:vAlign w:val="bottom"/>
          </w:tcPr>
          <w:p w:rsidR="004A065A" w:rsidRDefault="00542B1D" w:rsidP="00542B1D">
            <w:pPr>
              <w:jc w:val="right"/>
              <w:rPr>
                <w:rFonts w:cs="Lucida Sans Unicode"/>
                <w:position w:val="0"/>
                <w:szCs w:val="20"/>
              </w:rPr>
            </w:pPr>
            <w:r>
              <w:rPr>
                <w:rFonts w:cs="Lucida Sans Unicode"/>
                <w:position w:val="0"/>
                <w:szCs w:val="20"/>
              </w:rPr>
              <w:t>489</w:t>
            </w:r>
          </w:p>
        </w:tc>
        <w:tc>
          <w:tcPr>
            <w:tcW w:w="983" w:type="dxa"/>
            <w:shd w:val="clear" w:color="auto" w:fill="auto"/>
            <w:noWrap/>
            <w:vAlign w:val="bottom"/>
          </w:tcPr>
          <w:p w:rsidR="004A065A" w:rsidRDefault="00542B1D" w:rsidP="00542B1D">
            <w:pPr>
              <w:jc w:val="right"/>
              <w:rPr>
                <w:rFonts w:cs="Lucida Sans Unicode"/>
                <w:position w:val="0"/>
                <w:szCs w:val="20"/>
              </w:rPr>
            </w:pPr>
            <w:r>
              <w:rPr>
                <w:rFonts w:cs="Lucida Sans Unicode"/>
                <w:position w:val="0"/>
                <w:szCs w:val="20"/>
              </w:rPr>
              <w:t>632</w:t>
            </w:r>
          </w:p>
        </w:tc>
        <w:tc>
          <w:tcPr>
            <w:tcW w:w="984" w:type="dxa"/>
            <w:shd w:val="clear" w:color="auto" w:fill="auto"/>
            <w:noWrap/>
            <w:vAlign w:val="bottom"/>
          </w:tcPr>
          <w:p w:rsidR="004A065A" w:rsidRDefault="00902268" w:rsidP="00542B1D">
            <w:pPr>
              <w:jc w:val="right"/>
              <w:rPr>
                <w:rFonts w:cs="Lucida Sans Unicode"/>
                <w:position w:val="0"/>
                <w:szCs w:val="20"/>
              </w:rPr>
            </w:pPr>
            <w:r>
              <w:rPr>
                <w:rFonts w:cs="Lucida Sans Unicode"/>
                <w:position w:val="0"/>
                <w:szCs w:val="20"/>
              </w:rPr>
              <w:t>-23</w:t>
            </w:r>
          </w:p>
        </w:tc>
        <w:tc>
          <w:tcPr>
            <w:tcW w:w="823" w:type="dxa"/>
            <w:shd w:val="clear" w:color="auto" w:fill="CCCCCC"/>
            <w:noWrap/>
            <w:vAlign w:val="bottom"/>
          </w:tcPr>
          <w:p w:rsidR="004A065A" w:rsidRDefault="008B14B1" w:rsidP="00542B1D">
            <w:pPr>
              <w:jc w:val="right"/>
              <w:rPr>
                <w:rFonts w:cs="Lucida Sans Unicode"/>
                <w:position w:val="0"/>
                <w:szCs w:val="20"/>
              </w:rPr>
            </w:pPr>
            <w:r>
              <w:rPr>
                <w:rFonts w:cs="Lucida Sans Unicode"/>
                <w:position w:val="0"/>
                <w:szCs w:val="20"/>
              </w:rPr>
              <w:t>1.079</w:t>
            </w:r>
          </w:p>
        </w:tc>
        <w:tc>
          <w:tcPr>
            <w:tcW w:w="881" w:type="dxa"/>
            <w:shd w:val="clear" w:color="auto" w:fill="auto"/>
            <w:noWrap/>
            <w:vAlign w:val="bottom"/>
          </w:tcPr>
          <w:p w:rsidR="004A065A" w:rsidRDefault="008B14B1" w:rsidP="00542B1D">
            <w:pPr>
              <w:jc w:val="right"/>
              <w:rPr>
                <w:rFonts w:cs="Lucida Sans Unicode"/>
                <w:position w:val="0"/>
                <w:szCs w:val="20"/>
              </w:rPr>
            </w:pPr>
            <w:r>
              <w:rPr>
                <w:rFonts w:cs="Lucida Sans Unicode"/>
                <w:position w:val="0"/>
                <w:szCs w:val="20"/>
              </w:rPr>
              <w:t>1.289</w:t>
            </w:r>
          </w:p>
        </w:tc>
        <w:tc>
          <w:tcPr>
            <w:tcW w:w="984" w:type="dxa"/>
            <w:shd w:val="clear" w:color="auto" w:fill="auto"/>
            <w:noWrap/>
            <w:vAlign w:val="bottom"/>
          </w:tcPr>
          <w:p w:rsidR="004A065A" w:rsidRDefault="008B14B1" w:rsidP="00542B1D">
            <w:pPr>
              <w:jc w:val="right"/>
              <w:rPr>
                <w:rFonts w:cs="Lucida Sans Unicode"/>
                <w:position w:val="0"/>
                <w:szCs w:val="20"/>
              </w:rPr>
            </w:pPr>
            <w:r>
              <w:rPr>
                <w:rFonts w:cs="Lucida Sans Unicode"/>
                <w:position w:val="0"/>
                <w:szCs w:val="20"/>
              </w:rPr>
              <w:t>-16</w:t>
            </w:r>
          </w:p>
        </w:tc>
      </w:tr>
      <w:tr w:rsidR="004A065A" w:rsidTr="00542B1D">
        <w:trPr>
          <w:trHeight w:val="300"/>
        </w:trPr>
        <w:tc>
          <w:tcPr>
            <w:tcW w:w="4605" w:type="dxa"/>
            <w:shd w:val="clear" w:color="auto" w:fill="auto"/>
            <w:noWrap/>
            <w:vAlign w:val="bottom"/>
          </w:tcPr>
          <w:p w:rsidR="004A065A" w:rsidRDefault="004A065A" w:rsidP="00542B1D">
            <w:pPr>
              <w:ind w:left="-55"/>
              <w:rPr>
                <w:rFonts w:cs="Lucida Sans Unicode"/>
                <w:position w:val="0"/>
                <w:szCs w:val="20"/>
              </w:rPr>
            </w:pPr>
            <w:r>
              <w:rPr>
                <w:rFonts w:cs="Lucida Sans Unicode"/>
                <w:position w:val="0"/>
                <w:szCs w:val="20"/>
              </w:rPr>
              <w:t>Bereinigtes EBIT</w:t>
            </w:r>
          </w:p>
        </w:tc>
        <w:tc>
          <w:tcPr>
            <w:tcW w:w="823" w:type="dxa"/>
            <w:shd w:val="clear" w:color="auto" w:fill="CCCCCC"/>
            <w:noWrap/>
            <w:vAlign w:val="bottom"/>
          </w:tcPr>
          <w:p w:rsidR="004A065A" w:rsidRDefault="00542B1D" w:rsidP="00542B1D">
            <w:pPr>
              <w:jc w:val="right"/>
              <w:rPr>
                <w:rFonts w:cs="Lucida Sans Unicode"/>
                <w:position w:val="0"/>
                <w:szCs w:val="20"/>
              </w:rPr>
            </w:pPr>
            <w:r>
              <w:rPr>
                <w:rFonts w:cs="Lucida Sans Unicode"/>
                <w:position w:val="0"/>
                <w:szCs w:val="20"/>
              </w:rPr>
              <w:t>342</w:t>
            </w:r>
          </w:p>
        </w:tc>
        <w:tc>
          <w:tcPr>
            <w:tcW w:w="983" w:type="dxa"/>
            <w:shd w:val="clear" w:color="auto" w:fill="auto"/>
            <w:noWrap/>
            <w:vAlign w:val="bottom"/>
          </w:tcPr>
          <w:p w:rsidR="004A065A" w:rsidRDefault="00542B1D" w:rsidP="00542B1D">
            <w:pPr>
              <w:jc w:val="right"/>
              <w:rPr>
                <w:rFonts w:cs="Lucida Sans Unicode"/>
                <w:position w:val="0"/>
                <w:szCs w:val="20"/>
              </w:rPr>
            </w:pPr>
            <w:r>
              <w:rPr>
                <w:rFonts w:cs="Lucida Sans Unicode"/>
                <w:position w:val="0"/>
                <w:szCs w:val="20"/>
              </w:rPr>
              <w:t>486</w:t>
            </w:r>
          </w:p>
        </w:tc>
        <w:tc>
          <w:tcPr>
            <w:tcW w:w="984" w:type="dxa"/>
            <w:shd w:val="clear" w:color="auto" w:fill="auto"/>
            <w:noWrap/>
            <w:vAlign w:val="bottom"/>
          </w:tcPr>
          <w:p w:rsidR="004A065A" w:rsidRDefault="00902268" w:rsidP="00542B1D">
            <w:pPr>
              <w:jc w:val="right"/>
              <w:rPr>
                <w:rFonts w:cs="Lucida Sans Unicode"/>
                <w:position w:val="0"/>
                <w:szCs w:val="20"/>
              </w:rPr>
            </w:pPr>
            <w:r>
              <w:rPr>
                <w:rFonts w:cs="Lucida Sans Unicode"/>
                <w:position w:val="0"/>
                <w:szCs w:val="20"/>
              </w:rPr>
              <w:t>-30</w:t>
            </w:r>
          </w:p>
        </w:tc>
        <w:tc>
          <w:tcPr>
            <w:tcW w:w="823" w:type="dxa"/>
            <w:shd w:val="clear" w:color="auto" w:fill="CCCCCC"/>
            <w:noWrap/>
            <w:vAlign w:val="bottom"/>
          </w:tcPr>
          <w:p w:rsidR="004A065A" w:rsidRDefault="008B14B1" w:rsidP="00542B1D">
            <w:pPr>
              <w:jc w:val="right"/>
              <w:rPr>
                <w:rFonts w:cs="Lucida Sans Unicode"/>
                <w:position w:val="0"/>
                <w:szCs w:val="20"/>
              </w:rPr>
            </w:pPr>
            <w:r>
              <w:rPr>
                <w:rFonts w:cs="Lucida Sans Unicode"/>
                <w:position w:val="0"/>
                <w:szCs w:val="20"/>
              </w:rPr>
              <w:t>787</w:t>
            </w:r>
          </w:p>
        </w:tc>
        <w:tc>
          <w:tcPr>
            <w:tcW w:w="881" w:type="dxa"/>
            <w:shd w:val="clear" w:color="auto" w:fill="auto"/>
            <w:noWrap/>
            <w:vAlign w:val="bottom"/>
          </w:tcPr>
          <w:p w:rsidR="004A065A" w:rsidRDefault="008B14B1" w:rsidP="00542B1D">
            <w:pPr>
              <w:jc w:val="right"/>
              <w:rPr>
                <w:rFonts w:cs="Lucida Sans Unicode"/>
                <w:position w:val="0"/>
                <w:szCs w:val="20"/>
              </w:rPr>
            </w:pPr>
            <w:r>
              <w:rPr>
                <w:rFonts w:cs="Lucida Sans Unicode"/>
                <w:position w:val="0"/>
                <w:szCs w:val="20"/>
              </w:rPr>
              <w:t>995</w:t>
            </w:r>
          </w:p>
        </w:tc>
        <w:tc>
          <w:tcPr>
            <w:tcW w:w="984" w:type="dxa"/>
            <w:shd w:val="clear" w:color="auto" w:fill="auto"/>
            <w:noWrap/>
            <w:vAlign w:val="bottom"/>
          </w:tcPr>
          <w:p w:rsidR="004A065A" w:rsidRDefault="008B14B1" w:rsidP="00542B1D">
            <w:pPr>
              <w:jc w:val="right"/>
              <w:rPr>
                <w:rFonts w:cs="Lucida Sans Unicode"/>
                <w:position w:val="0"/>
                <w:szCs w:val="20"/>
              </w:rPr>
            </w:pPr>
            <w:r>
              <w:rPr>
                <w:rFonts w:cs="Lucida Sans Unicode"/>
                <w:position w:val="0"/>
                <w:szCs w:val="20"/>
              </w:rPr>
              <w:t>-21</w:t>
            </w:r>
          </w:p>
        </w:tc>
      </w:tr>
      <w:tr w:rsidR="004A065A" w:rsidTr="00542B1D">
        <w:trPr>
          <w:trHeight w:val="300"/>
        </w:trPr>
        <w:tc>
          <w:tcPr>
            <w:tcW w:w="4605" w:type="dxa"/>
            <w:shd w:val="clear" w:color="auto" w:fill="auto"/>
            <w:noWrap/>
            <w:vAlign w:val="bottom"/>
          </w:tcPr>
          <w:p w:rsidR="004A065A" w:rsidRDefault="004A065A" w:rsidP="00542B1D">
            <w:pPr>
              <w:ind w:left="-55"/>
              <w:rPr>
                <w:rFonts w:cs="Lucida Sans Unicode"/>
                <w:position w:val="0"/>
                <w:szCs w:val="20"/>
              </w:rPr>
            </w:pPr>
            <w:r>
              <w:rPr>
                <w:rFonts w:cs="Lucida Sans Unicode"/>
                <w:position w:val="0"/>
                <w:szCs w:val="20"/>
              </w:rPr>
              <w:t>Bereinigungen</w:t>
            </w:r>
          </w:p>
        </w:tc>
        <w:tc>
          <w:tcPr>
            <w:tcW w:w="823" w:type="dxa"/>
            <w:shd w:val="clear" w:color="auto" w:fill="CCCCCC"/>
            <w:noWrap/>
            <w:vAlign w:val="bottom"/>
          </w:tcPr>
          <w:p w:rsidR="004A065A" w:rsidRDefault="00542B1D" w:rsidP="00542B1D">
            <w:pPr>
              <w:jc w:val="right"/>
              <w:rPr>
                <w:rFonts w:cs="Lucida Sans Unicode"/>
                <w:position w:val="0"/>
                <w:szCs w:val="20"/>
              </w:rPr>
            </w:pPr>
            <w:r>
              <w:rPr>
                <w:rFonts w:cs="Lucida Sans Unicode"/>
                <w:position w:val="0"/>
                <w:szCs w:val="20"/>
              </w:rPr>
              <w:t>-64</w:t>
            </w:r>
          </w:p>
        </w:tc>
        <w:tc>
          <w:tcPr>
            <w:tcW w:w="983" w:type="dxa"/>
            <w:shd w:val="clear" w:color="auto" w:fill="auto"/>
            <w:noWrap/>
            <w:vAlign w:val="bottom"/>
          </w:tcPr>
          <w:p w:rsidR="004A065A" w:rsidRDefault="00542B1D" w:rsidP="00542B1D">
            <w:pPr>
              <w:jc w:val="right"/>
              <w:rPr>
                <w:rFonts w:cs="Lucida Sans Unicode"/>
                <w:position w:val="0"/>
                <w:szCs w:val="20"/>
              </w:rPr>
            </w:pPr>
            <w:r>
              <w:rPr>
                <w:rFonts w:cs="Lucida Sans Unicode"/>
                <w:position w:val="0"/>
                <w:szCs w:val="20"/>
              </w:rPr>
              <w:t>-25</w:t>
            </w:r>
          </w:p>
        </w:tc>
        <w:tc>
          <w:tcPr>
            <w:tcW w:w="984" w:type="dxa"/>
            <w:shd w:val="clear" w:color="auto" w:fill="auto"/>
            <w:noWrap/>
            <w:vAlign w:val="bottom"/>
          </w:tcPr>
          <w:p w:rsidR="004A065A" w:rsidRDefault="004A065A" w:rsidP="00542B1D">
            <w:pPr>
              <w:rPr>
                <w:rFonts w:cs="Lucida Sans Unicode"/>
                <w:position w:val="0"/>
                <w:szCs w:val="20"/>
              </w:rPr>
            </w:pPr>
          </w:p>
        </w:tc>
        <w:tc>
          <w:tcPr>
            <w:tcW w:w="823" w:type="dxa"/>
            <w:shd w:val="clear" w:color="auto" w:fill="CCCCCC"/>
            <w:noWrap/>
            <w:vAlign w:val="bottom"/>
          </w:tcPr>
          <w:p w:rsidR="004A065A" w:rsidRDefault="00542B1D" w:rsidP="00542B1D">
            <w:pPr>
              <w:jc w:val="right"/>
              <w:rPr>
                <w:rFonts w:cs="Lucida Sans Unicode"/>
                <w:position w:val="0"/>
                <w:szCs w:val="20"/>
              </w:rPr>
            </w:pPr>
            <w:r>
              <w:rPr>
                <w:rFonts w:cs="Lucida Sans Unicode"/>
                <w:position w:val="0"/>
                <w:szCs w:val="20"/>
              </w:rPr>
              <w:t>-93</w:t>
            </w:r>
          </w:p>
        </w:tc>
        <w:tc>
          <w:tcPr>
            <w:tcW w:w="881" w:type="dxa"/>
            <w:shd w:val="clear" w:color="auto" w:fill="auto"/>
            <w:noWrap/>
            <w:vAlign w:val="bottom"/>
          </w:tcPr>
          <w:p w:rsidR="004A065A" w:rsidRDefault="00542B1D" w:rsidP="00542B1D">
            <w:pPr>
              <w:jc w:val="right"/>
              <w:rPr>
                <w:rFonts w:cs="Lucida Sans Unicode"/>
                <w:position w:val="0"/>
                <w:szCs w:val="20"/>
              </w:rPr>
            </w:pPr>
            <w:r>
              <w:rPr>
                <w:rFonts w:cs="Lucida Sans Unicode"/>
                <w:position w:val="0"/>
                <w:szCs w:val="20"/>
              </w:rPr>
              <w:t>-93</w:t>
            </w:r>
          </w:p>
        </w:tc>
        <w:tc>
          <w:tcPr>
            <w:tcW w:w="984" w:type="dxa"/>
            <w:shd w:val="clear" w:color="auto" w:fill="auto"/>
            <w:noWrap/>
            <w:vAlign w:val="bottom"/>
          </w:tcPr>
          <w:p w:rsidR="004A065A" w:rsidRDefault="004A065A" w:rsidP="00542B1D">
            <w:pPr>
              <w:rPr>
                <w:rFonts w:cs="Lucida Sans Unicode"/>
                <w:position w:val="0"/>
                <w:szCs w:val="20"/>
              </w:rPr>
            </w:pPr>
          </w:p>
        </w:tc>
      </w:tr>
      <w:tr w:rsidR="004A065A" w:rsidTr="00542B1D">
        <w:trPr>
          <w:trHeight w:val="300"/>
        </w:trPr>
        <w:tc>
          <w:tcPr>
            <w:tcW w:w="4605" w:type="dxa"/>
            <w:shd w:val="clear" w:color="auto" w:fill="auto"/>
            <w:noWrap/>
            <w:vAlign w:val="bottom"/>
          </w:tcPr>
          <w:p w:rsidR="004A065A" w:rsidRDefault="004A065A" w:rsidP="00542B1D">
            <w:pPr>
              <w:ind w:left="-55"/>
              <w:rPr>
                <w:rFonts w:cs="Lucida Sans Unicode"/>
                <w:position w:val="0"/>
                <w:szCs w:val="20"/>
              </w:rPr>
            </w:pPr>
            <w:r>
              <w:rPr>
                <w:rFonts w:cs="Lucida Sans Unicode"/>
                <w:position w:val="0"/>
                <w:szCs w:val="20"/>
              </w:rPr>
              <w:t>Zinsergebnis</w:t>
            </w:r>
          </w:p>
        </w:tc>
        <w:tc>
          <w:tcPr>
            <w:tcW w:w="823" w:type="dxa"/>
            <w:shd w:val="clear" w:color="auto" w:fill="CCCCCC"/>
            <w:noWrap/>
            <w:vAlign w:val="bottom"/>
          </w:tcPr>
          <w:p w:rsidR="004A065A" w:rsidRDefault="00542B1D" w:rsidP="00542B1D">
            <w:pPr>
              <w:jc w:val="right"/>
              <w:rPr>
                <w:rFonts w:cs="Lucida Sans Unicode"/>
                <w:position w:val="0"/>
                <w:szCs w:val="20"/>
              </w:rPr>
            </w:pPr>
            <w:r>
              <w:rPr>
                <w:rFonts w:cs="Lucida Sans Unicode"/>
                <w:position w:val="0"/>
                <w:szCs w:val="20"/>
              </w:rPr>
              <w:t>-68</w:t>
            </w:r>
          </w:p>
        </w:tc>
        <w:tc>
          <w:tcPr>
            <w:tcW w:w="983" w:type="dxa"/>
            <w:shd w:val="clear" w:color="auto" w:fill="auto"/>
            <w:noWrap/>
            <w:vAlign w:val="bottom"/>
          </w:tcPr>
          <w:p w:rsidR="004A065A" w:rsidRDefault="00542B1D" w:rsidP="00542B1D">
            <w:pPr>
              <w:jc w:val="right"/>
              <w:rPr>
                <w:rFonts w:cs="Lucida Sans Unicode"/>
                <w:position w:val="0"/>
                <w:szCs w:val="20"/>
              </w:rPr>
            </w:pPr>
            <w:r>
              <w:rPr>
                <w:rFonts w:cs="Lucida Sans Unicode"/>
                <w:position w:val="0"/>
                <w:szCs w:val="20"/>
              </w:rPr>
              <w:t>-77</w:t>
            </w:r>
          </w:p>
        </w:tc>
        <w:tc>
          <w:tcPr>
            <w:tcW w:w="984" w:type="dxa"/>
            <w:shd w:val="clear" w:color="auto" w:fill="auto"/>
            <w:noWrap/>
            <w:vAlign w:val="bottom"/>
          </w:tcPr>
          <w:p w:rsidR="004A065A" w:rsidRDefault="004A065A" w:rsidP="00542B1D">
            <w:pPr>
              <w:jc w:val="right"/>
              <w:rPr>
                <w:rFonts w:cs="Lucida Sans Unicode"/>
                <w:position w:val="0"/>
                <w:szCs w:val="20"/>
              </w:rPr>
            </w:pPr>
          </w:p>
        </w:tc>
        <w:tc>
          <w:tcPr>
            <w:tcW w:w="823" w:type="dxa"/>
            <w:shd w:val="clear" w:color="auto" w:fill="CCCCCC"/>
            <w:noWrap/>
            <w:vAlign w:val="bottom"/>
          </w:tcPr>
          <w:p w:rsidR="004A065A" w:rsidRDefault="00542B1D" w:rsidP="00542B1D">
            <w:pPr>
              <w:jc w:val="right"/>
              <w:rPr>
                <w:rFonts w:cs="Lucida Sans Unicode"/>
                <w:position w:val="0"/>
                <w:szCs w:val="20"/>
              </w:rPr>
            </w:pPr>
            <w:r>
              <w:rPr>
                <w:rFonts w:cs="Lucida Sans Unicode"/>
                <w:position w:val="0"/>
                <w:szCs w:val="20"/>
              </w:rPr>
              <w:t>-135</w:t>
            </w:r>
          </w:p>
        </w:tc>
        <w:tc>
          <w:tcPr>
            <w:tcW w:w="881" w:type="dxa"/>
            <w:shd w:val="clear" w:color="auto" w:fill="auto"/>
            <w:noWrap/>
            <w:vAlign w:val="bottom"/>
          </w:tcPr>
          <w:p w:rsidR="004A065A" w:rsidRDefault="00542B1D" w:rsidP="00542B1D">
            <w:pPr>
              <w:jc w:val="right"/>
              <w:rPr>
                <w:rFonts w:cs="Lucida Sans Unicode"/>
                <w:position w:val="0"/>
                <w:szCs w:val="20"/>
              </w:rPr>
            </w:pPr>
            <w:r>
              <w:rPr>
                <w:rFonts w:cs="Lucida Sans Unicode"/>
                <w:position w:val="0"/>
                <w:szCs w:val="20"/>
              </w:rPr>
              <w:t>-157</w:t>
            </w:r>
          </w:p>
        </w:tc>
        <w:tc>
          <w:tcPr>
            <w:tcW w:w="984" w:type="dxa"/>
            <w:shd w:val="clear" w:color="auto" w:fill="auto"/>
            <w:noWrap/>
            <w:vAlign w:val="bottom"/>
          </w:tcPr>
          <w:p w:rsidR="004A065A" w:rsidRDefault="004A065A" w:rsidP="00542B1D">
            <w:pPr>
              <w:rPr>
                <w:rFonts w:cs="Lucida Sans Unicode"/>
                <w:position w:val="0"/>
                <w:szCs w:val="20"/>
              </w:rPr>
            </w:pPr>
          </w:p>
        </w:tc>
      </w:tr>
      <w:tr w:rsidR="004A065A" w:rsidTr="00542B1D">
        <w:trPr>
          <w:trHeight w:val="300"/>
        </w:trPr>
        <w:tc>
          <w:tcPr>
            <w:tcW w:w="4605" w:type="dxa"/>
            <w:shd w:val="clear" w:color="auto" w:fill="auto"/>
            <w:noWrap/>
            <w:vAlign w:val="bottom"/>
          </w:tcPr>
          <w:p w:rsidR="004A065A" w:rsidRPr="00E83E1D" w:rsidRDefault="004A065A" w:rsidP="00542B1D">
            <w:pPr>
              <w:ind w:left="-55"/>
              <w:rPr>
                <w:rFonts w:cs="Lucida Sans Unicode"/>
                <w:bCs/>
                <w:szCs w:val="20"/>
              </w:rPr>
            </w:pPr>
            <w:r w:rsidRPr="00E83E1D">
              <w:rPr>
                <w:rFonts w:cs="Lucida Sans Unicode"/>
                <w:bCs/>
                <w:szCs w:val="20"/>
              </w:rPr>
              <w:t xml:space="preserve">= </w:t>
            </w:r>
            <w:r w:rsidRPr="00E83E1D">
              <w:rPr>
                <w:rFonts w:cs="Lucida Sans Unicode"/>
                <w:bCs/>
                <w:spacing w:val="-6"/>
                <w:szCs w:val="20"/>
              </w:rPr>
              <w:t>Ergebnis vor Ertragsteuern fortgeführter Aktivitäten</w:t>
            </w:r>
          </w:p>
        </w:tc>
        <w:tc>
          <w:tcPr>
            <w:tcW w:w="823" w:type="dxa"/>
            <w:shd w:val="clear" w:color="auto" w:fill="CCCCCC"/>
            <w:noWrap/>
            <w:vAlign w:val="bottom"/>
          </w:tcPr>
          <w:p w:rsidR="004A065A" w:rsidRPr="002B19DA" w:rsidRDefault="002B19DA" w:rsidP="00542B1D">
            <w:pPr>
              <w:jc w:val="right"/>
              <w:rPr>
                <w:rFonts w:cs="Lucida Sans Unicode"/>
                <w:bCs/>
                <w:position w:val="0"/>
                <w:szCs w:val="20"/>
              </w:rPr>
            </w:pPr>
            <w:r w:rsidRPr="002B19DA">
              <w:rPr>
                <w:rFonts w:cs="Lucida Sans Unicode"/>
                <w:bCs/>
                <w:position w:val="0"/>
                <w:szCs w:val="20"/>
              </w:rPr>
              <w:t>210</w:t>
            </w:r>
          </w:p>
        </w:tc>
        <w:tc>
          <w:tcPr>
            <w:tcW w:w="983" w:type="dxa"/>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384</w:t>
            </w:r>
          </w:p>
        </w:tc>
        <w:tc>
          <w:tcPr>
            <w:tcW w:w="984" w:type="dxa"/>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-45</w:t>
            </w:r>
          </w:p>
        </w:tc>
        <w:tc>
          <w:tcPr>
            <w:tcW w:w="823" w:type="dxa"/>
            <w:shd w:val="clear" w:color="auto" w:fill="CCCCCC"/>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559</w:t>
            </w:r>
          </w:p>
        </w:tc>
        <w:tc>
          <w:tcPr>
            <w:tcW w:w="881" w:type="dxa"/>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745</w:t>
            </w:r>
          </w:p>
        </w:tc>
        <w:tc>
          <w:tcPr>
            <w:tcW w:w="984" w:type="dxa"/>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-25</w:t>
            </w:r>
          </w:p>
        </w:tc>
      </w:tr>
      <w:tr w:rsidR="004A065A" w:rsidTr="00542B1D">
        <w:trPr>
          <w:trHeight w:val="300"/>
        </w:trPr>
        <w:tc>
          <w:tcPr>
            <w:tcW w:w="4605" w:type="dxa"/>
            <w:shd w:val="clear" w:color="auto" w:fill="auto"/>
            <w:noWrap/>
            <w:vAlign w:val="bottom"/>
          </w:tcPr>
          <w:p w:rsidR="004A065A" w:rsidRPr="00E83E1D" w:rsidRDefault="00E83E1D" w:rsidP="00542B1D">
            <w:pPr>
              <w:ind w:left="-55"/>
              <w:rPr>
                <w:rFonts w:cs="Lucida Sans Unicode"/>
                <w:position w:val="0"/>
                <w:szCs w:val="20"/>
              </w:rPr>
            </w:pPr>
            <w:r w:rsidRPr="00E83E1D">
              <w:rPr>
                <w:rFonts w:cs="Lucida Sans Unicode"/>
                <w:position w:val="0"/>
                <w:szCs w:val="20"/>
              </w:rPr>
              <w:t>Ertragsteuern</w:t>
            </w:r>
          </w:p>
        </w:tc>
        <w:tc>
          <w:tcPr>
            <w:tcW w:w="823" w:type="dxa"/>
            <w:shd w:val="clear" w:color="auto" w:fill="CCCCCC"/>
            <w:noWrap/>
            <w:vAlign w:val="bottom"/>
          </w:tcPr>
          <w:p w:rsidR="004A065A" w:rsidRDefault="002B19DA" w:rsidP="00542B1D">
            <w:pPr>
              <w:jc w:val="right"/>
              <w:rPr>
                <w:rFonts w:cs="Lucida Sans Unicode"/>
                <w:position w:val="0"/>
                <w:szCs w:val="20"/>
              </w:rPr>
            </w:pPr>
            <w:r>
              <w:rPr>
                <w:rFonts w:cs="Lucida Sans Unicode"/>
                <w:position w:val="0"/>
                <w:szCs w:val="20"/>
              </w:rPr>
              <w:t>-78</w:t>
            </w:r>
          </w:p>
        </w:tc>
        <w:tc>
          <w:tcPr>
            <w:tcW w:w="983" w:type="dxa"/>
            <w:shd w:val="clear" w:color="auto" w:fill="auto"/>
            <w:noWrap/>
            <w:vAlign w:val="bottom"/>
          </w:tcPr>
          <w:p w:rsidR="004A065A" w:rsidRDefault="002B19DA" w:rsidP="00542B1D">
            <w:pPr>
              <w:jc w:val="right"/>
              <w:rPr>
                <w:rFonts w:cs="Lucida Sans Unicode"/>
                <w:position w:val="0"/>
                <w:szCs w:val="20"/>
              </w:rPr>
            </w:pPr>
            <w:r>
              <w:rPr>
                <w:rFonts w:cs="Lucida Sans Unicode"/>
                <w:position w:val="0"/>
                <w:szCs w:val="20"/>
              </w:rPr>
              <w:t>-166</w:t>
            </w:r>
          </w:p>
        </w:tc>
        <w:tc>
          <w:tcPr>
            <w:tcW w:w="984" w:type="dxa"/>
            <w:shd w:val="clear" w:color="auto" w:fill="auto"/>
            <w:noWrap/>
            <w:vAlign w:val="bottom"/>
          </w:tcPr>
          <w:p w:rsidR="004A065A" w:rsidRDefault="004A065A" w:rsidP="00542B1D">
            <w:pPr>
              <w:jc w:val="right"/>
              <w:rPr>
                <w:rFonts w:cs="Lucida Sans Unicode"/>
                <w:position w:val="0"/>
                <w:szCs w:val="20"/>
              </w:rPr>
            </w:pPr>
          </w:p>
        </w:tc>
        <w:tc>
          <w:tcPr>
            <w:tcW w:w="823" w:type="dxa"/>
            <w:shd w:val="clear" w:color="auto" w:fill="CCCCCC"/>
            <w:noWrap/>
            <w:vAlign w:val="bottom"/>
          </w:tcPr>
          <w:p w:rsidR="004A065A" w:rsidRDefault="002B19DA" w:rsidP="00542B1D">
            <w:pPr>
              <w:jc w:val="right"/>
              <w:rPr>
                <w:rFonts w:cs="Lucida Sans Unicode"/>
                <w:position w:val="0"/>
                <w:szCs w:val="20"/>
              </w:rPr>
            </w:pPr>
            <w:r>
              <w:rPr>
                <w:rFonts w:cs="Lucida Sans Unicode"/>
                <w:position w:val="0"/>
                <w:szCs w:val="20"/>
              </w:rPr>
              <w:t>-162</w:t>
            </w:r>
          </w:p>
        </w:tc>
        <w:tc>
          <w:tcPr>
            <w:tcW w:w="881" w:type="dxa"/>
            <w:shd w:val="clear" w:color="auto" w:fill="auto"/>
            <w:noWrap/>
            <w:vAlign w:val="bottom"/>
          </w:tcPr>
          <w:p w:rsidR="004A065A" w:rsidRDefault="002B19DA" w:rsidP="00542B1D">
            <w:pPr>
              <w:jc w:val="right"/>
              <w:rPr>
                <w:rFonts w:cs="Lucida Sans Unicode"/>
                <w:position w:val="0"/>
                <w:szCs w:val="20"/>
              </w:rPr>
            </w:pPr>
            <w:r>
              <w:rPr>
                <w:rFonts w:cs="Lucida Sans Unicode"/>
                <w:position w:val="0"/>
                <w:szCs w:val="20"/>
              </w:rPr>
              <w:t>-281</w:t>
            </w:r>
          </w:p>
        </w:tc>
        <w:tc>
          <w:tcPr>
            <w:tcW w:w="984" w:type="dxa"/>
            <w:shd w:val="clear" w:color="auto" w:fill="auto"/>
            <w:noWrap/>
            <w:vAlign w:val="bottom"/>
          </w:tcPr>
          <w:p w:rsidR="004A065A" w:rsidRDefault="004A065A" w:rsidP="00542B1D">
            <w:pPr>
              <w:jc w:val="right"/>
              <w:rPr>
                <w:rFonts w:cs="Lucida Sans Unicode"/>
                <w:position w:val="0"/>
                <w:szCs w:val="20"/>
              </w:rPr>
            </w:pPr>
          </w:p>
        </w:tc>
      </w:tr>
      <w:tr w:rsidR="004A065A" w:rsidTr="00542B1D">
        <w:trPr>
          <w:trHeight w:val="300"/>
        </w:trPr>
        <w:tc>
          <w:tcPr>
            <w:tcW w:w="4605" w:type="dxa"/>
            <w:shd w:val="clear" w:color="auto" w:fill="auto"/>
            <w:noWrap/>
            <w:vAlign w:val="bottom"/>
          </w:tcPr>
          <w:p w:rsidR="004A065A" w:rsidRPr="00E83E1D" w:rsidRDefault="00E83E1D" w:rsidP="00E83E1D">
            <w:pPr>
              <w:ind w:left="-55"/>
              <w:rPr>
                <w:rFonts w:cs="Lucida Sans Unicode"/>
                <w:bCs/>
                <w:szCs w:val="20"/>
              </w:rPr>
            </w:pPr>
            <w:r w:rsidRPr="00E83E1D">
              <w:rPr>
                <w:rFonts w:cs="Lucida Sans Unicode"/>
                <w:bCs/>
                <w:szCs w:val="20"/>
              </w:rPr>
              <w:t xml:space="preserve">= </w:t>
            </w:r>
            <w:r w:rsidRPr="00E83E1D">
              <w:rPr>
                <w:rFonts w:cs="Lucida Sans Unicode"/>
                <w:bCs/>
                <w:spacing w:val="-6"/>
                <w:szCs w:val="20"/>
              </w:rPr>
              <w:t>Ergebnis nach Ertragsteuern fortgeführter Aktivitäten</w:t>
            </w:r>
          </w:p>
        </w:tc>
        <w:tc>
          <w:tcPr>
            <w:tcW w:w="823" w:type="dxa"/>
            <w:shd w:val="clear" w:color="auto" w:fill="CCCCCC"/>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132</w:t>
            </w:r>
          </w:p>
        </w:tc>
        <w:tc>
          <w:tcPr>
            <w:tcW w:w="983" w:type="dxa"/>
            <w:shd w:val="clear" w:color="auto" w:fill="auto"/>
            <w:noWrap/>
            <w:vAlign w:val="bottom"/>
          </w:tcPr>
          <w:p w:rsidR="004A065A" w:rsidRPr="002B19DA" w:rsidRDefault="002B19DA" w:rsidP="00542B1D">
            <w:pPr>
              <w:jc w:val="right"/>
              <w:rPr>
                <w:rFonts w:cs="Lucida Sans Unicode"/>
                <w:bCs/>
                <w:position w:val="0"/>
                <w:szCs w:val="20"/>
              </w:rPr>
            </w:pPr>
            <w:r w:rsidRPr="002B19DA">
              <w:rPr>
                <w:rFonts w:cs="Lucida Sans Unicode"/>
                <w:bCs/>
                <w:position w:val="0"/>
                <w:szCs w:val="20"/>
              </w:rPr>
              <w:t>218</w:t>
            </w:r>
          </w:p>
        </w:tc>
        <w:tc>
          <w:tcPr>
            <w:tcW w:w="984" w:type="dxa"/>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-39</w:t>
            </w:r>
          </w:p>
        </w:tc>
        <w:tc>
          <w:tcPr>
            <w:tcW w:w="823" w:type="dxa"/>
            <w:shd w:val="clear" w:color="auto" w:fill="CCCCCC"/>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397</w:t>
            </w:r>
          </w:p>
        </w:tc>
        <w:tc>
          <w:tcPr>
            <w:tcW w:w="881" w:type="dxa"/>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464</w:t>
            </w:r>
          </w:p>
        </w:tc>
        <w:tc>
          <w:tcPr>
            <w:tcW w:w="984" w:type="dxa"/>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-14</w:t>
            </w:r>
          </w:p>
        </w:tc>
      </w:tr>
      <w:tr w:rsidR="004A065A" w:rsidTr="00542B1D">
        <w:trPr>
          <w:trHeight w:val="300"/>
        </w:trPr>
        <w:tc>
          <w:tcPr>
            <w:tcW w:w="4605" w:type="dxa"/>
            <w:shd w:val="clear" w:color="auto" w:fill="auto"/>
            <w:noWrap/>
            <w:vAlign w:val="bottom"/>
          </w:tcPr>
          <w:p w:rsidR="004A065A" w:rsidRDefault="00E83E1D" w:rsidP="00542B1D">
            <w:pPr>
              <w:ind w:left="-55"/>
              <w:rPr>
                <w:rFonts w:cs="Lucida Sans Unicode"/>
                <w:position w:val="0"/>
                <w:szCs w:val="20"/>
              </w:rPr>
            </w:pPr>
            <w:r>
              <w:rPr>
                <w:rFonts w:cs="Lucida Sans Unicode"/>
                <w:position w:val="0"/>
                <w:szCs w:val="20"/>
              </w:rPr>
              <w:t>Ergebnis nach Ertragsteuern nicht fortgeführter Aktivitäten</w:t>
            </w:r>
          </w:p>
        </w:tc>
        <w:tc>
          <w:tcPr>
            <w:tcW w:w="823" w:type="dxa"/>
            <w:shd w:val="clear" w:color="auto" w:fill="CCCCCC"/>
            <w:noWrap/>
            <w:vAlign w:val="bottom"/>
          </w:tcPr>
          <w:p w:rsidR="004A065A" w:rsidRDefault="002B19DA" w:rsidP="00542B1D">
            <w:pPr>
              <w:jc w:val="right"/>
              <w:rPr>
                <w:rFonts w:cs="Lucida Sans Unicode"/>
                <w:position w:val="0"/>
                <w:szCs w:val="20"/>
              </w:rPr>
            </w:pPr>
            <w:r>
              <w:rPr>
                <w:rFonts w:cs="Lucida Sans Unicode"/>
                <w:position w:val="0"/>
                <w:szCs w:val="20"/>
              </w:rPr>
              <w:t>54</w:t>
            </w:r>
          </w:p>
        </w:tc>
        <w:tc>
          <w:tcPr>
            <w:tcW w:w="983" w:type="dxa"/>
            <w:shd w:val="clear" w:color="auto" w:fill="auto"/>
            <w:noWrap/>
            <w:vAlign w:val="bottom"/>
          </w:tcPr>
          <w:p w:rsidR="004A065A" w:rsidRDefault="002B19DA" w:rsidP="00542B1D">
            <w:pPr>
              <w:jc w:val="right"/>
              <w:rPr>
                <w:rFonts w:cs="Lucida Sans Unicode"/>
                <w:position w:val="0"/>
                <w:szCs w:val="20"/>
              </w:rPr>
            </w:pPr>
            <w:r>
              <w:rPr>
                <w:rFonts w:cs="Lucida Sans Unicode"/>
                <w:position w:val="0"/>
                <w:szCs w:val="20"/>
              </w:rPr>
              <w:t>40</w:t>
            </w:r>
          </w:p>
        </w:tc>
        <w:tc>
          <w:tcPr>
            <w:tcW w:w="984" w:type="dxa"/>
            <w:shd w:val="clear" w:color="auto" w:fill="auto"/>
            <w:noWrap/>
            <w:vAlign w:val="bottom"/>
          </w:tcPr>
          <w:p w:rsidR="004A065A" w:rsidRDefault="004A065A" w:rsidP="00542B1D">
            <w:pPr>
              <w:rPr>
                <w:rFonts w:cs="Lucida Sans Unicode"/>
                <w:position w:val="0"/>
                <w:szCs w:val="20"/>
              </w:rPr>
            </w:pPr>
          </w:p>
        </w:tc>
        <w:tc>
          <w:tcPr>
            <w:tcW w:w="823" w:type="dxa"/>
            <w:shd w:val="clear" w:color="auto" w:fill="CCCCCC"/>
            <w:noWrap/>
            <w:vAlign w:val="bottom"/>
          </w:tcPr>
          <w:p w:rsidR="004A065A" w:rsidRDefault="002B19DA" w:rsidP="00542B1D">
            <w:pPr>
              <w:jc w:val="right"/>
              <w:rPr>
                <w:rFonts w:cs="Lucida Sans Unicode"/>
                <w:position w:val="0"/>
                <w:szCs w:val="20"/>
              </w:rPr>
            </w:pPr>
            <w:r>
              <w:rPr>
                <w:rFonts w:cs="Lucida Sans Unicode"/>
                <w:position w:val="0"/>
                <w:szCs w:val="20"/>
              </w:rPr>
              <w:t>75</w:t>
            </w:r>
          </w:p>
        </w:tc>
        <w:tc>
          <w:tcPr>
            <w:tcW w:w="881" w:type="dxa"/>
            <w:shd w:val="clear" w:color="auto" w:fill="auto"/>
            <w:noWrap/>
            <w:vAlign w:val="bottom"/>
          </w:tcPr>
          <w:p w:rsidR="004A065A" w:rsidRDefault="002B19DA" w:rsidP="00542B1D">
            <w:pPr>
              <w:jc w:val="right"/>
              <w:rPr>
                <w:rFonts w:cs="Lucida Sans Unicode"/>
                <w:position w:val="0"/>
                <w:szCs w:val="20"/>
              </w:rPr>
            </w:pPr>
            <w:r>
              <w:rPr>
                <w:rFonts w:cs="Lucida Sans Unicode"/>
                <w:position w:val="0"/>
                <w:szCs w:val="20"/>
              </w:rPr>
              <w:t>60</w:t>
            </w:r>
          </w:p>
        </w:tc>
        <w:tc>
          <w:tcPr>
            <w:tcW w:w="984" w:type="dxa"/>
            <w:shd w:val="clear" w:color="auto" w:fill="auto"/>
            <w:noWrap/>
            <w:vAlign w:val="bottom"/>
          </w:tcPr>
          <w:p w:rsidR="004A065A" w:rsidRDefault="004A065A" w:rsidP="00542B1D">
            <w:pPr>
              <w:rPr>
                <w:rFonts w:cs="Lucida Sans Unicode"/>
                <w:position w:val="0"/>
                <w:szCs w:val="20"/>
              </w:rPr>
            </w:pPr>
          </w:p>
        </w:tc>
      </w:tr>
      <w:tr w:rsidR="004A065A" w:rsidTr="00542B1D">
        <w:trPr>
          <w:trHeight w:val="300"/>
        </w:trPr>
        <w:tc>
          <w:tcPr>
            <w:tcW w:w="4605" w:type="dxa"/>
            <w:shd w:val="clear" w:color="auto" w:fill="auto"/>
            <w:noWrap/>
            <w:vAlign w:val="bottom"/>
          </w:tcPr>
          <w:p w:rsidR="004A065A" w:rsidRPr="00E83E1D" w:rsidRDefault="004A065A" w:rsidP="00542B1D">
            <w:pPr>
              <w:ind w:left="-55"/>
              <w:rPr>
                <w:rFonts w:cs="Lucida Sans Unicode"/>
                <w:bCs/>
                <w:szCs w:val="20"/>
              </w:rPr>
            </w:pPr>
            <w:r w:rsidRPr="00E83E1D">
              <w:rPr>
                <w:rFonts w:cs="Lucida Sans Unicode"/>
                <w:bCs/>
                <w:szCs w:val="20"/>
              </w:rPr>
              <w:t xml:space="preserve">= </w:t>
            </w:r>
            <w:r w:rsidRPr="00E83E1D">
              <w:rPr>
                <w:rFonts w:cs="Lucida Sans Unicode"/>
                <w:bCs/>
                <w:position w:val="0"/>
                <w:szCs w:val="20"/>
              </w:rPr>
              <w:t>Ergebnis nach Steuern</w:t>
            </w:r>
          </w:p>
        </w:tc>
        <w:tc>
          <w:tcPr>
            <w:tcW w:w="823" w:type="dxa"/>
            <w:shd w:val="clear" w:color="auto" w:fill="CCCCCC"/>
            <w:noWrap/>
            <w:vAlign w:val="bottom"/>
          </w:tcPr>
          <w:p w:rsidR="004A065A" w:rsidRPr="002B19DA" w:rsidRDefault="002B19DA" w:rsidP="00542B1D">
            <w:pPr>
              <w:jc w:val="right"/>
              <w:rPr>
                <w:rFonts w:cs="Lucida Sans Unicode"/>
                <w:bCs/>
                <w:position w:val="0"/>
                <w:szCs w:val="20"/>
              </w:rPr>
            </w:pPr>
            <w:r w:rsidRPr="002B19DA">
              <w:rPr>
                <w:rFonts w:cs="Lucida Sans Unicode"/>
                <w:bCs/>
                <w:position w:val="0"/>
                <w:szCs w:val="20"/>
              </w:rPr>
              <w:t>186</w:t>
            </w:r>
          </w:p>
        </w:tc>
        <w:tc>
          <w:tcPr>
            <w:tcW w:w="983" w:type="dxa"/>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258</w:t>
            </w:r>
          </w:p>
        </w:tc>
        <w:tc>
          <w:tcPr>
            <w:tcW w:w="984" w:type="dxa"/>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-28</w:t>
            </w:r>
          </w:p>
        </w:tc>
        <w:tc>
          <w:tcPr>
            <w:tcW w:w="823" w:type="dxa"/>
            <w:shd w:val="clear" w:color="auto" w:fill="CCCCCC"/>
            <w:noWrap/>
            <w:vAlign w:val="bottom"/>
          </w:tcPr>
          <w:p w:rsidR="004A065A" w:rsidRPr="002B19DA" w:rsidRDefault="002B19DA" w:rsidP="00542B1D">
            <w:pPr>
              <w:jc w:val="right"/>
              <w:rPr>
                <w:rFonts w:cs="Lucida Sans Unicode"/>
                <w:position w:val="0"/>
                <w:szCs w:val="20"/>
              </w:rPr>
            </w:pPr>
            <w:r>
              <w:rPr>
                <w:rFonts w:cs="Lucida Sans Unicode"/>
                <w:position w:val="0"/>
                <w:szCs w:val="20"/>
              </w:rPr>
              <w:t>472</w:t>
            </w:r>
          </w:p>
        </w:tc>
        <w:tc>
          <w:tcPr>
            <w:tcW w:w="881" w:type="dxa"/>
            <w:shd w:val="clear" w:color="auto" w:fill="auto"/>
            <w:noWrap/>
            <w:vAlign w:val="bottom"/>
          </w:tcPr>
          <w:p w:rsidR="004A065A" w:rsidRPr="002B19DA" w:rsidRDefault="002B19DA" w:rsidP="00542B1D">
            <w:pPr>
              <w:jc w:val="right"/>
              <w:rPr>
                <w:rFonts w:cs="Lucida Sans Unicode"/>
                <w:position w:val="0"/>
                <w:szCs w:val="20"/>
              </w:rPr>
            </w:pPr>
            <w:r>
              <w:rPr>
                <w:rFonts w:cs="Lucida Sans Unicode"/>
                <w:position w:val="0"/>
                <w:szCs w:val="20"/>
              </w:rPr>
              <w:t>524</w:t>
            </w:r>
          </w:p>
        </w:tc>
        <w:tc>
          <w:tcPr>
            <w:tcW w:w="984" w:type="dxa"/>
            <w:shd w:val="clear" w:color="auto" w:fill="auto"/>
            <w:noWrap/>
            <w:vAlign w:val="bottom"/>
          </w:tcPr>
          <w:p w:rsidR="004A065A" w:rsidRPr="002B19DA" w:rsidRDefault="002B19DA" w:rsidP="00542B1D">
            <w:pPr>
              <w:jc w:val="right"/>
              <w:rPr>
                <w:rFonts w:cs="Lucida Sans Unicode"/>
                <w:position w:val="0"/>
                <w:szCs w:val="20"/>
              </w:rPr>
            </w:pPr>
            <w:r>
              <w:rPr>
                <w:rFonts w:cs="Lucida Sans Unicode"/>
                <w:position w:val="0"/>
                <w:szCs w:val="20"/>
              </w:rPr>
              <w:t>-10</w:t>
            </w:r>
          </w:p>
        </w:tc>
      </w:tr>
      <w:tr w:rsidR="004A065A" w:rsidTr="00542B1D">
        <w:trPr>
          <w:trHeight w:val="255"/>
        </w:trPr>
        <w:tc>
          <w:tcPr>
            <w:tcW w:w="4605" w:type="dxa"/>
            <w:shd w:val="clear" w:color="auto" w:fill="auto"/>
            <w:noWrap/>
            <w:vAlign w:val="bottom"/>
          </w:tcPr>
          <w:p w:rsidR="004A065A" w:rsidRDefault="004A065A" w:rsidP="00542B1D">
            <w:pPr>
              <w:ind w:left="-55"/>
              <w:rPr>
                <w:rFonts w:cs="Lucida Sans Unicode"/>
                <w:position w:val="0"/>
                <w:szCs w:val="20"/>
              </w:rPr>
            </w:pPr>
            <w:r>
              <w:rPr>
                <w:rFonts w:cs="Lucida Sans Unicode"/>
                <w:position w:val="0"/>
                <w:szCs w:val="20"/>
              </w:rPr>
              <w:t>Anteile anderer Gesellschafter</w:t>
            </w:r>
          </w:p>
        </w:tc>
        <w:tc>
          <w:tcPr>
            <w:tcW w:w="823" w:type="dxa"/>
            <w:shd w:val="clear" w:color="auto" w:fill="CCCCCC"/>
            <w:noWrap/>
            <w:vAlign w:val="bottom"/>
          </w:tcPr>
          <w:p w:rsidR="004A065A" w:rsidRDefault="002B19DA" w:rsidP="00542B1D">
            <w:pPr>
              <w:jc w:val="right"/>
              <w:rPr>
                <w:rFonts w:cs="Lucida Sans Unicode"/>
                <w:position w:val="0"/>
                <w:szCs w:val="20"/>
              </w:rPr>
            </w:pPr>
            <w:r>
              <w:rPr>
                <w:rFonts w:cs="Lucida Sans Unicode"/>
                <w:position w:val="0"/>
                <w:szCs w:val="20"/>
              </w:rPr>
              <w:t>5</w:t>
            </w:r>
          </w:p>
        </w:tc>
        <w:tc>
          <w:tcPr>
            <w:tcW w:w="983" w:type="dxa"/>
            <w:shd w:val="clear" w:color="auto" w:fill="auto"/>
            <w:noWrap/>
            <w:vAlign w:val="bottom"/>
          </w:tcPr>
          <w:p w:rsidR="004A065A" w:rsidRDefault="002B19DA" w:rsidP="00542B1D">
            <w:pPr>
              <w:jc w:val="right"/>
              <w:rPr>
                <w:rFonts w:cs="Lucida Sans Unicode"/>
                <w:position w:val="0"/>
                <w:szCs w:val="20"/>
              </w:rPr>
            </w:pPr>
            <w:r>
              <w:rPr>
                <w:rFonts w:cs="Lucida Sans Unicode"/>
                <w:position w:val="0"/>
                <w:szCs w:val="20"/>
              </w:rPr>
              <w:t>6</w:t>
            </w:r>
          </w:p>
        </w:tc>
        <w:tc>
          <w:tcPr>
            <w:tcW w:w="984" w:type="dxa"/>
            <w:shd w:val="clear" w:color="auto" w:fill="auto"/>
            <w:noWrap/>
            <w:vAlign w:val="bottom"/>
          </w:tcPr>
          <w:p w:rsidR="004A065A" w:rsidRDefault="004A065A" w:rsidP="00542B1D">
            <w:pPr>
              <w:rPr>
                <w:rFonts w:cs="Lucida Sans Unicode"/>
                <w:position w:val="0"/>
                <w:szCs w:val="20"/>
              </w:rPr>
            </w:pPr>
          </w:p>
        </w:tc>
        <w:tc>
          <w:tcPr>
            <w:tcW w:w="823" w:type="dxa"/>
            <w:shd w:val="clear" w:color="auto" w:fill="CCCCCC"/>
            <w:noWrap/>
            <w:vAlign w:val="bottom"/>
          </w:tcPr>
          <w:p w:rsidR="004A065A" w:rsidRDefault="002B19DA" w:rsidP="00542B1D">
            <w:pPr>
              <w:jc w:val="right"/>
              <w:rPr>
                <w:rFonts w:cs="Lucida Sans Unicode"/>
                <w:bCs/>
                <w:position w:val="0"/>
                <w:szCs w:val="20"/>
              </w:rPr>
            </w:pPr>
            <w:r>
              <w:rPr>
                <w:rFonts w:cs="Lucida Sans Unicode"/>
                <w:bCs/>
                <w:position w:val="0"/>
                <w:szCs w:val="20"/>
              </w:rPr>
              <w:t>9</w:t>
            </w:r>
          </w:p>
        </w:tc>
        <w:tc>
          <w:tcPr>
            <w:tcW w:w="881" w:type="dxa"/>
            <w:shd w:val="clear" w:color="auto" w:fill="auto"/>
            <w:noWrap/>
            <w:vAlign w:val="bottom"/>
          </w:tcPr>
          <w:p w:rsidR="004A065A" w:rsidRDefault="002B19DA" w:rsidP="00542B1D">
            <w:pPr>
              <w:jc w:val="right"/>
              <w:rPr>
                <w:rFonts w:cs="Lucida Sans Unicode"/>
                <w:bCs/>
                <w:position w:val="0"/>
                <w:szCs w:val="20"/>
              </w:rPr>
            </w:pPr>
            <w:r>
              <w:rPr>
                <w:rFonts w:cs="Lucida Sans Unicode"/>
                <w:bCs/>
                <w:position w:val="0"/>
                <w:szCs w:val="20"/>
              </w:rPr>
              <w:t>9</w:t>
            </w:r>
          </w:p>
        </w:tc>
        <w:tc>
          <w:tcPr>
            <w:tcW w:w="984" w:type="dxa"/>
            <w:shd w:val="clear" w:color="auto" w:fill="auto"/>
            <w:noWrap/>
            <w:vAlign w:val="bottom"/>
          </w:tcPr>
          <w:p w:rsidR="004A065A" w:rsidRDefault="004A065A" w:rsidP="00542B1D">
            <w:pPr>
              <w:jc w:val="right"/>
              <w:rPr>
                <w:rFonts w:cs="Lucida Sans Unicode"/>
                <w:b/>
                <w:bCs/>
                <w:position w:val="0"/>
                <w:szCs w:val="20"/>
              </w:rPr>
            </w:pPr>
          </w:p>
        </w:tc>
      </w:tr>
      <w:tr w:rsidR="004A065A" w:rsidTr="00542B1D">
        <w:trPr>
          <w:trHeight w:val="255"/>
        </w:trPr>
        <w:tc>
          <w:tcPr>
            <w:tcW w:w="4605" w:type="dxa"/>
            <w:shd w:val="clear" w:color="auto" w:fill="auto"/>
            <w:noWrap/>
            <w:vAlign w:val="bottom"/>
          </w:tcPr>
          <w:p w:rsidR="004A065A" w:rsidRPr="00E83E1D" w:rsidRDefault="004A065A" w:rsidP="00542B1D">
            <w:pPr>
              <w:ind w:left="-55"/>
              <w:rPr>
                <w:rFonts w:cs="Lucida Sans Unicode"/>
                <w:position w:val="0"/>
                <w:szCs w:val="20"/>
              </w:rPr>
            </w:pPr>
            <w:r w:rsidRPr="00E83E1D">
              <w:rPr>
                <w:rFonts w:cs="Lucida Sans Unicode"/>
                <w:position w:val="0"/>
                <w:szCs w:val="20"/>
              </w:rPr>
              <w:t>= Konzernergebnis</w:t>
            </w:r>
          </w:p>
        </w:tc>
        <w:tc>
          <w:tcPr>
            <w:tcW w:w="823" w:type="dxa"/>
            <w:shd w:val="clear" w:color="auto" w:fill="CCCCCC"/>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191</w:t>
            </w:r>
          </w:p>
        </w:tc>
        <w:tc>
          <w:tcPr>
            <w:tcW w:w="983" w:type="dxa"/>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264</w:t>
            </w:r>
          </w:p>
        </w:tc>
        <w:tc>
          <w:tcPr>
            <w:tcW w:w="984" w:type="dxa"/>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-28</w:t>
            </w:r>
          </w:p>
        </w:tc>
        <w:tc>
          <w:tcPr>
            <w:tcW w:w="823" w:type="dxa"/>
            <w:shd w:val="clear" w:color="auto" w:fill="CCCCCC"/>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481</w:t>
            </w:r>
          </w:p>
        </w:tc>
        <w:tc>
          <w:tcPr>
            <w:tcW w:w="881" w:type="dxa"/>
            <w:shd w:val="clear" w:color="auto" w:fill="auto"/>
            <w:noWrap/>
            <w:vAlign w:val="bottom"/>
          </w:tcPr>
          <w:p w:rsidR="004A065A" w:rsidRPr="002B19DA" w:rsidRDefault="002B19DA" w:rsidP="00542B1D">
            <w:pPr>
              <w:jc w:val="right"/>
              <w:rPr>
                <w:rFonts w:cs="Lucida Sans Unicode"/>
                <w:bCs/>
                <w:position w:val="0"/>
                <w:szCs w:val="20"/>
              </w:rPr>
            </w:pPr>
            <w:r w:rsidRPr="002B19DA">
              <w:rPr>
                <w:rFonts w:cs="Lucida Sans Unicode"/>
                <w:bCs/>
                <w:position w:val="0"/>
                <w:szCs w:val="20"/>
              </w:rPr>
              <w:t>533</w:t>
            </w:r>
          </w:p>
        </w:tc>
        <w:tc>
          <w:tcPr>
            <w:tcW w:w="984" w:type="dxa"/>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-10</w:t>
            </w:r>
          </w:p>
        </w:tc>
      </w:tr>
      <w:tr w:rsidR="004A065A" w:rsidTr="00542B1D">
        <w:trPr>
          <w:trHeight w:val="255"/>
        </w:trPr>
        <w:tc>
          <w:tcPr>
            <w:tcW w:w="4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65A" w:rsidRPr="00E83E1D" w:rsidRDefault="004A065A" w:rsidP="00542B1D">
            <w:pPr>
              <w:ind w:left="-55"/>
              <w:rPr>
                <w:rFonts w:cs="Lucida Sans Unicode"/>
                <w:position w:val="0"/>
                <w:szCs w:val="20"/>
              </w:rPr>
            </w:pPr>
            <w:r w:rsidRPr="00E83E1D">
              <w:rPr>
                <w:rFonts w:cs="Lucida Sans Unicode"/>
                <w:position w:val="0"/>
                <w:szCs w:val="20"/>
              </w:rPr>
              <w:t>Bereinigtes Konzernergebnis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183</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249</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-27</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476</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565</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65A" w:rsidRPr="002B19DA" w:rsidRDefault="002B19DA" w:rsidP="00542B1D">
            <w:pPr>
              <w:jc w:val="right"/>
              <w:rPr>
                <w:rFonts w:cs="Lucida Sans Unicode"/>
                <w:bCs/>
                <w:position w:val="0"/>
                <w:szCs w:val="20"/>
              </w:rPr>
            </w:pPr>
            <w:r>
              <w:rPr>
                <w:rFonts w:cs="Lucida Sans Unicode"/>
                <w:bCs/>
                <w:position w:val="0"/>
                <w:szCs w:val="20"/>
              </w:rPr>
              <w:t>-16</w:t>
            </w:r>
          </w:p>
        </w:tc>
      </w:tr>
    </w:tbl>
    <w:p w:rsidR="004A065A" w:rsidRPr="0028315E" w:rsidRDefault="0028315E" w:rsidP="0028315E">
      <w:pPr>
        <w:spacing w:line="300" w:lineRule="exact"/>
        <w:ind w:left="0"/>
        <w:outlineLvl w:val="0"/>
        <w:rPr>
          <w:rFonts w:cs="Lucida Sans Unicode"/>
          <w:bCs/>
          <w:sz w:val="16"/>
          <w:szCs w:val="16"/>
        </w:rPr>
      </w:pPr>
      <w:r w:rsidRPr="0028315E">
        <w:rPr>
          <w:rFonts w:cs="Lucida Sans Unicode"/>
          <w:bCs/>
          <w:sz w:val="16"/>
          <w:szCs w:val="16"/>
        </w:rPr>
        <w:t>Vorjahreszahlen angepasst</w:t>
      </w:r>
    </w:p>
    <w:p w:rsidR="00E83E1D" w:rsidRDefault="00E83E1D" w:rsidP="004A065A">
      <w:pPr>
        <w:spacing w:line="300" w:lineRule="exact"/>
        <w:outlineLvl w:val="0"/>
        <w:rPr>
          <w:rFonts w:cs="Lucida Sans Unicode"/>
          <w:b/>
          <w:bCs/>
          <w:sz w:val="20"/>
          <w:szCs w:val="20"/>
        </w:rPr>
      </w:pPr>
    </w:p>
    <w:p w:rsidR="004A065A" w:rsidRDefault="004A065A" w:rsidP="004A065A">
      <w:pPr>
        <w:spacing w:line="300" w:lineRule="exact"/>
        <w:ind w:left="0"/>
        <w:outlineLvl w:val="0"/>
        <w:rPr>
          <w:rFonts w:cs="Lucida Sans Unicode"/>
          <w:b/>
          <w:bCs/>
          <w:sz w:val="20"/>
          <w:szCs w:val="20"/>
        </w:rPr>
      </w:pPr>
      <w:r>
        <w:rPr>
          <w:rFonts w:cs="Lucida Sans Unicode"/>
          <w:b/>
          <w:bCs/>
          <w:sz w:val="20"/>
          <w:szCs w:val="20"/>
        </w:rPr>
        <w:t>Entwicklung in den Segmenten</w:t>
      </w:r>
    </w:p>
    <w:p w:rsidR="004A065A" w:rsidRDefault="004A065A" w:rsidP="004A065A">
      <w:pPr>
        <w:spacing w:line="300" w:lineRule="exact"/>
        <w:outlineLvl w:val="0"/>
        <w:rPr>
          <w:rFonts w:cs="Lucida Sans Unicode"/>
          <w:b/>
          <w:bCs/>
          <w:sz w:val="20"/>
          <w:szCs w:val="20"/>
        </w:rPr>
      </w:pPr>
    </w:p>
    <w:tbl>
      <w:tblPr>
        <w:tblW w:w="9884" w:type="dxa"/>
        <w:tblInd w:w="55" w:type="dxa"/>
        <w:tblCellMar>
          <w:left w:w="70" w:type="dxa"/>
          <w:right w:w="70" w:type="dxa"/>
        </w:tblCellMar>
        <w:tblLook w:val="0000" w:firstRow="0" w:lastRow="0" w:firstColumn="0" w:lastColumn="0" w:noHBand="0" w:noVBand="0"/>
      </w:tblPr>
      <w:tblGrid>
        <w:gridCol w:w="3193"/>
        <w:gridCol w:w="1125"/>
        <w:gridCol w:w="1125"/>
        <w:gridCol w:w="1125"/>
        <w:gridCol w:w="1114"/>
        <w:gridCol w:w="1080"/>
        <w:gridCol w:w="45"/>
        <w:gridCol w:w="1077"/>
      </w:tblGrid>
      <w:tr w:rsidR="004A065A" w:rsidTr="00E83E1D">
        <w:trPr>
          <w:trHeight w:val="271"/>
        </w:trPr>
        <w:tc>
          <w:tcPr>
            <w:tcW w:w="3193" w:type="dxa"/>
            <w:tcBorders>
              <w:top w:val="single" w:sz="4" w:space="0" w:color="auto"/>
              <w:left w:val="single" w:sz="4" w:space="0" w:color="auto"/>
              <w:bottom w:val="nil"/>
              <w:right w:val="single" w:sz="4" w:space="0" w:color="auto"/>
            </w:tcBorders>
            <w:shd w:val="clear" w:color="auto" w:fill="auto"/>
            <w:noWrap/>
            <w:vAlign w:val="center"/>
          </w:tcPr>
          <w:p w:rsidR="004A065A" w:rsidRDefault="004A065A" w:rsidP="00542B1D">
            <w:pPr>
              <w:jc w:val="right"/>
              <w:rPr>
                <w:rFonts w:cs="Lucida Sans Unicode"/>
                <w:b/>
                <w:bCs/>
                <w:szCs w:val="20"/>
              </w:rPr>
            </w:pPr>
            <w:r>
              <w:rPr>
                <w:rFonts w:cs="Lucida Sans Unicode"/>
                <w:b/>
                <w:bCs/>
                <w:szCs w:val="20"/>
              </w:rPr>
              <w:t> </w:t>
            </w:r>
          </w:p>
        </w:tc>
        <w:tc>
          <w:tcPr>
            <w:tcW w:w="3375" w:type="dxa"/>
            <w:gridSpan w:val="3"/>
            <w:tcBorders>
              <w:top w:val="single" w:sz="4" w:space="0" w:color="auto"/>
              <w:left w:val="nil"/>
              <w:bottom w:val="single" w:sz="4" w:space="0" w:color="auto"/>
              <w:right w:val="single" w:sz="4" w:space="0" w:color="000000"/>
            </w:tcBorders>
            <w:shd w:val="clear" w:color="auto" w:fill="auto"/>
            <w:noWrap/>
            <w:vAlign w:val="bottom"/>
          </w:tcPr>
          <w:p w:rsidR="004A065A" w:rsidRDefault="004A065A" w:rsidP="00542B1D">
            <w:pPr>
              <w:jc w:val="center"/>
              <w:rPr>
                <w:rFonts w:cs="Lucida Sans Unicode"/>
                <w:b/>
                <w:bCs/>
                <w:szCs w:val="20"/>
              </w:rPr>
            </w:pPr>
            <w:r>
              <w:rPr>
                <w:rFonts w:cs="Lucida Sans Unicode"/>
                <w:b/>
                <w:bCs/>
                <w:szCs w:val="20"/>
              </w:rPr>
              <w:t>Umsatz</w:t>
            </w:r>
            <w:r w:rsidR="00791D3B">
              <w:rPr>
                <w:rFonts w:cs="Lucida Sans Unicode"/>
                <w:b/>
                <w:bCs/>
                <w:szCs w:val="20"/>
              </w:rPr>
              <w:t xml:space="preserve"> 2. Quartal </w:t>
            </w:r>
          </w:p>
        </w:tc>
        <w:tc>
          <w:tcPr>
            <w:tcW w:w="3316" w:type="dxa"/>
            <w:gridSpan w:val="4"/>
            <w:tcBorders>
              <w:top w:val="single" w:sz="4" w:space="0" w:color="auto"/>
              <w:left w:val="nil"/>
              <w:bottom w:val="single" w:sz="4" w:space="0" w:color="auto"/>
              <w:right w:val="single" w:sz="4" w:space="0" w:color="auto"/>
            </w:tcBorders>
            <w:shd w:val="clear" w:color="auto" w:fill="auto"/>
            <w:noWrap/>
            <w:vAlign w:val="bottom"/>
          </w:tcPr>
          <w:p w:rsidR="004A065A" w:rsidRDefault="004A065A" w:rsidP="00791D3B">
            <w:pPr>
              <w:jc w:val="center"/>
              <w:rPr>
                <w:rFonts w:cs="Lucida Sans Unicode"/>
                <w:b/>
                <w:bCs/>
                <w:szCs w:val="20"/>
              </w:rPr>
            </w:pPr>
            <w:r>
              <w:rPr>
                <w:rFonts w:cs="Lucida Sans Unicode"/>
                <w:b/>
                <w:bCs/>
                <w:szCs w:val="20"/>
              </w:rPr>
              <w:t>Ber</w:t>
            </w:r>
            <w:r w:rsidR="00791D3B">
              <w:rPr>
                <w:rFonts w:cs="Lucida Sans Unicode"/>
                <w:b/>
                <w:bCs/>
                <w:szCs w:val="20"/>
              </w:rPr>
              <w:t>einigtes</w:t>
            </w:r>
            <w:r>
              <w:rPr>
                <w:rFonts w:cs="Lucida Sans Unicode"/>
                <w:b/>
                <w:bCs/>
                <w:szCs w:val="20"/>
              </w:rPr>
              <w:t xml:space="preserve"> EBITDA</w:t>
            </w:r>
            <w:r w:rsidR="00791D3B">
              <w:rPr>
                <w:rFonts w:cs="Lucida Sans Unicode"/>
                <w:b/>
                <w:bCs/>
                <w:szCs w:val="20"/>
              </w:rPr>
              <w:t xml:space="preserve"> 2. Quartal</w:t>
            </w:r>
          </w:p>
        </w:tc>
      </w:tr>
      <w:tr w:rsidR="004A065A" w:rsidTr="00E83E1D">
        <w:trPr>
          <w:trHeight w:val="255"/>
        </w:trPr>
        <w:tc>
          <w:tcPr>
            <w:tcW w:w="3193" w:type="dxa"/>
            <w:tcBorders>
              <w:top w:val="nil"/>
              <w:left w:val="single" w:sz="4" w:space="0" w:color="auto"/>
              <w:bottom w:val="nil"/>
              <w:right w:val="single" w:sz="4" w:space="0" w:color="auto"/>
            </w:tcBorders>
            <w:shd w:val="clear" w:color="auto" w:fill="auto"/>
            <w:noWrap/>
            <w:vAlign w:val="center"/>
          </w:tcPr>
          <w:p w:rsidR="004A065A" w:rsidRDefault="004A065A" w:rsidP="00542B1D">
            <w:pPr>
              <w:rPr>
                <w:rFonts w:cs="Lucida Sans Unicode"/>
                <w:b/>
                <w:bCs/>
                <w:szCs w:val="20"/>
              </w:rPr>
            </w:pPr>
          </w:p>
        </w:tc>
        <w:tc>
          <w:tcPr>
            <w:tcW w:w="1125" w:type="dxa"/>
            <w:tcBorders>
              <w:top w:val="single" w:sz="4" w:space="0" w:color="auto"/>
              <w:left w:val="nil"/>
              <w:right w:val="single" w:sz="4" w:space="0" w:color="auto"/>
            </w:tcBorders>
            <w:shd w:val="clear" w:color="auto" w:fill="CCCCCC"/>
            <w:noWrap/>
            <w:vAlign w:val="bottom"/>
          </w:tcPr>
          <w:p w:rsidR="004A065A" w:rsidRDefault="00E83E1D" w:rsidP="00542B1D">
            <w:pPr>
              <w:jc w:val="center"/>
              <w:rPr>
                <w:rFonts w:cs="Lucida Sans Unicode"/>
                <w:b/>
                <w:bCs/>
                <w:szCs w:val="20"/>
              </w:rPr>
            </w:pPr>
            <w:r>
              <w:rPr>
                <w:rFonts w:cs="Lucida Sans Unicode"/>
                <w:b/>
                <w:bCs/>
                <w:szCs w:val="20"/>
              </w:rPr>
              <w:t>Q2/2013</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4A065A" w:rsidRDefault="00E83E1D" w:rsidP="00542B1D">
            <w:pPr>
              <w:jc w:val="center"/>
              <w:rPr>
                <w:rFonts w:cs="Lucida Sans Unicode"/>
                <w:b/>
                <w:bCs/>
                <w:szCs w:val="20"/>
              </w:rPr>
            </w:pPr>
            <w:r>
              <w:rPr>
                <w:rFonts w:cs="Lucida Sans Unicode"/>
                <w:b/>
                <w:bCs/>
                <w:szCs w:val="20"/>
              </w:rPr>
              <w:t>Q2/2012</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4A065A" w:rsidRDefault="004A065A" w:rsidP="00542B1D">
            <w:pPr>
              <w:jc w:val="center"/>
              <w:rPr>
                <w:rFonts w:cs="Lucida Sans Unicode"/>
                <w:b/>
                <w:bCs/>
                <w:szCs w:val="20"/>
              </w:rPr>
            </w:pPr>
            <w:r>
              <w:rPr>
                <w:rFonts w:cs="Lucida Sans Unicode"/>
                <w:b/>
                <w:bCs/>
                <w:szCs w:val="20"/>
              </w:rPr>
              <w:t>Veränd.</w:t>
            </w:r>
          </w:p>
        </w:tc>
        <w:tc>
          <w:tcPr>
            <w:tcW w:w="1114" w:type="dxa"/>
            <w:tcBorders>
              <w:top w:val="single" w:sz="4" w:space="0" w:color="auto"/>
              <w:left w:val="nil"/>
              <w:right w:val="single" w:sz="4" w:space="0" w:color="auto"/>
            </w:tcBorders>
            <w:shd w:val="clear" w:color="auto" w:fill="CCCCCC"/>
            <w:noWrap/>
            <w:vAlign w:val="bottom"/>
          </w:tcPr>
          <w:p w:rsidR="004A065A" w:rsidRDefault="00E83E1D" w:rsidP="00542B1D">
            <w:pPr>
              <w:jc w:val="center"/>
              <w:rPr>
                <w:rFonts w:cs="Lucida Sans Unicode"/>
                <w:b/>
                <w:bCs/>
                <w:szCs w:val="20"/>
              </w:rPr>
            </w:pPr>
            <w:r>
              <w:rPr>
                <w:rFonts w:cs="Lucida Sans Unicode"/>
                <w:b/>
                <w:bCs/>
                <w:szCs w:val="20"/>
              </w:rPr>
              <w:t>Q2/2013</w:t>
            </w:r>
          </w:p>
        </w:tc>
        <w:tc>
          <w:tcPr>
            <w:tcW w:w="1125" w:type="dxa"/>
            <w:gridSpan w:val="2"/>
            <w:tcBorders>
              <w:top w:val="single" w:sz="4" w:space="0" w:color="auto"/>
              <w:left w:val="single" w:sz="4" w:space="0" w:color="auto"/>
              <w:bottom w:val="nil"/>
              <w:right w:val="single" w:sz="4" w:space="0" w:color="auto"/>
            </w:tcBorders>
            <w:shd w:val="clear" w:color="auto" w:fill="auto"/>
            <w:noWrap/>
            <w:vAlign w:val="bottom"/>
          </w:tcPr>
          <w:p w:rsidR="004A065A" w:rsidRDefault="00E83E1D" w:rsidP="00542B1D">
            <w:pPr>
              <w:jc w:val="center"/>
              <w:rPr>
                <w:rFonts w:cs="Lucida Sans Unicode"/>
                <w:b/>
                <w:bCs/>
                <w:szCs w:val="20"/>
              </w:rPr>
            </w:pPr>
            <w:r>
              <w:rPr>
                <w:rFonts w:cs="Lucida Sans Unicode"/>
                <w:b/>
                <w:bCs/>
                <w:szCs w:val="20"/>
              </w:rPr>
              <w:t>Q2/2012</w:t>
            </w:r>
          </w:p>
        </w:tc>
        <w:tc>
          <w:tcPr>
            <w:tcW w:w="1077" w:type="dxa"/>
            <w:tcBorders>
              <w:top w:val="single" w:sz="4" w:space="0" w:color="auto"/>
              <w:left w:val="single" w:sz="4" w:space="0" w:color="auto"/>
              <w:bottom w:val="nil"/>
              <w:right w:val="single" w:sz="4" w:space="0" w:color="auto"/>
            </w:tcBorders>
            <w:shd w:val="clear" w:color="auto" w:fill="auto"/>
            <w:noWrap/>
            <w:vAlign w:val="bottom"/>
          </w:tcPr>
          <w:p w:rsidR="004A065A" w:rsidRDefault="004A065A" w:rsidP="00542B1D">
            <w:pPr>
              <w:jc w:val="center"/>
              <w:rPr>
                <w:rFonts w:cs="Lucida Sans Unicode"/>
                <w:b/>
                <w:bCs/>
                <w:szCs w:val="20"/>
              </w:rPr>
            </w:pPr>
            <w:r>
              <w:rPr>
                <w:rFonts w:cs="Lucida Sans Unicode"/>
                <w:b/>
                <w:bCs/>
                <w:szCs w:val="20"/>
              </w:rPr>
              <w:t>Veränd.</w:t>
            </w:r>
          </w:p>
        </w:tc>
      </w:tr>
      <w:tr w:rsidR="004A065A" w:rsidTr="00E83E1D">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4A065A" w:rsidRDefault="004A065A" w:rsidP="00542B1D">
            <w:pPr>
              <w:rPr>
                <w:rFonts w:cs="Lucida Sans Unicode"/>
                <w:b/>
                <w:bCs/>
                <w:szCs w:val="20"/>
              </w:rPr>
            </w:pPr>
            <w:r>
              <w:rPr>
                <w:rFonts w:cs="Lucida Sans Unicode"/>
                <w:b/>
                <w:bCs/>
                <w:szCs w:val="20"/>
              </w:rPr>
              <w:t> </w:t>
            </w:r>
          </w:p>
        </w:tc>
        <w:tc>
          <w:tcPr>
            <w:tcW w:w="1125" w:type="dxa"/>
            <w:tcBorders>
              <w:left w:val="nil"/>
              <w:bottom w:val="single" w:sz="4" w:space="0" w:color="auto"/>
              <w:right w:val="single" w:sz="4" w:space="0" w:color="auto"/>
            </w:tcBorders>
            <w:shd w:val="clear" w:color="auto" w:fill="CCCCCC"/>
            <w:vAlign w:val="center"/>
          </w:tcPr>
          <w:p w:rsidR="004A065A" w:rsidRDefault="004A065A" w:rsidP="00542B1D">
            <w:pPr>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4A065A" w:rsidRDefault="004A065A" w:rsidP="00542B1D">
            <w:pPr>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4A065A" w:rsidRDefault="004A065A" w:rsidP="00542B1D">
            <w:pPr>
              <w:jc w:val="center"/>
              <w:rPr>
                <w:rFonts w:cs="Lucida Sans Unicode"/>
                <w:b/>
                <w:bCs/>
                <w:szCs w:val="20"/>
              </w:rPr>
            </w:pPr>
            <w:r>
              <w:rPr>
                <w:rFonts w:cs="Lucida Sans Unicode"/>
                <w:b/>
                <w:bCs/>
                <w:szCs w:val="20"/>
              </w:rPr>
              <w:t>in %</w:t>
            </w:r>
          </w:p>
        </w:tc>
        <w:tc>
          <w:tcPr>
            <w:tcW w:w="1114" w:type="dxa"/>
            <w:tcBorders>
              <w:left w:val="nil"/>
              <w:bottom w:val="single" w:sz="4" w:space="0" w:color="auto"/>
              <w:right w:val="single" w:sz="4" w:space="0" w:color="auto"/>
            </w:tcBorders>
            <w:shd w:val="clear" w:color="auto" w:fill="CCCCCC"/>
            <w:vAlign w:val="center"/>
          </w:tcPr>
          <w:p w:rsidR="004A065A" w:rsidRDefault="004A065A" w:rsidP="00542B1D">
            <w:pPr>
              <w:jc w:val="center"/>
              <w:rPr>
                <w:rFonts w:cs="Lucida Sans Unicode"/>
                <w:b/>
                <w:bCs/>
                <w:szCs w:val="20"/>
              </w:rPr>
            </w:pPr>
            <w:r>
              <w:rPr>
                <w:rFonts w:cs="Lucida Sans Unicode"/>
                <w:b/>
                <w:bCs/>
                <w:szCs w:val="20"/>
              </w:rPr>
              <w:t>Mio. €</w:t>
            </w:r>
          </w:p>
        </w:tc>
        <w:tc>
          <w:tcPr>
            <w:tcW w:w="1125" w:type="dxa"/>
            <w:gridSpan w:val="2"/>
            <w:tcBorders>
              <w:top w:val="nil"/>
              <w:left w:val="single" w:sz="4" w:space="0" w:color="auto"/>
              <w:bottom w:val="single" w:sz="4" w:space="0" w:color="auto"/>
              <w:right w:val="single" w:sz="4" w:space="0" w:color="auto"/>
            </w:tcBorders>
            <w:shd w:val="clear" w:color="auto" w:fill="auto"/>
            <w:vAlign w:val="center"/>
          </w:tcPr>
          <w:p w:rsidR="004A065A" w:rsidRDefault="004A065A" w:rsidP="00542B1D">
            <w:pPr>
              <w:jc w:val="center"/>
              <w:rPr>
                <w:rFonts w:cs="Lucida Sans Unicode"/>
                <w:b/>
                <w:bCs/>
                <w:szCs w:val="20"/>
              </w:rPr>
            </w:pPr>
            <w:r>
              <w:rPr>
                <w:rFonts w:cs="Lucida Sans Unicode"/>
                <w:b/>
                <w:bCs/>
                <w:szCs w:val="20"/>
              </w:rPr>
              <w:t>Mio. €</w:t>
            </w:r>
          </w:p>
        </w:tc>
        <w:tc>
          <w:tcPr>
            <w:tcW w:w="1077" w:type="dxa"/>
            <w:tcBorders>
              <w:top w:val="nil"/>
              <w:left w:val="single" w:sz="4" w:space="0" w:color="auto"/>
              <w:bottom w:val="single" w:sz="4" w:space="0" w:color="auto"/>
              <w:right w:val="single" w:sz="4" w:space="0" w:color="auto"/>
            </w:tcBorders>
            <w:shd w:val="clear" w:color="auto" w:fill="auto"/>
            <w:vAlign w:val="center"/>
          </w:tcPr>
          <w:p w:rsidR="004A065A" w:rsidRDefault="004A065A" w:rsidP="00542B1D">
            <w:pPr>
              <w:jc w:val="center"/>
              <w:rPr>
                <w:rFonts w:cs="Lucida Sans Unicode"/>
                <w:b/>
                <w:bCs/>
                <w:szCs w:val="20"/>
              </w:rPr>
            </w:pPr>
            <w:r>
              <w:rPr>
                <w:rFonts w:cs="Lucida Sans Unicode"/>
                <w:b/>
                <w:bCs/>
                <w:szCs w:val="20"/>
              </w:rPr>
              <w:t>in %</w:t>
            </w:r>
          </w:p>
        </w:tc>
      </w:tr>
      <w:tr w:rsidR="004A065A" w:rsidTr="00E83E1D">
        <w:trPr>
          <w:trHeight w:val="300"/>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Default="004A065A" w:rsidP="00542B1D">
            <w:pPr>
              <w:ind w:left="-55"/>
              <w:rPr>
                <w:rFonts w:cs="Lucida Sans Unicode"/>
                <w:position w:val="0"/>
                <w:szCs w:val="20"/>
              </w:rPr>
            </w:pPr>
            <w:r>
              <w:rPr>
                <w:rFonts w:cs="Lucida Sans Unicode"/>
                <w:position w:val="0"/>
                <w:szCs w:val="20"/>
              </w:rPr>
              <w:t>Consumer, Health &amp; Nutrition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A065A" w:rsidRDefault="00791D3B" w:rsidP="00542B1D">
            <w:pPr>
              <w:jc w:val="right"/>
              <w:rPr>
                <w:rFonts w:cs="Lucida Sans Unicode"/>
                <w:position w:val="0"/>
                <w:szCs w:val="20"/>
              </w:rPr>
            </w:pPr>
            <w:r>
              <w:rPr>
                <w:rFonts w:cs="Lucida Sans Unicode"/>
                <w:position w:val="0"/>
                <w:szCs w:val="20"/>
              </w:rPr>
              <w:t>1.057</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Default="00791D3B" w:rsidP="00542B1D">
            <w:pPr>
              <w:jc w:val="right"/>
              <w:rPr>
                <w:rFonts w:cs="Lucida Sans Unicode"/>
                <w:position w:val="0"/>
                <w:szCs w:val="20"/>
              </w:rPr>
            </w:pPr>
            <w:r>
              <w:rPr>
                <w:rFonts w:cs="Lucida Sans Unicode"/>
                <w:position w:val="0"/>
                <w:szCs w:val="20"/>
              </w:rPr>
              <w:t>1.031</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4A065A" w:rsidRDefault="00791D3B" w:rsidP="00542B1D">
            <w:pPr>
              <w:jc w:val="right"/>
              <w:rPr>
                <w:rFonts w:cs="Lucida Sans Unicode"/>
                <w:position w:val="0"/>
                <w:szCs w:val="20"/>
              </w:rPr>
            </w:pPr>
            <w:r>
              <w:rPr>
                <w:rFonts w:cs="Lucida Sans Unicode"/>
                <w:position w:val="0"/>
                <w:szCs w:val="20"/>
              </w:rPr>
              <w:t>3</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A065A" w:rsidRDefault="00791D3B" w:rsidP="00542B1D">
            <w:pPr>
              <w:jc w:val="right"/>
              <w:rPr>
                <w:rFonts w:cs="Lucida Sans Unicode"/>
                <w:position w:val="0"/>
                <w:szCs w:val="20"/>
              </w:rPr>
            </w:pPr>
            <w:r>
              <w:rPr>
                <w:rFonts w:cs="Lucida Sans Unicode"/>
                <w:position w:val="0"/>
                <w:szCs w:val="20"/>
              </w:rPr>
              <w:t>222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Default="00791D3B" w:rsidP="00542B1D">
            <w:pPr>
              <w:jc w:val="right"/>
              <w:rPr>
                <w:rFonts w:cs="Lucida Sans Unicode"/>
                <w:position w:val="0"/>
                <w:szCs w:val="20"/>
              </w:rPr>
            </w:pPr>
            <w:r>
              <w:rPr>
                <w:rFonts w:cs="Lucida Sans Unicode"/>
                <w:position w:val="0"/>
                <w:szCs w:val="20"/>
              </w:rPr>
              <w:t>259</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4A065A" w:rsidRDefault="00791D3B" w:rsidP="00542B1D">
            <w:pPr>
              <w:jc w:val="right"/>
              <w:rPr>
                <w:rFonts w:cs="Lucida Sans Unicode"/>
                <w:position w:val="0"/>
                <w:szCs w:val="20"/>
              </w:rPr>
            </w:pPr>
            <w:r>
              <w:rPr>
                <w:rFonts w:cs="Lucida Sans Unicode"/>
                <w:position w:val="0"/>
                <w:szCs w:val="20"/>
              </w:rPr>
              <w:t>-14</w:t>
            </w:r>
          </w:p>
        </w:tc>
      </w:tr>
      <w:tr w:rsidR="004A065A" w:rsidTr="00E83E1D">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4A065A" w:rsidRDefault="004A065A" w:rsidP="00542B1D">
            <w:pPr>
              <w:ind w:left="-55"/>
              <w:rPr>
                <w:rFonts w:cs="Lucida Sans Unicode"/>
                <w:position w:val="0"/>
                <w:szCs w:val="20"/>
              </w:rPr>
            </w:pPr>
            <w:r>
              <w:rPr>
                <w:rFonts w:cs="Lucida Sans Unicode"/>
                <w:position w:val="0"/>
                <w:szCs w:val="20"/>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A065A" w:rsidRDefault="00791D3B" w:rsidP="00542B1D">
            <w:pPr>
              <w:jc w:val="right"/>
              <w:rPr>
                <w:rFonts w:cs="Lucida Sans Unicode"/>
                <w:position w:val="0"/>
                <w:szCs w:val="20"/>
              </w:rPr>
            </w:pPr>
            <w:r>
              <w:rPr>
                <w:rFonts w:cs="Lucida Sans Unicode"/>
                <w:position w:val="0"/>
                <w:szCs w:val="20"/>
              </w:rPr>
              <w:t>801</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4A065A" w:rsidRDefault="00791D3B" w:rsidP="00542B1D">
            <w:pPr>
              <w:jc w:val="right"/>
              <w:rPr>
                <w:rFonts w:cs="Lucida Sans Unicode"/>
                <w:position w:val="0"/>
                <w:szCs w:val="20"/>
              </w:rPr>
            </w:pPr>
            <w:r>
              <w:rPr>
                <w:rFonts w:cs="Lucida Sans Unicode"/>
                <w:position w:val="0"/>
                <w:szCs w:val="20"/>
              </w:rPr>
              <w:t>834</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4A065A" w:rsidRDefault="00791D3B" w:rsidP="00542B1D">
            <w:pPr>
              <w:jc w:val="right"/>
              <w:rPr>
                <w:rFonts w:cs="Lucida Sans Unicode"/>
                <w:position w:val="0"/>
                <w:szCs w:val="20"/>
              </w:rPr>
            </w:pPr>
            <w:r>
              <w:rPr>
                <w:rFonts w:cs="Lucida Sans Unicode"/>
                <w:position w:val="0"/>
                <w:szCs w:val="20"/>
              </w:rP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A065A" w:rsidRDefault="00791D3B" w:rsidP="00542B1D">
            <w:pPr>
              <w:jc w:val="right"/>
              <w:rPr>
                <w:rFonts w:cs="Lucida Sans Unicode"/>
                <w:position w:val="0"/>
                <w:szCs w:val="20"/>
              </w:rPr>
            </w:pPr>
            <w:r>
              <w:rPr>
                <w:rFonts w:cs="Lucida Sans Unicode"/>
                <w:position w:val="0"/>
                <w:szCs w:val="20"/>
              </w:rPr>
              <w:t>174</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4A065A" w:rsidRDefault="00791D3B" w:rsidP="00542B1D">
            <w:pPr>
              <w:jc w:val="right"/>
              <w:rPr>
                <w:rFonts w:cs="Lucida Sans Unicode"/>
                <w:position w:val="0"/>
                <w:szCs w:val="20"/>
              </w:rPr>
            </w:pPr>
            <w:r>
              <w:rPr>
                <w:rFonts w:cs="Lucida Sans Unicode"/>
                <w:position w:val="0"/>
                <w:szCs w:val="20"/>
              </w:rPr>
              <w:t>176</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4A065A" w:rsidRDefault="00791D3B" w:rsidP="00542B1D">
            <w:pPr>
              <w:jc w:val="right"/>
              <w:rPr>
                <w:rFonts w:cs="Lucida Sans Unicode"/>
                <w:position w:val="0"/>
                <w:szCs w:val="20"/>
              </w:rPr>
            </w:pPr>
            <w:r>
              <w:rPr>
                <w:rFonts w:cs="Lucida Sans Unicode"/>
                <w:position w:val="0"/>
                <w:szCs w:val="20"/>
              </w:rPr>
              <w:t>-1</w:t>
            </w:r>
          </w:p>
        </w:tc>
      </w:tr>
      <w:tr w:rsidR="004A065A" w:rsidTr="00E83E1D">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4A065A" w:rsidRDefault="004A065A" w:rsidP="00542B1D">
            <w:pPr>
              <w:ind w:left="-55"/>
              <w:rPr>
                <w:rFonts w:cs="Lucida Sans Unicode"/>
                <w:position w:val="0"/>
                <w:szCs w:val="20"/>
              </w:rPr>
            </w:pPr>
            <w:r>
              <w:rPr>
                <w:rFonts w:cs="Lucida Sans Unicode"/>
                <w:position w:val="0"/>
                <w:szCs w:val="20"/>
              </w:rPr>
              <w:t>Specialty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A065A" w:rsidRDefault="00902268" w:rsidP="00542B1D">
            <w:pPr>
              <w:jc w:val="right"/>
              <w:rPr>
                <w:rFonts w:cs="Lucida Sans Unicode"/>
                <w:position w:val="0"/>
                <w:szCs w:val="20"/>
              </w:rPr>
            </w:pPr>
            <w:r>
              <w:rPr>
                <w:rFonts w:cs="Lucida Sans Unicode"/>
                <w:position w:val="0"/>
                <w:szCs w:val="20"/>
              </w:rPr>
              <w:t>1.129</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4A065A" w:rsidRDefault="00902268" w:rsidP="00A03972">
            <w:pPr>
              <w:jc w:val="right"/>
              <w:rPr>
                <w:rFonts w:cs="Lucida Sans Unicode"/>
                <w:position w:val="0"/>
                <w:szCs w:val="20"/>
              </w:rPr>
            </w:pPr>
            <w:r>
              <w:rPr>
                <w:rFonts w:cs="Lucida Sans Unicode"/>
                <w:position w:val="0"/>
                <w:szCs w:val="20"/>
              </w:rPr>
              <w:t>1.</w:t>
            </w:r>
            <w:r w:rsidR="00A03972">
              <w:rPr>
                <w:rFonts w:cs="Lucida Sans Unicode"/>
                <w:position w:val="0"/>
                <w:szCs w:val="20"/>
              </w:rPr>
              <w:t>2</w:t>
            </w:r>
            <w:r>
              <w:rPr>
                <w:rFonts w:cs="Lucida Sans Unicode"/>
                <w:position w:val="0"/>
                <w:szCs w:val="20"/>
              </w:rPr>
              <w:t>69</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4A065A" w:rsidRDefault="00902268" w:rsidP="00542B1D">
            <w:pPr>
              <w:jc w:val="right"/>
              <w:rPr>
                <w:rFonts w:cs="Lucida Sans Unicode"/>
                <w:position w:val="0"/>
                <w:szCs w:val="20"/>
              </w:rPr>
            </w:pPr>
            <w:r>
              <w:rPr>
                <w:rFonts w:cs="Lucida Sans Unicode"/>
                <w:position w:val="0"/>
                <w:szCs w:val="20"/>
              </w:rPr>
              <w:t>-11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A065A" w:rsidRDefault="00902268" w:rsidP="00542B1D">
            <w:pPr>
              <w:jc w:val="right"/>
              <w:rPr>
                <w:rFonts w:cs="Lucida Sans Unicode"/>
                <w:position w:val="0"/>
                <w:szCs w:val="20"/>
              </w:rPr>
            </w:pPr>
            <w:r>
              <w:rPr>
                <w:rFonts w:cs="Lucida Sans Unicode"/>
                <w:position w:val="0"/>
                <w:szCs w:val="20"/>
              </w:rPr>
              <w:t>128</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4A065A" w:rsidRDefault="00902268" w:rsidP="00542B1D">
            <w:pPr>
              <w:jc w:val="right"/>
              <w:rPr>
                <w:rFonts w:cs="Lucida Sans Unicode"/>
                <w:position w:val="0"/>
                <w:szCs w:val="20"/>
              </w:rPr>
            </w:pPr>
            <w:r>
              <w:rPr>
                <w:rFonts w:cs="Lucida Sans Unicode"/>
                <w:position w:val="0"/>
                <w:szCs w:val="20"/>
              </w:rPr>
              <w:t>241</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4A065A" w:rsidRDefault="00902268" w:rsidP="00542B1D">
            <w:pPr>
              <w:jc w:val="right"/>
              <w:rPr>
                <w:rFonts w:cs="Lucida Sans Unicode"/>
                <w:position w:val="0"/>
                <w:szCs w:val="20"/>
              </w:rPr>
            </w:pPr>
            <w:r>
              <w:rPr>
                <w:rFonts w:cs="Lucida Sans Unicode"/>
                <w:position w:val="0"/>
                <w:szCs w:val="20"/>
              </w:rPr>
              <w:t>-47</w:t>
            </w:r>
          </w:p>
        </w:tc>
      </w:tr>
      <w:tr w:rsidR="004A065A" w:rsidTr="00E83E1D">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4A065A" w:rsidRDefault="004A065A" w:rsidP="00542B1D">
            <w:pPr>
              <w:ind w:left="-55"/>
              <w:rPr>
                <w:rFonts w:cs="Lucida Sans Unicode"/>
                <w:position w:val="0"/>
                <w:szCs w:val="20"/>
              </w:rPr>
            </w:pPr>
            <w:r>
              <w:rPr>
                <w:rFonts w:cs="Lucida Sans Unicode"/>
                <w:position w:val="0"/>
                <w:szCs w:val="20"/>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A065A" w:rsidRDefault="00902268" w:rsidP="00542B1D">
            <w:pPr>
              <w:jc w:val="right"/>
              <w:rPr>
                <w:rFonts w:cs="Lucida Sans Unicode"/>
                <w:position w:val="0"/>
                <w:szCs w:val="20"/>
              </w:rPr>
            </w:pPr>
            <w:r>
              <w:rPr>
                <w:rFonts w:cs="Lucida Sans Unicode"/>
                <w:position w:val="0"/>
                <w:szCs w:val="20"/>
              </w:rPr>
              <w:t>215</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4A065A" w:rsidRDefault="00902268" w:rsidP="00542B1D">
            <w:pPr>
              <w:jc w:val="right"/>
              <w:rPr>
                <w:rFonts w:cs="Lucida Sans Unicode"/>
                <w:position w:val="0"/>
                <w:szCs w:val="20"/>
              </w:rPr>
            </w:pPr>
            <w:r>
              <w:rPr>
                <w:rFonts w:cs="Lucida Sans Unicode"/>
                <w:position w:val="0"/>
                <w:szCs w:val="20"/>
              </w:rPr>
              <w:t>245</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4A065A" w:rsidRDefault="00902268" w:rsidP="00542B1D">
            <w:pPr>
              <w:jc w:val="right"/>
              <w:rPr>
                <w:rFonts w:cs="Lucida Sans Unicode"/>
                <w:position w:val="0"/>
                <w:szCs w:val="20"/>
              </w:rPr>
            </w:pPr>
            <w:r>
              <w:rPr>
                <w:rFonts w:cs="Lucida Sans Unicode"/>
                <w:position w:val="0"/>
                <w:szCs w:val="20"/>
              </w:rPr>
              <w:t>-12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A065A" w:rsidRDefault="00902268" w:rsidP="00542B1D">
            <w:pPr>
              <w:jc w:val="right"/>
              <w:rPr>
                <w:rFonts w:cs="Lucida Sans Unicode"/>
                <w:position w:val="0"/>
                <w:szCs w:val="20"/>
              </w:rPr>
            </w:pPr>
            <w:r>
              <w:rPr>
                <w:rFonts w:cs="Lucida Sans Unicode"/>
                <w:position w:val="0"/>
                <w:szCs w:val="20"/>
              </w:rPr>
              <w:t>52</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4A065A" w:rsidRDefault="00902268" w:rsidP="00542B1D">
            <w:pPr>
              <w:jc w:val="right"/>
              <w:rPr>
                <w:rFonts w:cs="Lucida Sans Unicode"/>
                <w:position w:val="0"/>
                <w:szCs w:val="20"/>
              </w:rPr>
            </w:pPr>
            <w:r>
              <w:rPr>
                <w:rFonts w:cs="Lucida Sans Unicode"/>
                <w:position w:val="0"/>
                <w:szCs w:val="20"/>
              </w:rPr>
              <w:t>49</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4A065A" w:rsidRDefault="00902268" w:rsidP="00542B1D">
            <w:pPr>
              <w:jc w:val="right"/>
              <w:rPr>
                <w:rFonts w:cs="Lucida Sans Unicode"/>
                <w:position w:val="0"/>
                <w:szCs w:val="20"/>
              </w:rPr>
            </w:pPr>
            <w:r>
              <w:rPr>
                <w:rFonts w:cs="Lucida Sans Unicode"/>
                <w:position w:val="0"/>
                <w:szCs w:val="20"/>
              </w:rPr>
              <w:t>6</w:t>
            </w:r>
          </w:p>
        </w:tc>
      </w:tr>
      <w:tr w:rsidR="004A065A" w:rsidTr="00E83E1D">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4A065A" w:rsidRDefault="004A065A" w:rsidP="00542B1D">
            <w:pPr>
              <w:ind w:left="-55"/>
              <w:rPr>
                <w:rFonts w:cs="Lucida Sans Unicode"/>
                <w:position w:val="0"/>
                <w:szCs w:val="20"/>
              </w:rPr>
            </w:pPr>
            <w:r>
              <w:rPr>
                <w:rFonts w:cs="Lucida Sans Unicode"/>
                <w:position w:val="0"/>
                <w:szCs w:val="20"/>
              </w:rPr>
              <w:t>Sonstige Aktivitäten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A065A" w:rsidRPr="00A03972" w:rsidRDefault="00A03972" w:rsidP="00542B1D">
            <w:pPr>
              <w:jc w:val="right"/>
              <w:rPr>
                <w:rFonts w:cs="Lucida Sans Unicode"/>
                <w:position w:val="0"/>
                <w:szCs w:val="20"/>
              </w:rPr>
            </w:pPr>
            <w:r>
              <w:rPr>
                <w:rFonts w:cs="Lucida Sans Unicode"/>
                <w:position w:val="0"/>
                <w:szCs w:val="20"/>
              </w:rPr>
              <w:t>61</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4A065A" w:rsidRDefault="00A03972" w:rsidP="00542B1D">
            <w:pPr>
              <w:jc w:val="right"/>
              <w:rPr>
                <w:rFonts w:cs="Lucida Sans Unicode"/>
                <w:position w:val="0"/>
                <w:szCs w:val="20"/>
              </w:rPr>
            </w:pPr>
            <w:r>
              <w:rPr>
                <w:rFonts w:cs="Lucida Sans Unicode"/>
                <w:position w:val="0"/>
                <w:szCs w:val="20"/>
              </w:rPr>
              <w:t>49</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4A065A" w:rsidRDefault="004A065A" w:rsidP="00542B1D">
            <w:pPr>
              <w:jc w:val="right"/>
              <w:rPr>
                <w:rFonts w:cs="Lucida Sans Unicode"/>
                <w:position w:val="0"/>
                <w:szCs w:val="20"/>
              </w:rPr>
            </w:pP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A065A" w:rsidRDefault="00A03972" w:rsidP="00542B1D">
            <w:pPr>
              <w:jc w:val="right"/>
              <w:rPr>
                <w:rFonts w:cs="Lucida Sans Unicode"/>
                <w:position w:val="0"/>
                <w:szCs w:val="20"/>
              </w:rPr>
            </w:pPr>
            <w:r>
              <w:rPr>
                <w:rFonts w:cs="Lucida Sans Unicode"/>
                <w:position w:val="0"/>
                <w:szCs w:val="20"/>
              </w:rPr>
              <w:t>-87</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4A065A" w:rsidRDefault="00A03972" w:rsidP="00542B1D">
            <w:pPr>
              <w:jc w:val="right"/>
              <w:rPr>
                <w:rFonts w:cs="Lucida Sans Unicode"/>
                <w:position w:val="0"/>
                <w:szCs w:val="20"/>
              </w:rPr>
            </w:pPr>
            <w:r>
              <w:rPr>
                <w:rFonts w:cs="Lucida Sans Unicode"/>
                <w:position w:val="0"/>
                <w:szCs w:val="20"/>
              </w:rPr>
              <w:t>-93</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4A065A" w:rsidRDefault="004A065A" w:rsidP="00542B1D">
            <w:pPr>
              <w:jc w:val="right"/>
              <w:rPr>
                <w:rFonts w:cs="Lucida Sans Unicode"/>
                <w:position w:val="0"/>
                <w:szCs w:val="20"/>
              </w:rPr>
            </w:pPr>
          </w:p>
        </w:tc>
      </w:tr>
      <w:tr w:rsidR="004A065A" w:rsidRPr="00E83E1D" w:rsidTr="00E83E1D">
        <w:trPr>
          <w:trHeight w:val="300"/>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Pr="00E83E1D" w:rsidRDefault="004A065A" w:rsidP="00542B1D">
            <w:pPr>
              <w:ind w:left="-55"/>
              <w:rPr>
                <w:rFonts w:cs="Lucida Sans Unicode"/>
                <w:bCs/>
                <w:position w:val="0"/>
                <w:szCs w:val="20"/>
              </w:rPr>
            </w:pPr>
            <w:r w:rsidRPr="00E83E1D">
              <w:rPr>
                <w:rFonts w:cs="Lucida Sans Unicode"/>
                <w:bCs/>
                <w:position w:val="0"/>
                <w:szCs w:val="20"/>
              </w:rPr>
              <w:t>Konzern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A065A" w:rsidRPr="00E83E1D" w:rsidRDefault="00902268" w:rsidP="00542B1D">
            <w:pPr>
              <w:jc w:val="right"/>
              <w:rPr>
                <w:rFonts w:cs="Lucida Sans Unicode"/>
                <w:bCs/>
                <w:position w:val="0"/>
                <w:szCs w:val="20"/>
              </w:rPr>
            </w:pPr>
            <w:r w:rsidRPr="00902268">
              <w:rPr>
                <w:rFonts w:cs="Lucida Sans Unicode"/>
                <w:bCs/>
                <w:position w:val="0"/>
                <w:szCs w:val="20"/>
              </w:rPr>
              <w:t>3.263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Pr="00E83E1D" w:rsidRDefault="00902268" w:rsidP="00542B1D">
            <w:pPr>
              <w:jc w:val="right"/>
              <w:rPr>
                <w:rFonts w:cs="Lucida Sans Unicode"/>
                <w:bCs/>
                <w:position w:val="0"/>
                <w:szCs w:val="20"/>
              </w:rPr>
            </w:pPr>
            <w:r>
              <w:rPr>
                <w:rFonts w:cs="Lucida Sans Unicode"/>
                <w:bCs/>
                <w:position w:val="0"/>
                <w:szCs w:val="20"/>
              </w:rPr>
              <w:t>3.428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65A" w:rsidRPr="00E83E1D" w:rsidRDefault="00902268" w:rsidP="00542B1D">
            <w:pPr>
              <w:jc w:val="right"/>
              <w:rPr>
                <w:rFonts w:cs="Lucida Sans Unicode"/>
                <w:bCs/>
                <w:position w:val="0"/>
                <w:szCs w:val="20"/>
              </w:rPr>
            </w:pPr>
            <w:r>
              <w:rPr>
                <w:rFonts w:cs="Lucida Sans Unicode"/>
                <w:bCs/>
                <w:position w:val="0"/>
                <w:szCs w:val="20"/>
              </w:rP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A065A" w:rsidRPr="00E83E1D" w:rsidRDefault="00902268" w:rsidP="00542B1D">
            <w:pPr>
              <w:jc w:val="right"/>
              <w:rPr>
                <w:rFonts w:cs="Lucida Sans Unicode"/>
                <w:bCs/>
                <w:position w:val="0"/>
                <w:szCs w:val="20"/>
              </w:rPr>
            </w:pPr>
            <w:r w:rsidRPr="00902268">
              <w:rPr>
                <w:rFonts w:cs="Lucida Sans Unicode"/>
                <w:bCs/>
                <w:position w:val="0"/>
                <w:szCs w:val="20"/>
              </w:rPr>
              <w:t>489</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Pr="00E83E1D" w:rsidRDefault="00902268" w:rsidP="00542B1D">
            <w:pPr>
              <w:jc w:val="right"/>
              <w:rPr>
                <w:rFonts w:cs="Lucida Sans Unicode"/>
                <w:bCs/>
                <w:position w:val="0"/>
                <w:szCs w:val="20"/>
              </w:rPr>
            </w:pPr>
            <w:r>
              <w:rPr>
                <w:rFonts w:cs="Lucida Sans Unicode"/>
                <w:bCs/>
                <w:position w:val="0"/>
                <w:szCs w:val="20"/>
              </w:rPr>
              <w:t>632</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65A" w:rsidRPr="00E83E1D" w:rsidRDefault="00902268" w:rsidP="00542B1D">
            <w:pPr>
              <w:jc w:val="right"/>
              <w:rPr>
                <w:rFonts w:cs="Lucida Sans Unicode"/>
                <w:bCs/>
                <w:position w:val="0"/>
                <w:szCs w:val="20"/>
              </w:rPr>
            </w:pPr>
            <w:r>
              <w:rPr>
                <w:rFonts w:cs="Lucida Sans Unicode"/>
                <w:bCs/>
                <w:position w:val="0"/>
                <w:szCs w:val="20"/>
              </w:rPr>
              <w:t>-23</w:t>
            </w:r>
          </w:p>
        </w:tc>
      </w:tr>
      <w:tr w:rsidR="004A065A" w:rsidTr="00E83E1D">
        <w:trPr>
          <w:trHeight w:val="255"/>
        </w:trPr>
        <w:tc>
          <w:tcPr>
            <w:tcW w:w="3193" w:type="dxa"/>
            <w:tcBorders>
              <w:top w:val="single" w:sz="4" w:space="0" w:color="auto"/>
              <w:left w:val="single" w:sz="4" w:space="0" w:color="auto"/>
              <w:bottom w:val="nil"/>
              <w:right w:val="single" w:sz="4" w:space="0" w:color="auto"/>
            </w:tcBorders>
            <w:shd w:val="clear" w:color="auto" w:fill="auto"/>
            <w:noWrap/>
            <w:vAlign w:val="center"/>
          </w:tcPr>
          <w:p w:rsidR="004A065A" w:rsidRDefault="004A065A" w:rsidP="00542B1D">
            <w:pPr>
              <w:ind w:left="-55"/>
              <w:jc w:val="right"/>
              <w:rPr>
                <w:rFonts w:cs="Lucida Sans Unicode"/>
                <w:b/>
                <w:bCs/>
                <w:position w:val="0"/>
                <w:szCs w:val="20"/>
              </w:rPr>
            </w:pPr>
            <w:r>
              <w:rPr>
                <w:rFonts w:cs="Lucida Sans Unicode"/>
                <w:b/>
                <w:bCs/>
                <w:position w:val="0"/>
                <w:szCs w:val="20"/>
              </w:rPr>
              <w:t> </w:t>
            </w:r>
          </w:p>
        </w:tc>
        <w:tc>
          <w:tcPr>
            <w:tcW w:w="3375" w:type="dxa"/>
            <w:gridSpan w:val="3"/>
            <w:tcBorders>
              <w:top w:val="single" w:sz="4" w:space="0" w:color="auto"/>
              <w:left w:val="nil"/>
              <w:bottom w:val="single" w:sz="4" w:space="0" w:color="auto"/>
              <w:right w:val="single" w:sz="4" w:space="0" w:color="auto"/>
            </w:tcBorders>
            <w:shd w:val="clear" w:color="auto" w:fill="auto"/>
            <w:noWrap/>
            <w:vAlign w:val="bottom"/>
          </w:tcPr>
          <w:p w:rsidR="004A065A" w:rsidRDefault="004A065A" w:rsidP="00542B1D">
            <w:pPr>
              <w:jc w:val="center"/>
              <w:rPr>
                <w:rFonts w:cs="Lucida Sans Unicode"/>
                <w:b/>
                <w:bCs/>
                <w:position w:val="0"/>
                <w:szCs w:val="20"/>
              </w:rPr>
            </w:pPr>
            <w:r>
              <w:rPr>
                <w:rFonts w:cs="Lucida Sans Unicode"/>
                <w:b/>
                <w:bCs/>
                <w:position w:val="0"/>
                <w:szCs w:val="20"/>
              </w:rPr>
              <w:t>Umsatz</w:t>
            </w:r>
            <w:r w:rsidR="00791D3B">
              <w:rPr>
                <w:rFonts w:cs="Lucida Sans Unicode"/>
                <w:b/>
                <w:bCs/>
                <w:position w:val="0"/>
                <w:szCs w:val="20"/>
              </w:rPr>
              <w:t xml:space="preserve"> 1. Halbjahr</w:t>
            </w:r>
          </w:p>
        </w:tc>
        <w:tc>
          <w:tcPr>
            <w:tcW w:w="3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A065A" w:rsidRDefault="004A065A" w:rsidP="00542B1D">
            <w:pPr>
              <w:jc w:val="center"/>
              <w:rPr>
                <w:rFonts w:cs="Lucida Sans Unicode"/>
                <w:b/>
                <w:bCs/>
                <w:position w:val="0"/>
                <w:szCs w:val="20"/>
              </w:rPr>
            </w:pPr>
            <w:r>
              <w:rPr>
                <w:rFonts w:cs="Lucida Sans Unicode"/>
                <w:b/>
                <w:bCs/>
                <w:position w:val="0"/>
                <w:szCs w:val="20"/>
              </w:rPr>
              <w:t>Bereinigtes EBITDA</w:t>
            </w:r>
            <w:r w:rsidR="00791D3B">
              <w:rPr>
                <w:rFonts w:cs="Lucida Sans Unicode"/>
                <w:b/>
                <w:bCs/>
                <w:position w:val="0"/>
                <w:szCs w:val="20"/>
              </w:rPr>
              <w:t xml:space="preserve"> 1. Halbjahr</w:t>
            </w:r>
          </w:p>
        </w:tc>
      </w:tr>
      <w:tr w:rsidR="004A065A" w:rsidTr="00E83E1D">
        <w:trPr>
          <w:trHeight w:val="255"/>
        </w:trPr>
        <w:tc>
          <w:tcPr>
            <w:tcW w:w="3193" w:type="dxa"/>
            <w:tcBorders>
              <w:top w:val="nil"/>
              <w:left w:val="single" w:sz="4" w:space="0" w:color="auto"/>
              <w:bottom w:val="nil"/>
              <w:right w:val="single" w:sz="4" w:space="0" w:color="auto"/>
            </w:tcBorders>
            <w:shd w:val="clear" w:color="auto" w:fill="auto"/>
            <w:noWrap/>
            <w:vAlign w:val="center"/>
          </w:tcPr>
          <w:p w:rsidR="004A065A" w:rsidRDefault="004A065A" w:rsidP="00542B1D">
            <w:pPr>
              <w:ind w:left="-55"/>
              <w:rPr>
                <w:rFonts w:cs="Lucida Sans Unicode"/>
                <w:b/>
                <w:bCs/>
                <w:position w:val="0"/>
                <w:szCs w:val="20"/>
              </w:rPr>
            </w:pPr>
          </w:p>
        </w:tc>
        <w:tc>
          <w:tcPr>
            <w:tcW w:w="1125" w:type="dxa"/>
            <w:tcBorders>
              <w:top w:val="single" w:sz="4" w:space="0" w:color="auto"/>
              <w:left w:val="nil"/>
              <w:right w:val="single" w:sz="4" w:space="0" w:color="auto"/>
            </w:tcBorders>
            <w:shd w:val="clear" w:color="auto" w:fill="CCCCCC"/>
            <w:noWrap/>
            <w:vAlign w:val="bottom"/>
          </w:tcPr>
          <w:p w:rsidR="004A065A" w:rsidRDefault="00E83E1D" w:rsidP="00542B1D">
            <w:pPr>
              <w:jc w:val="center"/>
              <w:rPr>
                <w:rFonts w:cs="Lucida Sans Unicode"/>
                <w:b/>
                <w:bCs/>
                <w:position w:val="0"/>
                <w:szCs w:val="20"/>
              </w:rPr>
            </w:pPr>
            <w:r>
              <w:rPr>
                <w:rFonts w:cs="Lucida Sans Unicode"/>
                <w:b/>
                <w:bCs/>
                <w:position w:val="0"/>
                <w:szCs w:val="20"/>
              </w:rPr>
              <w:t>H1 2013</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4A065A" w:rsidRDefault="00E83E1D" w:rsidP="00542B1D">
            <w:pPr>
              <w:jc w:val="center"/>
              <w:rPr>
                <w:rFonts w:cs="Lucida Sans Unicode"/>
                <w:b/>
                <w:bCs/>
                <w:position w:val="0"/>
                <w:szCs w:val="20"/>
              </w:rPr>
            </w:pPr>
            <w:r>
              <w:rPr>
                <w:rFonts w:cs="Lucida Sans Unicode"/>
                <w:b/>
                <w:bCs/>
                <w:position w:val="0"/>
                <w:szCs w:val="20"/>
              </w:rPr>
              <w:t>H1 2012</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4A065A" w:rsidRDefault="004A065A" w:rsidP="00542B1D">
            <w:pPr>
              <w:jc w:val="center"/>
              <w:rPr>
                <w:rFonts w:cs="Lucida Sans Unicode"/>
                <w:b/>
                <w:bCs/>
                <w:position w:val="0"/>
                <w:szCs w:val="20"/>
              </w:rPr>
            </w:pPr>
            <w:r>
              <w:rPr>
                <w:rFonts w:cs="Lucida Sans Unicode"/>
                <w:b/>
                <w:bCs/>
                <w:position w:val="0"/>
                <w:szCs w:val="20"/>
              </w:rPr>
              <w:t>Veränd.</w:t>
            </w:r>
          </w:p>
        </w:tc>
        <w:tc>
          <w:tcPr>
            <w:tcW w:w="1114" w:type="dxa"/>
            <w:tcBorders>
              <w:top w:val="single" w:sz="4" w:space="0" w:color="auto"/>
              <w:left w:val="nil"/>
              <w:right w:val="single" w:sz="4" w:space="0" w:color="auto"/>
            </w:tcBorders>
            <w:shd w:val="clear" w:color="auto" w:fill="CCCCCC"/>
            <w:noWrap/>
            <w:vAlign w:val="bottom"/>
          </w:tcPr>
          <w:p w:rsidR="004A065A" w:rsidRDefault="00E83E1D" w:rsidP="00542B1D">
            <w:pPr>
              <w:jc w:val="center"/>
              <w:rPr>
                <w:rFonts w:cs="Lucida Sans Unicode"/>
                <w:b/>
                <w:bCs/>
                <w:position w:val="0"/>
                <w:szCs w:val="20"/>
              </w:rPr>
            </w:pPr>
            <w:r>
              <w:rPr>
                <w:rFonts w:cs="Lucida Sans Unicode"/>
                <w:b/>
                <w:bCs/>
                <w:position w:val="0"/>
                <w:szCs w:val="20"/>
              </w:rPr>
              <w:t>H1 2013</w:t>
            </w:r>
          </w:p>
        </w:tc>
        <w:tc>
          <w:tcPr>
            <w:tcW w:w="1080" w:type="dxa"/>
            <w:tcBorders>
              <w:top w:val="single" w:sz="4" w:space="0" w:color="auto"/>
              <w:left w:val="single" w:sz="4" w:space="0" w:color="auto"/>
              <w:bottom w:val="nil"/>
              <w:right w:val="single" w:sz="4" w:space="0" w:color="auto"/>
            </w:tcBorders>
            <w:shd w:val="clear" w:color="auto" w:fill="auto"/>
            <w:noWrap/>
            <w:vAlign w:val="bottom"/>
          </w:tcPr>
          <w:p w:rsidR="004A065A" w:rsidRDefault="00E83E1D" w:rsidP="00542B1D">
            <w:pPr>
              <w:jc w:val="center"/>
              <w:rPr>
                <w:rFonts w:cs="Lucida Sans Unicode"/>
                <w:b/>
                <w:bCs/>
                <w:position w:val="0"/>
                <w:szCs w:val="20"/>
              </w:rPr>
            </w:pPr>
            <w:r>
              <w:rPr>
                <w:rFonts w:cs="Lucida Sans Unicode"/>
                <w:b/>
                <w:bCs/>
                <w:position w:val="0"/>
                <w:szCs w:val="20"/>
              </w:rPr>
              <w:t>H1 2012</w:t>
            </w:r>
          </w:p>
        </w:tc>
        <w:tc>
          <w:tcPr>
            <w:tcW w:w="1122" w:type="dxa"/>
            <w:gridSpan w:val="2"/>
            <w:tcBorders>
              <w:top w:val="single" w:sz="4" w:space="0" w:color="auto"/>
              <w:left w:val="single" w:sz="4" w:space="0" w:color="auto"/>
              <w:bottom w:val="nil"/>
              <w:right w:val="single" w:sz="4" w:space="0" w:color="auto"/>
            </w:tcBorders>
            <w:shd w:val="clear" w:color="auto" w:fill="auto"/>
            <w:noWrap/>
            <w:vAlign w:val="bottom"/>
          </w:tcPr>
          <w:p w:rsidR="004A065A" w:rsidRDefault="004A065A" w:rsidP="00542B1D">
            <w:pPr>
              <w:jc w:val="center"/>
              <w:rPr>
                <w:rFonts w:cs="Lucida Sans Unicode"/>
                <w:b/>
                <w:bCs/>
                <w:position w:val="0"/>
                <w:szCs w:val="20"/>
              </w:rPr>
            </w:pPr>
            <w:r>
              <w:rPr>
                <w:rFonts w:cs="Lucida Sans Unicode"/>
                <w:b/>
                <w:bCs/>
                <w:position w:val="0"/>
                <w:szCs w:val="20"/>
              </w:rPr>
              <w:t>Veränd.</w:t>
            </w:r>
          </w:p>
        </w:tc>
      </w:tr>
      <w:tr w:rsidR="004A065A" w:rsidTr="00E83E1D">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4A065A" w:rsidRDefault="004A065A" w:rsidP="00542B1D">
            <w:pPr>
              <w:ind w:left="-55"/>
              <w:rPr>
                <w:rFonts w:cs="Lucida Sans Unicode"/>
                <w:b/>
                <w:bCs/>
                <w:position w:val="0"/>
                <w:szCs w:val="20"/>
              </w:rPr>
            </w:pPr>
            <w:r>
              <w:rPr>
                <w:rFonts w:cs="Lucida Sans Unicode"/>
                <w:b/>
                <w:bCs/>
                <w:position w:val="0"/>
                <w:szCs w:val="20"/>
              </w:rPr>
              <w:t> </w:t>
            </w:r>
          </w:p>
        </w:tc>
        <w:tc>
          <w:tcPr>
            <w:tcW w:w="1125" w:type="dxa"/>
            <w:tcBorders>
              <w:left w:val="nil"/>
              <w:bottom w:val="single" w:sz="4" w:space="0" w:color="auto"/>
              <w:right w:val="single" w:sz="4" w:space="0" w:color="auto"/>
            </w:tcBorders>
            <w:shd w:val="clear" w:color="auto" w:fill="CCCCCC"/>
            <w:vAlign w:val="center"/>
          </w:tcPr>
          <w:p w:rsidR="004A065A" w:rsidRDefault="004A065A" w:rsidP="00542B1D">
            <w:pPr>
              <w:jc w:val="center"/>
              <w:rPr>
                <w:rFonts w:cs="Lucida Sans Unicode"/>
                <w:b/>
                <w:bCs/>
                <w:position w:val="0"/>
                <w:szCs w:val="20"/>
              </w:rPr>
            </w:pPr>
            <w:r>
              <w:rPr>
                <w:rFonts w:cs="Lucida Sans Unicode"/>
                <w:b/>
                <w:bCs/>
                <w:position w:val="0"/>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4A065A" w:rsidRDefault="004A065A" w:rsidP="00E67553">
            <w:pPr>
              <w:jc w:val="center"/>
              <w:rPr>
                <w:rFonts w:cs="Lucida Sans Unicode"/>
                <w:b/>
                <w:bCs/>
                <w:position w:val="0"/>
                <w:szCs w:val="20"/>
              </w:rPr>
            </w:pPr>
            <w:r>
              <w:rPr>
                <w:rFonts w:cs="Lucida Sans Unicode"/>
                <w:b/>
                <w:bCs/>
                <w:position w:val="0"/>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4A065A" w:rsidRDefault="004A065A" w:rsidP="00542B1D">
            <w:pPr>
              <w:jc w:val="center"/>
              <w:rPr>
                <w:rFonts w:cs="Lucida Sans Unicode"/>
                <w:b/>
                <w:bCs/>
                <w:position w:val="0"/>
                <w:szCs w:val="20"/>
              </w:rPr>
            </w:pPr>
            <w:r>
              <w:rPr>
                <w:rFonts w:cs="Lucida Sans Unicode"/>
                <w:b/>
                <w:bCs/>
                <w:position w:val="0"/>
                <w:szCs w:val="20"/>
              </w:rPr>
              <w:t>in %</w:t>
            </w:r>
          </w:p>
        </w:tc>
        <w:tc>
          <w:tcPr>
            <w:tcW w:w="1114" w:type="dxa"/>
            <w:tcBorders>
              <w:left w:val="nil"/>
              <w:bottom w:val="single" w:sz="4" w:space="0" w:color="auto"/>
              <w:right w:val="single" w:sz="4" w:space="0" w:color="auto"/>
            </w:tcBorders>
            <w:shd w:val="clear" w:color="auto" w:fill="CCCCCC"/>
            <w:vAlign w:val="center"/>
          </w:tcPr>
          <w:p w:rsidR="004A065A" w:rsidRDefault="004A065A" w:rsidP="00542B1D">
            <w:pPr>
              <w:jc w:val="center"/>
              <w:rPr>
                <w:rFonts w:cs="Lucida Sans Unicode"/>
                <w:b/>
                <w:bCs/>
                <w:position w:val="0"/>
                <w:szCs w:val="20"/>
              </w:rPr>
            </w:pPr>
            <w:r>
              <w:rPr>
                <w:rFonts w:cs="Lucida Sans Unicode"/>
                <w:b/>
                <w:bCs/>
                <w:position w:val="0"/>
                <w:szCs w:val="20"/>
              </w:rPr>
              <w:t>Mio. €</w:t>
            </w:r>
          </w:p>
        </w:tc>
        <w:tc>
          <w:tcPr>
            <w:tcW w:w="1080" w:type="dxa"/>
            <w:tcBorders>
              <w:top w:val="nil"/>
              <w:left w:val="single" w:sz="4" w:space="0" w:color="auto"/>
              <w:bottom w:val="single" w:sz="4" w:space="0" w:color="auto"/>
              <w:right w:val="single" w:sz="4" w:space="0" w:color="auto"/>
            </w:tcBorders>
            <w:shd w:val="clear" w:color="auto" w:fill="auto"/>
            <w:vAlign w:val="center"/>
          </w:tcPr>
          <w:p w:rsidR="004A065A" w:rsidRDefault="004A065A" w:rsidP="00E67553">
            <w:pPr>
              <w:jc w:val="center"/>
              <w:rPr>
                <w:rFonts w:cs="Lucida Sans Unicode"/>
                <w:b/>
                <w:bCs/>
                <w:position w:val="0"/>
                <w:szCs w:val="20"/>
              </w:rPr>
            </w:pPr>
            <w:r>
              <w:rPr>
                <w:rFonts w:cs="Lucida Sans Unicode"/>
                <w:b/>
                <w:bCs/>
                <w:position w:val="0"/>
                <w:szCs w:val="20"/>
              </w:rPr>
              <w:t>Mio. €</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4A065A" w:rsidRDefault="004A065A" w:rsidP="00542B1D">
            <w:pPr>
              <w:jc w:val="center"/>
              <w:rPr>
                <w:rFonts w:cs="Lucida Sans Unicode"/>
                <w:b/>
                <w:bCs/>
                <w:position w:val="0"/>
                <w:szCs w:val="20"/>
              </w:rPr>
            </w:pPr>
            <w:r>
              <w:rPr>
                <w:rFonts w:cs="Lucida Sans Unicode"/>
                <w:b/>
                <w:bCs/>
                <w:position w:val="0"/>
                <w:szCs w:val="20"/>
              </w:rPr>
              <w:t>in %</w:t>
            </w:r>
          </w:p>
        </w:tc>
      </w:tr>
      <w:tr w:rsidR="004A065A" w:rsidTr="00E83E1D">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Default="004A065A" w:rsidP="00542B1D">
            <w:pPr>
              <w:ind w:left="-55"/>
              <w:rPr>
                <w:rFonts w:cs="Lucida Sans Unicode"/>
                <w:position w:val="0"/>
                <w:szCs w:val="20"/>
              </w:rPr>
            </w:pPr>
            <w:r>
              <w:rPr>
                <w:rFonts w:cs="Lucida Sans Unicode"/>
                <w:position w:val="0"/>
                <w:szCs w:val="20"/>
              </w:rPr>
              <w:t>Consumer, Health &amp; Nutrition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A065A" w:rsidRDefault="00791D3B" w:rsidP="00542B1D">
            <w:pPr>
              <w:jc w:val="right"/>
              <w:rPr>
                <w:rFonts w:cs="Lucida Sans Unicode"/>
                <w:position w:val="0"/>
                <w:szCs w:val="20"/>
              </w:rPr>
            </w:pPr>
            <w:r>
              <w:rPr>
                <w:rFonts w:cs="Lucida Sans Unicode"/>
                <w:position w:val="0"/>
                <w:szCs w:val="20"/>
              </w:rPr>
              <w:t>2.093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Default="00791D3B" w:rsidP="00542B1D">
            <w:pPr>
              <w:jc w:val="right"/>
              <w:rPr>
                <w:rFonts w:cs="Lucida Sans Unicode"/>
                <w:position w:val="0"/>
                <w:szCs w:val="20"/>
              </w:rPr>
            </w:pPr>
            <w:r>
              <w:rPr>
                <w:rFonts w:cs="Lucida Sans Unicode"/>
                <w:position w:val="0"/>
                <w:szCs w:val="20"/>
              </w:rPr>
              <w:t>2.086</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4A065A" w:rsidRDefault="00791D3B" w:rsidP="00542B1D">
            <w:pPr>
              <w:jc w:val="right"/>
              <w:rPr>
                <w:rFonts w:cs="Lucida Sans Unicode"/>
                <w:position w:val="0"/>
                <w:szCs w:val="20"/>
              </w:rPr>
            </w:pPr>
            <w:r>
              <w:rPr>
                <w:rFonts w:cs="Lucida Sans Unicode"/>
                <w:position w:val="0"/>
                <w:szCs w:val="20"/>
              </w:rPr>
              <w:t>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A065A" w:rsidRDefault="00791D3B" w:rsidP="00542B1D">
            <w:pPr>
              <w:jc w:val="right"/>
              <w:rPr>
                <w:rFonts w:cs="Lucida Sans Unicode"/>
                <w:position w:val="0"/>
                <w:szCs w:val="20"/>
              </w:rPr>
            </w:pPr>
            <w:r>
              <w:rPr>
                <w:rFonts w:cs="Lucida Sans Unicode"/>
                <w:position w:val="0"/>
                <w:szCs w:val="20"/>
              </w:rPr>
              <w:t>496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Default="00791D3B" w:rsidP="00542B1D">
            <w:pPr>
              <w:jc w:val="right"/>
              <w:rPr>
                <w:rFonts w:cs="Lucida Sans Unicode"/>
                <w:position w:val="0"/>
                <w:szCs w:val="20"/>
              </w:rPr>
            </w:pPr>
            <w:r>
              <w:rPr>
                <w:rFonts w:cs="Lucida Sans Unicode"/>
                <w:position w:val="0"/>
                <w:szCs w:val="20"/>
              </w:rPr>
              <w:t>546</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4A065A" w:rsidRDefault="00791D3B" w:rsidP="00542B1D">
            <w:pPr>
              <w:jc w:val="right"/>
              <w:rPr>
                <w:rFonts w:cs="Lucida Sans Unicode"/>
                <w:position w:val="0"/>
                <w:szCs w:val="20"/>
              </w:rPr>
            </w:pPr>
            <w:r>
              <w:rPr>
                <w:rFonts w:cs="Lucida Sans Unicode"/>
                <w:position w:val="0"/>
                <w:szCs w:val="20"/>
              </w:rPr>
              <w:t>-9</w:t>
            </w:r>
          </w:p>
        </w:tc>
      </w:tr>
      <w:tr w:rsidR="004A065A" w:rsidTr="00E83E1D">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Default="004A065A" w:rsidP="00542B1D">
            <w:pPr>
              <w:ind w:left="-55"/>
              <w:rPr>
                <w:rFonts w:cs="Lucida Sans Unicode"/>
                <w:position w:val="0"/>
                <w:szCs w:val="20"/>
              </w:rPr>
            </w:pPr>
            <w:r>
              <w:rPr>
                <w:rFonts w:cs="Lucida Sans Unicode"/>
                <w:position w:val="0"/>
                <w:szCs w:val="20"/>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A065A" w:rsidRDefault="00791D3B" w:rsidP="00542B1D">
            <w:pPr>
              <w:jc w:val="right"/>
              <w:rPr>
                <w:rFonts w:cs="Lucida Sans Unicode"/>
                <w:position w:val="0"/>
                <w:szCs w:val="20"/>
              </w:rPr>
            </w:pPr>
            <w:r>
              <w:rPr>
                <w:rFonts w:cs="Lucida Sans Unicode"/>
                <w:position w:val="0"/>
                <w:szCs w:val="20"/>
              </w:rPr>
              <w:t>1.572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Default="00791D3B" w:rsidP="00542B1D">
            <w:pPr>
              <w:jc w:val="right"/>
              <w:rPr>
                <w:rFonts w:cs="Lucida Sans Unicode"/>
                <w:position w:val="0"/>
                <w:szCs w:val="20"/>
              </w:rPr>
            </w:pPr>
            <w:r>
              <w:rPr>
                <w:rFonts w:cs="Lucida Sans Unicode"/>
                <w:position w:val="0"/>
                <w:szCs w:val="20"/>
              </w:rPr>
              <w:t>1.651</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4A065A" w:rsidRDefault="00791D3B" w:rsidP="00542B1D">
            <w:pPr>
              <w:jc w:val="right"/>
              <w:rPr>
                <w:rFonts w:cs="Lucida Sans Unicode"/>
                <w:position w:val="0"/>
                <w:szCs w:val="20"/>
              </w:rPr>
            </w:pPr>
            <w:r>
              <w:rPr>
                <w:rFonts w:cs="Lucida Sans Unicode"/>
                <w:position w:val="0"/>
                <w:szCs w:val="20"/>
              </w:rP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A065A" w:rsidRDefault="00791D3B" w:rsidP="00542B1D">
            <w:pPr>
              <w:jc w:val="right"/>
              <w:rPr>
                <w:rFonts w:cs="Lucida Sans Unicode"/>
                <w:position w:val="0"/>
                <w:szCs w:val="20"/>
              </w:rPr>
            </w:pPr>
            <w:r>
              <w:rPr>
                <w:rFonts w:cs="Lucida Sans Unicode"/>
                <w:position w:val="0"/>
                <w:szCs w:val="20"/>
              </w:rPr>
              <w:t>346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Default="00791D3B" w:rsidP="00542B1D">
            <w:pPr>
              <w:jc w:val="right"/>
              <w:rPr>
                <w:rFonts w:cs="Lucida Sans Unicode"/>
                <w:position w:val="0"/>
                <w:szCs w:val="20"/>
              </w:rPr>
            </w:pPr>
            <w:r>
              <w:rPr>
                <w:rFonts w:cs="Lucida Sans Unicode"/>
                <w:position w:val="0"/>
                <w:szCs w:val="20"/>
              </w:rPr>
              <w:t>344</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4A065A" w:rsidRDefault="00791D3B" w:rsidP="00542B1D">
            <w:pPr>
              <w:jc w:val="right"/>
              <w:rPr>
                <w:rFonts w:cs="Lucida Sans Unicode"/>
                <w:position w:val="0"/>
                <w:szCs w:val="20"/>
              </w:rPr>
            </w:pPr>
            <w:r>
              <w:rPr>
                <w:rFonts w:cs="Lucida Sans Unicode"/>
                <w:position w:val="0"/>
                <w:szCs w:val="20"/>
              </w:rPr>
              <w:t>1</w:t>
            </w:r>
          </w:p>
        </w:tc>
      </w:tr>
      <w:tr w:rsidR="004A065A" w:rsidTr="00E83E1D">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Default="004A065A" w:rsidP="00542B1D">
            <w:pPr>
              <w:ind w:left="-55"/>
              <w:rPr>
                <w:rFonts w:cs="Lucida Sans Unicode"/>
                <w:position w:val="0"/>
                <w:szCs w:val="20"/>
              </w:rPr>
            </w:pPr>
            <w:r>
              <w:rPr>
                <w:rFonts w:cs="Lucida Sans Unicode"/>
                <w:position w:val="0"/>
                <w:szCs w:val="20"/>
              </w:rPr>
              <w:t>Specialty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A065A" w:rsidRDefault="00902268" w:rsidP="00542B1D">
            <w:pPr>
              <w:jc w:val="right"/>
              <w:rPr>
                <w:rFonts w:cs="Lucida Sans Unicode"/>
                <w:position w:val="0"/>
                <w:szCs w:val="20"/>
              </w:rPr>
            </w:pPr>
            <w:r>
              <w:rPr>
                <w:rFonts w:cs="Lucida Sans Unicode"/>
                <w:position w:val="0"/>
                <w:szCs w:val="20"/>
              </w:rPr>
              <w:t>2.299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Default="00902268" w:rsidP="00542B1D">
            <w:pPr>
              <w:jc w:val="right"/>
              <w:rPr>
                <w:rFonts w:cs="Lucida Sans Unicode"/>
                <w:position w:val="0"/>
                <w:szCs w:val="20"/>
              </w:rPr>
            </w:pPr>
            <w:r>
              <w:rPr>
                <w:rFonts w:cs="Lucida Sans Unicode"/>
                <w:position w:val="0"/>
                <w:szCs w:val="20"/>
              </w:rPr>
              <w:t>2.503</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4A065A" w:rsidRDefault="00902268" w:rsidP="00542B1D">
            <w:pPr>
              <w:jc w:val="right"/>
              <w:rPr>
                <w:rFonts w:cs="Lucida Sans Unicode"/>
                <w:position w:val="0"/>
                <w:szCs w:val="20"/>
              </w:rPr>
            </w:pPr>
            <w:r>
              <w:rPr>
                <w:rFonts w:cs="Lucida Sans Unicode"/>
                <w:position w:val="0"/>
                <w:szCs w:val="20"/>
              </w:rPr>
              <w:t>-8</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A065A" w:rsidRDefault="00902268" w:rsidP="00542B1D">
            <w:pPr>
              <w:jc w:val="right"/>
              <w:rPr>
                <w:rFonts w:cs="Lucida Sans Unicode"/>
                <w:position w:val="0"/>
                <w:szCs w:val="20"/>
              </w:rPr>
            </w:pPr>
            <w:r>
              <w:rPr>
                <w:rFonts w:cs="Lucida Sans Unicode"/>
                <w:position w:val="0"/>
                <w:szCs w:val="20"/>
              </w:rPr>
              <w:t>310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Default="00902268" w:rsidP="00542B1D">
            <w:pPr>
              <w:jc w:val="right"/>
              <w:rPr>
                <w:rFonts w:cs="Lucida Sans Unicode"/>
                <w:position w:val="0"/>
                <w:szCs w:val="20"/>
              </w:rPr>
            </w:pPr>
            <w:r>
              <w:rPr>
                <w:rFonts w:cs="Lucida Sans Unicode"/>
                <w:position w:val="0"/>
                <w:szCs w:val="20"/>
              </w:rPr>
              <w:t>457</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4A065A" w:rsidRDefault="00902268" w:rsidP="00542B1D">
            <w:pPr>
              <w:jc w:val="right"/>
              <w:rPr>
                <w:rFonts w:cs="Lucida Sans Unicode"/>
                <w:position w:val="0"/>
                <w:szCs w:val="20"/>
              </w:rPr>
            </w:pPr>
            <w:r>
              <w:rPr>
                <w:rFonts w:cs="Lucida Sans Unicode"/>
                <w:position w:val="0"/>
                <w:szCs w:val="20"/>
              </w:rPr>
              <w:t>-32</w:t>
            </w:r>
          </w:p>
        </w:tc>
      </w:tr>
      <w:tr w:rsidR="004A065A" w:rsidTr="00E83E1D">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4A065A" w:rsidRDefault="004A065A" w:rsidP="00542B1D">
            <w:pPr>
              <w:ind w:left="-55"/>
              <w:rPr>
                <w:rFonts w:cs="Lucida Sans Unicode"/>
                <w:position w:val="0"/>
                <w:szCs w:val="20"/>
              </w:rPr>
            </w:pPr>
            <w:r>
              <w:rPr>
                <w:rFonts w:cs="Lucida Sans Unicode"/>
                <w:position w:val="0"/>
                <w:szCs w:val="20"/>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A065A" w:rsidRDefault="00902268" w:rsidP="00542B1D">
            <w:pPr>
              <w:jc w:val="right"/>
              <w:rPr>
                <w:rFonts w:cs="Lucida Sans Unicode"/>
                <w:position w:val="0"/>
                <w:szCs w:val="20"/>
              </w:rPr>
            </w:pPr>
            <w:r>
              <w:rPr>
                <w:rFonts w:cs="Lucida Sans Unicode"/>
                <w:position w:val="0"/>
                <w:szCs w:val="20"/>
              </w:rPr>
              <w:t>451</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4A065A" w:rsidRDefault="00902268" w:rsidP="00542B1D">
            <w:pPr>
              <w:jc w:val="right"/>
              <w:rPr>
                <w:rFonts w:cs="Lucida Sans Unicode"/>
                <w:position w:val="0"/>
                <w:szCs w:val="20"/>
              </w:rPr>
            </w:pPr>
            <w:r>
              <w:rPr>
                <w:rFonts w:cs="Lucida Sans Unicode"/>
                <w:position w:val="0"/>
                <w:szCs w:val="20"/>
              </w:rPr>
              <w:t>501</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4A065A" w:rsidRDefault="00902268" w:rsidP="00542B1D">
            <w:pPr>
              <w:jc w:val="right"/>
              <w:rPr>
                <w:rFonts w:cs="Lucida Sans Unicode"/>
                <w:position w:val="0"/>
                <w:szCs w:val="20"/>
              </w:rPr>
            </w:pPr>
            <w:r>
              <w:rPr>
                <w:rFonts w:cs="Lucida Sans Unicode"/>
                <w:position w:val="0"/>
                <w:szCs w:val="20"/>
              </w:rPr>
              <w:t>-10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A065A" w:rsidRDefault="00902268" w:rsidP="00542B1D">
            <w:pPr>
              <w:jc w:val="right"/>
              <w:rPr>
                <w:rFonts w:cs="Lucida Sans Unicode"/>
                <w:position w:val="0"/>
                <w:szCs w:val="20"/>
              </w:rPr>
            </w:pPr>
            <w:r>
              <w:rPr>
                <w:rFonts w:cs="Lucida Sans Unicode"/>
                <w:position w:val="0"/>
                <w:szCs w:val="20"/>
              </w:rPr>
              <w:t>107</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4A065A" w:rsidRDefault="00902268" w:rsidP="00542B1D">
            <w:pPr>
              <w:jc w:val="right"/>
              <w:rPr>
                <w:rFonts w:cs="Lucida Sans Unicode"/>
                <w:position w:val="0"/>
                <w:szCs w:val="20"/>
              </w:rPr>
            </w:pPr>
            <w:r>
              <w:rPr>
                <w:rFonts w:cs="Lucida Sans Unicode"/>
                <w:position w:val="0"/>
                <w:szCs w:val="20"/>
              </w:rPr>
              <w:t>102</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4A065A" w:rsidRDefault="00902268" w:rsidP="00542B1D">
            <w:pPr>
              <w:jc w:val="right"/>
              <w:rPr>
                <w:rFonts w:cs="Lucida Sans Unicode"/>
                <w:position w:val="0"/>
                <w:szCs w:val="20"/>
              </w:rPr>
            </w:pPr>
            <w:r>
              <w:rPr>
                <w:rFonts w:cs="Lucida Sans Unicode"/>
                <w:position w:val="0"/>
                <w:szCs w:val="20"/>
              </w:rPr>
              <w:t>5</w:t>
            </w:r>
          </w:p>
        </w:tc>
      </w:tr>
      <w:tr w:rsidR="004A065A" w:rsidTr="00E83E1D">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4A065A" w:rsidRDefault="004A065A" w:rsidP="00542B1D">
            <w:pPr>
              <w:ind w:left="-55"/>
              <w:rPr>
                <w:rFonts w:cs="Lucida Sans Unicode"/>
                <w:position w:val="0"/>
                <w:szCs w:val="20"/>
              </w:rPr>
            </w:pPr>
            <w:r>
              <w:rPr>
                <w:rFonts w:cs="Lucida Sans Unicode"/>
                <w:position w:val="0"/>
                <w:szCs w:val="20"/>
              </w:rPr>
              <w:t>Sonstige Aktivitäten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A065A" w:rsidRDefault="00A03972" w:rsidP="00542B1D">
            <w:pPr>
              <w:jc w:val="right"/>
              <w:rPr>
                <w:rFonts w:cs="Lucida Sans Unicode"/>
                <w:position w:val="0"/>
                <w:szCs w:val="20"/>
              </w:rPr>
            </w:pPr>
            <w:r>
              <w:rPr>
                <w:rFonts w:cs="Lucida Sans Unicode"/>
                <w:position w:val="0"/>
                <w:szCs w:val="20"/>
              </w:rPr>
              <w:t>111</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4A065A" w:rsidRDefault="00A03972" w:rsidP="00542B1D">
            <w:pPr>
              <w:jc w:val="right"/>
              <w:rPr>
                <w:rFonts w:cs="Lucida Sans Unicode"/>
                <w:position w:val="0"/>
                <w:szCs w:val="20"/>
              </w:rPr>
            </w:pPr>
            <w:r>
              <w:rPr>
                <w:rFonts w:cs="Lucida Sans Unicode"/>
                <w:position w:val="0"/>
                <w:szCs w:val="20"/>
              </w:rPr>
              <w:t>94</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4A065A" w:rsidRDefault="004A065A" w:rsidP="00542B1D">
            <w:pPr>
              <w:jc w:val="right"/>
              <w:rPr>
                <w:rFonts w:cs="Lucida Sans Unicode"/>
                <w:position w:val="0"/>
                <w:szCs w:val="20"/>
              </w:rPr>
            </w:pP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A065A" w:rsidRDefault="00A03972" w:rsidP="00542B1D">
            <w:pPr>
              <w:jc w:val="right"/>
              <w:rPr>
                <w:rFonts w:cs="Lucida Sans Unicode"/>
                <w:position w:val="0"/>
                <w:szCs w:val="20"/>
              </w:rPr>
            </w:pPr>
            <w:r>
              <w:rPr>
                <w:rFonts w:cs="Lucida Sans Unicode"/>
                <w:position w:val="0"/>
                <w:szCs w:val="20"/>
              </w:rPr>
              <w:t>-180</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4A065A" w:rsidRDefault="00A03972" w:rsidP="00542B1D">
            <w:pPr>
              <w:jc w:val="right"/>
              <w:rPr>
                <w:rFonts w:cs="Lucida Sans Unicode"/>
                <w:position w:val="0"/>
                <w:szCs w:val="20"/>
              </w:rPr>
            </w:pPr>
            <w:r>
              <w:rPr>
                <w:rFonts w:cs="Lucida Sans Unicode"/>
                <w:position w:val="0"/>
                <w:szCs w:val="20"/>
              </w:rPr>
              <w:t>-160</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4A065A" w:rsidRDefault="004A065A" w:rsidP="00542B1D">
            <w:pPr>
              <w:jc w:val="right"/>
              <w:rPr>
                <w:rFonts w:cs="Lucida Sans Unicode"/>
                <w:position w:val="0"/>
                <w:szCs w:val="20"/>
              </w:rPr>
            </w:pPr>
          </w:p>
        </w:tc>
      </w:tr>
      <w:tr w:rsidR="004A065A" w:rsidRPr="00E83E1D" w:rsidTr="00E83E1D">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Pr="00E83E1D" w:rsidRDefault="004A065A" w:rsidP="00542B1D">
            <w:pPr>
              <w:ind w:left="-55"/>
              <w:rPr>
                <w:rFonts w:cs="Lucida Sans Unicode"/>
                <w:bCs/>
                <w:position w:val="0"/>
                <w:szCs w:val="20"/>
              </w:rPr>
            </w:pPr>
            <w:r w:rsidRPr="00E83E1D">
              <w:rPr>
                <w:rFonts w:cs="Lucida Sans Unicode"/>
                <w:bCs/>
                <w:position w:val="0"/>
                <w:szCs w:val="20"/>
              </w:rPr>
              <w:t>Konzern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4A065A" w:rsidRPr="00E83E1D" w:rsidRDefault="00902268" w:rsidP="00542B1D">
            <w:pPr>
              <w:jc w:val="right"/>
              <w:rPr>
                <w:rFonts w:cs="Lucida Sans Unicode"/>
                <w:bCs/>
                <w:position w:val="0"/>
                <w:szCs w:val="20"/>
              </w:rPr>
            </w:pPr>
            <w:r>
              <w:rPr>
                <w:rFonts w:cs="Lucida Sans Unicode"/>
                <w:bCs/>
                <w:position w:val="0"/>
                <w:szCs w:val="20"/>
              </w:rPr>
              <w:t>6.526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Pr="00E83E1D" w:rsidRDefault="00902268" w:rsidP="00542B1D">
            <w:pPr>
              <w:jc w:val="right"/>
              <w:rPr>
                <w:rFonts w:cs="Lucida Sans Unicode"/>
                <w:bCs/>
                <w:position w:val="0"/>
                <w:szCs w:val="20"/>
              </w:rPr>
            </w:pPr>
            <w:r>
              <w:rPr>
                <w:rFonts w:cs="Lucida Sans Unicode"/>
                <w:bCs/>
                <w:position w:val="0"/>
                <w:szCs w:val="20"/>
              </w:rPr>
              <w:t>6.835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65A" w:rsidRPr="00E83E1D" w:rsidRDefault="00902268" w:rsidP="00542B1D">
            <w:pPr>
              <w:jc w:val="right"/>
              <w:rPr>
                <w:rFonts w:cs="Lucida Sans Unicode"/>
                <w:bCs/>
                <w:position w:val="0"/>
                <w:szCs w:val="20"/>
              </w:rPr>
            </w:pPr>
            <w:r>
              <w:rPr>
                <w:rFonts w:cs="Lucida Sans Unicode"/>
                <w:bCs/>
                <w:position w:val="0"/>
                <w:szCs w:val="20"/>
              </w:rP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4A065A" w:rsidRPr="00E83E1D" w:rsidRDefault="00902268" w:rsidP="00542B1D">
            <w:pPr>
              <w:jc w:val="right"/>
              <w:rPr>
                <w:rFonts w:cs="Lucida Sans Unicode"/>
                <w:bCs/>
                <w:position w:val="0"/>
                <w:szCs w:val="20"/>
              </w:rPr>
            </w:pPr>
            <w:r>
              <w:rPr>
                <w:rFonts w:cs="Lucida Sans Unicode"/>
                <w:bCs/>
                <w:position w:val="0"/>
                <w:szCs w:val="20"/>
              </w:rPr>
              <w:t>1.079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65A" w:rsidRPr="00E83E1D" w:rsidRDefault="00902268" w:rsidP="00542B1D">
            <w:pPr>
              <w:jc w:val="right"/>
              <w:rPr>
                <w:rFonts w:cs="Lucida Sans Unicode"/>
                <w:bCs/>
                <w:position w:val="0"/>
                <w:szCs w:val="20"/>
              </w:rPr>
            </w:pPr>
            <w:r>
              <w:rPr>
                <w:rFonts w:cs="Lucida Sans Unicode"/>
                <w:bCs/>
                <w:position w:val="0"/>
                <w:szCs w:val="20"/>
              </w:rPr>
              <w:t>1.289</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65A" w:rsidRPr="00E83E1D" w:rsidRDefault="00902268" w:rsidP="00542B1D">
            <w:pPr>
              <w:jc w:val="right"/>
              <w:rPr>
                <w:rFonts w:cs="Lucida Sans Unicode"/>
                <w:bCs/>
                <w:position w:val="0"/>
                <w:szCs w:val="20"/>
              </w:rPr>
            </w:pPr>
            <w:r>
              <w:rPr>
                <w:rFonts w:cs="Lucida Sans Unicode"/>
                <w:bCs/>
                <w:position w:val="0"/>
                <w:szCs w:val="20"/>
              </w:rPr>
              <w:t>-16</w:t>
            </w:r>
          </w:p>
        </w:tc>
      </w:tr>
    </w:tbl>
    <w:p w:rsidR="00A03972" w:rsidRPr="00A03972" w:rsidRDefault="00A03972">
      <w:pPr>
        <w:spacing w:line="240" w:lineRule="auto"/>
        <w:ind w:left="0" w:right="0"/>
        <w:rPr>
          <w:bCs/>
          <w:sz w:val="16"/>
          <w:szCs w:val="16"/>
        </w:rPr>
      </w:pPr>
      <w:r>
        <w:rPr>
          <w:bCs/>
          <w:sz w:val="16"/>
          <w:szCs w:val="16"/>
        </w:rPr>
        <w:t>Fortgeführte Aktivitäten; Vorjahreszahlen angepasst</w:t>
      </w:r>
    </w:p>
    <w:p w:rsidR="00A02C86" w:rsidRPr="00A03972" w:rsidRDefault="00A02C86">
      <w:pPr>
        <w:spacing w:line="240" w:lineRule="auto"/>
        <w:ind w:left="0" w:right="0"/>
        <w:rPr>
          <w:bCs/>
          <w:sz w:val="16"/>
          <w:szCs w:val="16"/>
        </w:rPr>
      </w:pPr>
    </w:p>
    <w:p w:rsidR="00BE5DBC" w:rsidRDefault="00BE5DBC">
      <w:pPr>
        <w:spacing w:line="240" w:lineRule="auto"/>
        <w:ind w:left="0" w:right="0"/>
        <w:rPr>
          <w:rFonts w:cs="Lucida Sans Unicode"/>
          <w:b/>
          <w:bCs/>
          <w:szCs w:val="18"/>
        </w:rPr>
      </w:pPr>
      <w:r>
        <w:rPr>
          <w:rFonts w:cs="Lucida Sans Unicode"/>
          <w:b/>
          <w:bCs/>
          <w:szCs w:val="18"/>
        </w:rPr>
        <w:br w:type="page"/>
      </w:r>
    </w:p>
    <w:p w:rsidR="003F4306" w:rsidRPr="00D941D1" w:rsidRDefault="003F4306" w:rsidP="003F4306">
      <w:pPr>
        <w:spacing w:after="120"/>
        <w:rPr>
          <w:b/>
          <w:bCs/>
        </w:rPr>
      </w:pPr>
      <w:r w:rsidRPr="00D941D1">
        <w:rPr>
          <w:b/>
          <w:bCs/>
        </w:rPr>
        <w:lastRenderedPageBreak/>
        <w:t>Mitarbeiter nach Segmenten</w:t>
      </w:r>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3F4306" w:rsidRPr="00BE5DBC" w:rsidTr="00542B1D">
        <w:tc>
          <w:tcPr>
            <w:tcW w:w="4122" w:type="dxa"/>
            <w:shd w:val="clear" w:color="auto" w:fill="auto"/>
          </w:tcPr>
          <w:p w:rsidR="003F4306" w:rsidRPr="00B13E9A" w:rsidRDefault="003F4306" w:rsidP="00542B1D">
            <w:pPr>
              <w:rPr>
                <w:bCs/>
              </w:rPr>
            </w:pPr>
          </w:p>
        </w:tc>
        <w:tc>
          <w:tcPr>
            <w:tcW w:w="2172" w:type="dxa"/>
            <w:shd w:val="clear" w:color="auto" w:fill="auto"/>
          </w:tcPr>
          <w:p w:rsidR="003F4306" w:rsidRPr="00BE5DBC" w:rsidRDefault="003F4306" w:rsidP="00542B1D">
            <w:pPr>
              <w:jc w:val="center"/>
              <w:rPr>
                <w:b/>
                <w:bCs/>
              </w:rPr>
            </w:pPr>
            <w:r>
              <w:rPr>
                <w:b/>
                <w:bCs/>
              </w:rPr>
              <w:t>30.06.2013</w:t>
            </w:r>
          </w:p>
        </w:tc>
        <w:tc>
          <w:tcPr>
            <w:tcW w:w="2173" w:type="dxa"/>
            <w:shd w:val="clear" w:color="auto" w:fill="auto"/>
          </w:tcPr>
          <w:p w:rsidR="003F4306" w:rsidRPr="00BE5DBC" w:rsidRDefault="003F4306" w:rsidP="00542B1D">
            <w:pPr>
              <w:jc w:val="center"/>
              <w:rPr>
                <w:b/>
                <w:bCs/>
              </w:rPr>
            </w:pPr>
            <w:r w:rsidRPr="00BE5DBC">
              <w:rPr>
                <w:b/>
                <w:bCs/>
              </w:rPr>
              <w:t>31.12.2012</w:t>
            </w:r>
          </w:p>
        </w:tc>
      </w:tr>
      <w:tr w:rsidR="003F4306" w:rsidRPr="00B13E9A" w:rsidTr="00542B1D">
        <w:tc>
          <w:tcPr>
            <w:tcW w:w="4122" w:type="dxa"/>
            <w:shd w:val="clear" w:color="auto" w:fill="auto"/>
          </w:tcPr>
          <w:p w:rsidR="003F4306" w:rsidRPr="00B13E9A" w:rsidRDefault="003F4306" w:rsidP="00542B1D">
            <w:pPr>
              <w:rPr>
                <w:bCs/>
              </w:rPr>
            </w:pPr>
            <w:r w:rsidRPr="00B13E9A">
              <w:rPr>
                <w:bCs/>
              </w:rPr>
              <w:t>Consumer, Health &amp; Nutrition</w:t>
            </w:r>
          </w:p>
        </w:tc>
        <w:tc>
          <w:tcPr>
            <w:tcW w:w="2172" w:type="dxa"/>
            <w:shd w:val="clear" w:color="auto" w:fill="auto"/>
          </w:tcPr>
          <w:p w:rsidR="003F4306" w:rsidRPr="00B13E9A" w:rsidRDefault="00542B1D" w:rsidP="00542B1D">
            <w:pPr>
              <w:jc w:val="right"/>
              <w:rPr>
                <w:bCs/>
              </w:rPr>
            </w:pPr>
            <w:r>
              <w:rPr>
                <w:bCs/>
              </w:rPr>
              <w:t>6.967</w:t>
            </w:r>
          </w:p>
        </w:tc>
        <w:tc>
          <w:tcPr>
            <w:tcW w:w="2173" w:type="dxa"/>
            <w:shd w:val="clear" w:color="auto" w:fill="auto"/>
          </w:tcPr>
          <w:p w:rsidR="003F4306" w:rsidRPr="00B13E9A" w:rsidRDefault="003F4306" w:rsidP="00542B1D">
            <w:pPr>
              <w:jc w:val="right"/>
              <w:rPr>
                <w:bCs/>
              </w:rPr>
            </w:pPr>
            <w:r w:rsidRPr="00B13E9A">
              <w:rPr>
                <w:bCs/>
              </w:rPr>
              <w:t>6.821</w:t>
            </w:r>
          </w:p>
        </w:tc>
      </w:tr>
      <w:tr w:rsidR="003F4306" w:rsidRPr="00B13E9A" w:rsidTr="00542B1D">
        <w:tc>
          <w:tcPr>
            <w:tcW w:w="4122" w:type="dxa"/>
            <w:shd w:val="clear" w:color="auto" w:fill="auto"/>
          </w:tcPr>
          <w:p w:rsidR="003F4306" w:rsidRPr="00B13E9A" w:rsidRDefault="003F4306" w:rsidP="00542B1D">
            <w:pPr>
              <w:rPr>
                <w:bCs/>
              </w:rPr>
            </w:pPr>
            <w:r w:rsidRPr="00B13E9A">
              <w:rPr>
                <w:bCs/>
              </w:rPr>
              <w:t>Resource Efficiency</w:t>
            </w:r>
          </w:p>
        </w:tc>
        <w:tc>
          <w:tcPr>
            <w:tcW w:w="2172" w:type="dxa"/>
            <w:shd w:val="clear" w:color="auto" w:fill="auto"/>
          </w:tcPr>
          <w:p w:rsidR="003F4306" w:rsidRPr="00B13E9A" w:rsidRDefault="00542B1D" w:rsidP="00542B1D">
            <w:pPr>
              <w:jc w:val="right"/>
              <w:rPr>
                <w:bCs/>
              </w:rPr>
            </w:pPr>
            <w:r>
              <w:rPr>
                <w:bCs/>
              </w:rPr>
              <w:t>5.841</w:t>
            </w:r>
          </w:p>
        </w:tc>
        <w:tc>
          <w:tcPr>
            <w:tcW w:w="2173" w:type="dxa"/>
            <w:shd w:val="clear" w:color="auto" w:fill="auto"/>
          </w:tcPr>
          <w:p w:rsidR="003F4306" w:rsidRPr="00B13E9A" w:rsidRDefault="003F4306" w:rsidP="00542B1D">
            <w:pPr>
              <w:jc w:val="right"/>
              <w:rPr>
                <w:bCs/>
              </w:rPr>
            </w:pPr>
            <w:r w:rsidRPr="00B13E9A">
              <w:rPr>
                <w:bCs/>
              </w:rPr>
              <w:t>5.755</w:t>
            </w:r>
          </w:p>
        </w:tc>
      </w:tr>
      <w:tr w:rsidR="003F4306" w:rsidRPr="00B13E9A" w:rsidTr="00542B1D">
        <w:tc>
          <w:tcPr>
            <w:tcW w:w="4122" w:type="dxa"/>
            <w:shd w:val="clear" w:color="auto" w:fill="auto"/>
          </w:tcPr>
          <w:p w:rsidR="003F4306" w:rsidRPr="00B13E9A" w:rsidRDefault="003F4306" w:rsidP="00542B1D">
            <w:pPr>
              <w:rPr>
                <w:bCs/>
              </w:rPr>
            </w:pPr>
            <w:r w:rsidRPr="00B13E9A">
              <w:rPr>
                <w:bCs/>
              </w:rPr>
              <w:t>Specialty Materials</w:t>
            </w:r>
          </w:p>
        </w:tc>
        <w:tc>
          <w:tcPr>
            <w:tcW w:w="2172" w:type="dxa"/>
            <w:shd w:val="clear" w:color="auto" w:fill="auto"/>
          </w:tcPr>
          <w:p w:rsidR="003F4306" w:rsidRPr="00B13E9A" w:rsidRDefault="00542B1D" w:rsidP="00542B1D">
            <w:pPr>
              <w:jc w:val="right"/>
              <w:rPr>
                <w:bCs/>
              </w:rPr>
            </w:pPr>
            <w:r>
              <w:rPr>
                <w:bCs/>
              </w:rPr>
              <w:t>6.241</w:t>
            </w:r>
          </w:p>
        </w:tc>
        <w:tc>
          <w:tcPr>
            <w:tcW w:w="2173" w:type="dxa"/>
            <w:shd w:val="clear" w:color="auto" w:fill="auto"/>
          </w:tcPr>
          <w:p w:rsidR="003F4306" w:rsidRPr="00B13E9A" w:rsidRDefault="003F4306" w:rsidP="00542B1D">
            <w:pPr>
              <w:jc w:val="right"/>
              <w:rPr>
                <w:bCs/>
              </w:rPr>
            </w:pPr>
            <w:r w:rsidRPr="00B13E9A">
              <w:rPr>
                <w:bCs/>
              </w:rPr>
              <w:t>6.134</w:t>
            </w:r>
          </w:p>
        </w:tc>
      </w:tr>
      <w:tr w:rsidR="003F4306" w:rsidRPr="00B13E9A" w:rsidTr="00542B1D">
        <w:tc>
          <w:tcPr>
            <w:tcW w:w="4122" w:type="dxa"/>
            <w:shd w:val="clear" w:color="auto" w:fill="auto"/>
          </w:tcPr>
          <w:p w:rsidR="003F4306" w:rsidRPr="00B13E9A" w:rsidRDefault="003F4306" w:rsidP="00542B1D">
            <w:pPr>
              <w:rPr>
                <w:bCs/>
              </w:rPr>
            </w:pPr>
            <w:r w:rsidRPr="00B13E9A">
              <w:rPr>
                <w:bCs/>
              </w:rPr>
              <w:t>Services</w:t>
            </w:r>
          </w:p>
        </w:tc>
        <w:tc>
          <w:tcPr>
            <w:tcW w:w="2172" w:type="dxa"/>
            <w:shd w:val="clear" w:color="auto" w:fill="auto"/>
          </w:tcPr>
          <w:p w:rsidR="003F4306" w:rsidRPr="00B13E9A" w:rsidRDefault="00542B1D" w:rsidP="00542B1D">
            <w:pPr>
              <w:jc w:val="right"/>
              <w:rPr>
                <w:bCs/>
              </w:rPr>
            </w:pPr>
            <w:r>
              <w:rPr>
                <w:bCs/>
              </w:rPr>
              <w:t>11.605</w:t>
            </w:r>
          </w:p>
        </w:tc>
        <w:tc>
          <w:tcPr>
            <w:tcW w:w="2173" w:type="dxa"/>
            <w:shd w:val="clear" w:color="auto" w:fill="auto"/>
          </w:tcPr>
          <w:p w:rsidR="003F4306" w:rsidRPr="00B13E9A" w:rsidRDefault="003F4306" w:rsidP="00542B1D">
            <w:pPr>
              <w:jc w:val="right"/>
              <w:rPr>
                <w:bCs/>
              </w:rPr>
            </w:pPr>
            <w:r w:rsidRPr="00B13E9A">
              <w:rPr>
                <w:bCs/>
              </w:rPr>
              <w:t>11.900</w:t>
            </w:r>
          </w:p>
        </w:tc>
      </w:tr>
      <w:tr w:rsidR="003F4306" w:rsidRPr="00B13E9A" w:rsidTr="00542B1D">
        <w:tc>
          <w:tcPr>
            <w:tcW w:w="4122" w:type="dxa"/>
            <w:shd w:val="clear" w:color="auto" w:fill="auto"/>
          </w:tcPr>
          <w:p w:rsidR="003F4306" w:rsidRPr="00B13E9A" w:rsidRDefault="003F4306" w:rsidP="00542B1D">
            <w:pPr>
              <w:rPr>
                <w:bCs/>
              </w:rPr>
            </w:pPr>
            <w:r w:rsidRPr="00B13E9A">
              <w:rPr>
                <w:bCs/>
              </w:rPr>
              <w:t>Sonstige Aktivitäten</w:t>
            </w:r>
          </w:p>
        </w:tc>
        <w:tc>
          <w:tcPr>
            <w:tcW w:w="2172" w:type="dxa"/>
            <w:shd w:val="clear" w:color="auto" w:fill="auto"/>
          </w:tcPr>
          <w:p w:rsidR="003F4306" w:rsidRPr="00B13E9A" w:rsidRDefault="00542B1D" w:rsidP="00542B1D">
            <w:pPr>
              <w:jc w:val="right"/>
              <w:rPr>
                <w:bCs/>
              </w:rPr>
            </w:pPr>
            <w:r>
              <w:rPr>
                <w:bCs/>
              </w:rPr>
              <w:t>2.211</w:t>
            </w:r>
          </w:p>
        </w:tc>
        <w:tc>
          <w:tcPr>
            <w:tcW w:w="2173" w:type="dxa"/>
            <w:shd w:val="clear" w:color="auto" w:fill="auto"/>
          </w:tcPr>
          <w:p w:rsidR="003F4306" w:rsidRPr="00B13E9A" w:rsidRDefault="003F4306" w:rsidP="00542B1D">
            <w:pPr>
              <w:jc w:val="right"/>
              <w:rPr>
                <w:bCs/>
              </w:rPr>
            </w:pPr>
            <w:r w:rsidRPr="00B13E9A">
              <w:rPr>
                <w:bCs/>
              </w:rPr>
              <w:t>2.071</w:t>
            </w:r>
          </w:p>
        </w:tc>
      </w:tr>
      <w:tr w:rsidR="003F4306" w:rsidRPr="00B13E9A" w:rsidTr="00542B1D">
        <w:tc>
          <w:tcPr>
            <w:tcW w:w="4122" w:type="dxa"/>
            <w:shd w:val="clear" w:color="auto" w:fill="auto"/>
          </w:tcPr>
          <w:p w:rsidR="003F4306" w:rsidRPr="00B13E9A" w:rsidRDefault="003F4306" w:rsidP="00542B1D">
            <w:pPr>
              <w:rPr>
                <w:bCs/>
              </w:rPr>
            </w:pPr>
            <w:r w:rsidRPr="00B13E9A">
              <w:rPr>
                <w:bCs/>
              </w:rPr>
              <w:t>Fortgeführte Aktivitäten</w:t>
            </w:r>
          </w:p>
        </w:tc>
        <w:tc>
          <w:tcPr>
            <w:tcW w:w="2172" w:type="dxa"/>
            <w:shd w:val="clear" w:color="auto" w:fill="auto"/>
          </w:tcPr>
          <w:p w:rsidR="003F4306" w:rsidRPr="00B13E9A" w:rsidRDefault="00542B1D" w:rsidP="00542B1D">
            <w:pPr>
              <w:jc w:val="right"/>
              <w:rPr>
                <w:bCs/>
              </w:rPr>
            </w:pPr>
            <w:r>
              <w:rPr>
                <w:bCs/>
              </w:rPr>
              <w:t>32.865</w:t>
            </w:r>
          </w:p>
        </w:tc>
        <w:tc>
          <w:tcPr>
            <w:tcW w:w="2173" w:type="dxa"/>
            <w:shd w:val="clear" w:color="auto" w:fill="auto"/>
          </w:tcPr>
          <w:p w:rsidR="003F4306" w:rsidRPr="00B13E9A" w:rsidRDefault="003F4306" w:rsidP="00542B1D">
            <w:pPr>
              <w:jc w:val="right"/>
              <w:rPr>
                <w:bCs/>
              </w:rPr>
            </w:pPr>
            <w:r w:rsidRPr="00B13E9A">
              <w:rPr>
                <w:bCs/>
              </w:rPr>
              <w:t>32.681</w:t>
            </w:r>
          </w:p>
        </w:tc>
      </w:tr>
      <w:tr w:rsidR="003F4306" w:rsidRPr="00B13E9A" w:rsidTr="00542B1D">
        <w:tc>
          <w:tcPr>
            <w:tcW w:w="4122" w:type="dxa"/>
            <w:shd w:val="clear" w:color="auto" w:fill="auto"/>
          </w:tcPr>
          <w:p w:rsidR="003F4306" w:rsidRPr="00B13E9A" w:rsidRDefault="003F4306" w:rsidP="00542B1D">
            <w:pPr>
              <w:rPr>
                <w:bCs/>
              </w:rPr>
            </w:pPr>
            <w:r w:rsidRPr="00B13E9A">
              <w:rPr>
                <w:bCs/>
              </w:rPr>
              <w:t>Nicht fortgeführte Aktivitäten (Real Estate)</w:t>
            </w:r>
          </w:p>
        </w:tc>
        <w:tc>
          <w:tcPr>
            <w:tcW w:w="2172" w:type="dxa"/>
            <w:shd w:val="clear" w:color="auto" w:fill="auto"/>
          </w:tcPr>
          <w:p w:rsidR="003F4306" w:rsidRPr="00B13E9A" w:rsidRDefault="00542B1D" w:rsidP="00542B1D">
            <w:pPr>
              <w:jc w:val="right"/>
              <w:rPr>
                <w:bCs/>
              </w:rPr>
            </w:pPr>
            <w:r>
              <w:rPr>
                <w:bCs/>
              </w:rPr>
              <w:t>666</w:t>
            </w:r>
          </w:p>
        </w:tc>
        <w:tc>
          <w:tcPr>
            <w:tcW w:w="2173" w:type="dxa"/>
            <w:shd w:val="clear" w:color="auto" w:fill="auto"/>
          </w:tcPr>
          <w:p w:rsidR="003F4306" w:rsidRPr="00B13E9A" w:rsidRDefault="003F4306" w:rsidP="00542B1D">
            <w:pPr>
              <w:jc w:val="right"/>
              <w:rPr>
                <w:bCs/>
              </w:rPr>
            </w:pPr>
            <w:r w:rsidRPr="00B13E9A">
              <w:rPr>
                <w:bCs/>
              </w:rPr>
              <w:t>617</w:t>
            </w:r>
          </w:p>
        </w:tc>
      </w:tr>
      <w:tr w:rsidR="003F4306" w:rsidRPr="00BE5DBC" w:rsidTr="00542B1D">
        <w:tc>
          <w:tcPr>
            <w:tcW w:w="4122" w:type="dxa"/>
            <w:shd w:val="clear" w:color="auto" w:fill="auto"/>
          </w:tcPr>
          <w:p w:rsidR="003F4306" w:rsidRPr="00BE5DBC" w:rsidRDefault="003F4306" w:rsidP="00542B1D">
            <w:pPr>
              <w:rPr>
                <w:b/>
                <w:bCs/>
              </w:rPr>
            </w:pPr>
            <w:r w:rsidRPr="00BE5DBC">
              <w:rPr>
                <w:b/>
                <w:bCs/>
              </w:rPr>
              <w:t>Evonik</w:t>
            </w:r>
          </w:p>
        </w:tc>
        <w:tc>
          <w:tcPr>
            <w:tcW w:w="2172" w:type="dxa"/>
            <w:shd w:val="clear" w:color="auto" w:fill="auto"/>
          </w:tcPr>
          <w:p w:rsidR="003F4306" w:rsidRPr="00BE5DBC" w:rsidRDefault="00542B1D" w:rsidP="00542B1D">
            <w:pPr>
              <w:jc w:val="right"/>
              <w:rPr>
                <w:b/>
                <w:bCs/>
              </w:rPr>
            </w:pPr>
            <w:r>
              <w:rPr>
                <w:b/>
                <w:bCs/>
              </w:rPr>
              <w:t>33.531</w:t>
            </w:r>
          </w:p>
        </w:tc>
        <w:tc>
          <w:tcPr>
            <w:tcW w:w="2173" w:type="dxa"/>
            <w:shd w:val="clear" w:color="auto" w:fill="auto"/>
          </w:tcPr>
          <w:p w:rsidR="003F4306" w:rsidRPr="00BE5DBC" w:rsidRDefault="003F4306" w:rsidP="00542B1D">
            <w:pPr>
              <w:jc w:val="right"/>
              <w:rPr>
                <w:b/>
                <w:bCs/>
              </w:rPr>
            </w:pPr>
            <w:r w:rsidRPr="00BE5DBC">
              <w:rPr>
                <w:b/>
                <w:bCs/>
              </w:rPr>
              <w:t>33.298</w:t>
            </w:r>
          </w:p>
        </w:tc>
      </w:tr>
    </w:tbl>
    <w:p w:rsidR="003F4306" w:rsidRDefault="003F4306">
      <w:pPr>
        <w:spacing w:line="240" w:lineRule="auto"/>
        <w:ind w:left="0" w:right="0"/>
        <w:rPr>
          <w:rFonts w:cs="Lucida Sans Unicode"/>
          <w:b/>
          <w:bCs/>
          <w:szCs w:val="18"/>
        </w:rPr>
      </w:pPr>
    </w:p>
    <w:p w:rsidR="003F4306" w:rsidRDefault="003F4306" w:rsidP="009D734A">
      <w:pPr>
        <w:autoSpaceDE w:val="0"/>
        <w:autoSpaceDN w:val="0"/>
        <w:adjustRightInd w:val="0"/>
        <w:spacing w:line="220" w:lineRule="exact"/>
        <w:ind w:left="0"/>
        <w:rPr>
          <w:rFonts w:cs="Lucida Sans Unicode"/>
          <w:b/>
          <w:bCs/>
          <w:szCs w:val="18"/>
        </w:rPr>
      </w:pPr>
    </w:p>
    <w:p w:rsidR="003F4306" w:rsidRDefault="003F4306" w:rsidP="009D734A">
      <w:pPr>
        <w:autoSpaceDE w:val="0"/>
        <w:autoSpaceDN w:val="0"/>
        <w:adjustRightInd w:val="0"/>
        <w:spacing w:line="220" w:lineRule="exact"/>
        <w:ind w:left="0"/>
        <w:rPr>
          <w:rFonts w:cs="Lucida Sans Unicode"/>
          <w:b/>
          <w:bCs/>
          <w:szCs w:val="18"/>
        </w:rPr>
      </w:pPr>
    </w:p>
    <w:p w:rsidR="003F4306" w:rsidRDefault="003F4306" w:rsidP="00233F93">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F4306" w:rsidRPr="009D734A" w:rsidRDefault="003F4306" w:rsidP="00233F9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F4306" w:rsidRPr="009D734A" w:rsidRDefault="003F4306" w:rsidP="00233F93">
      <w:pPr>
        <w:autoSpaceDE w:val="0"/>
        <w:autoSpaceDN w:val="0"/>
        <w:adjustRightInd w:val="0"/>
        <w:spacing w:line="220" w:lineRule="exact"/>
        <w:ind w:left="0" w:right="0"/>
        <w:rPr>
          <w:rFonts w:cs="Lucida Sans Unicode"/>
          <w:position w:val="0"/>
          <w:szCs w:val="18"/>
        </w:rPr>
      </w:pPr>
    </w:p>
    <w:p w:rsidR="003F4306" w:rsidRPr="009D734A" w:rsidRDefault="003F4306" w:rsidP="00233F9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3F4306" w:rsidRDefault="003F4306" w:rsidP="00233F93">
      <w:pPr>
        <w:ind w:left="0"/>
      </w:pPr>
    </w:p>
    <w:p w:rsidR="003F4306" w:rsidRDefault="003F4306" w:rsidP="00233F93">
      <w:pPr>
        <w:autoSpaceDE w:val="0"/>
        <w:autoSpaceDN w:val="0"/>
        <w:adjustRightInd w:val="0"/>
        <w:spacing w:line="220" w:lineRule="exact"/>
        <w:ind w:left="0" w:right="0"/>
        <w:rPr>
          <w:rFonts w:cs="Lucida Sans Unicode"/>
          <w:b/>
          <w:position w:val="0"/>
          <w:szCs w:val="18"/>
        </w:rPr>
      </w:pPr>
    </w:p>
    <w:p w:rsidR="003F4306" w:rsidRDefault="003F4306" w:rsidP="00233F93">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3F4306" w:rsidRDefault="003F4306" w:rsidP="00233F93">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3F4306" w:rsidRDefault="003F4306" w:rsidP="003F4306">
      <w:pPr>
        <w:autoSpaceDE w:val="0"/>
        <w:autoSpaceDN w:val="0"/>
        <w:adjustRightInd w:val="0"/>
        <w:spacing w:line="220" w:lineRule="exact"/>
        <w:ind w:left="0"/>
        <w:rPr>
          <w:rFonts w:cs="Lucida Sans Unicode"/>
          <w:szCs w:val="18"/>
        </w:rPr>
      </w:pPr>
    </w:p>
    <w:sectPr w:rsidR="003F4306" w:rsidSect="00407B10">
      <w:headerReference w:type="even" r:id="rId13"/>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A53" w:rsidRDefault="00C74A53">
      <w:r>
        <w:separator/>
      </w:r>
    </w:p>
    <w:p w:rsidR="00C74A53" w:rsidRDefault="00C74A53"/>
  </w:endnote>
  <w:endnote w:type="continuationSeparator" w:id="0">
    <w:p w:rsidR="00C74A53" w:rsidRDefault="00C74A53">
      <w:r>
        <w:continuationSeparator/>
      </w:r>
    </w:p>
    <w:p w:rsidR="00C74A53" w:rsidRDefault="00C74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74A53">
      <w:trPr>
        <w:trHeight w:val="5348"/>
      </w:trPr>
      <w:tc>
        <w:tcPr>
          <w:tcW w:w="2562" w:type="dxa"/>
          <w:tcBorders>
            <w:top w:val="nil"/>
          </w:tcBorders>
          <w:vAlign w:val="bottom"/>
        </w:tcPr>
        <w:p w:rsidR="00C74A53" w:rsidRDefault="00C74A53">
          <w:pPr>
            <w:pStyle w:val="Fuzeile"/>
            <w:spacing w:line="180" w:lineRule="exact"/>
            <w:ind w:left="0" w:right="0"/>
            <w:rPr>
              <w:sz w:val="13"/>
              <w:szCs w:val="13"/>
            </w:rPr>
          </w:pPr>
        </w:p>
      </w:tc>
    </w:tr>
  </w:tbl>
  <w:p w:rsidR="00C74A53" w:rsidRDefault="00C74A53">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97667">
      <w:rPr>
        <w:rStyle w:val="Seitenzahl"/>
        <w:noProof/>
      </w:rPr>
      <w:t>7</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97667">
      <w:rPr>
        <w:rStyle w:val="Seitenzahl"/>
        <w:noProof/>
      </w:rPr>
      <w:t>10</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53" w:rsidRDefault="00C74A53">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9766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97667">
      <w:rPr>
        <w:rStyle w:val="Seitenzahl"/>
        <w:noProof/>
      </w:rPr>
      <w:t>10</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A53" w:rsidRDefault="00C74A53">
      <w:r>
        <w:separator/>
      </w:r>
    </w:p>
    <w:p w:rsidR="00C74A53" w:rsidRDefault="00C74A53"/>
  </w:footnote>
  <w:footnote w:type="continuationSeparator" w:id="0">
    <w:p w:rsidR="00C74A53" w:rsidRDefault="00C74A53">
      <w:r>
        <w:continuationSeparator/>
      </w:r>
    </w:p>
    <w:p w:rsidR="00C74A53" w:rsidRDefault="00C74A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74A53">
      <w:trPr>
        <w:trHeight w:hRule="exact" w:val="227"/>
      </w:trPr>
      <w:tc>
        <w:tcPr>
          <w:tcW w:w="2552" w:type="dxa"/>
          <w:shd w:val="clear" w:color="auto" w:fill="auto"/>
        </w:tcPr>
        <w:p w:rsidR="00C74A53" w:rsidRDefault="00C74A53">
          <w:pPr>
            <w:pStyle w:val="E-Datum"/>
            <w:framePr w:wrap="auto" w:vAnchor="margin" w:hAnchor="text" w:xAlign="left" w:yAlign="inline"/>
            <w:suppressOverlap w:val="0"/>
          </w:pPr>
        </w:p>
      </w:tc>
    </w:tr>
    <w:tr w:rsidR="00C74A53">
      <w:trPr>
        <w:trHeight w:hRule="exact" w:val="397"/>
      </w:trPr>
      <w:tc>
        <w:tcPr>
          <w:tcW w:w="2552" w:type="dxa"/>
          <w:shd w:val="clear" w:color="auto" w:fill="auto"/>
        </w:tcPr>
        <w:p w:rsidR="00C74A53" w:rsidRDefault="00C74A53">
          <w:pPr>
            <w:spacing w:line="180" w:lineRule="exact"/>
            <w:ind w:left="0"/>
            <w:rPr>
              <w:sz w:val="13"/>
              <w:szCs w:val="13"/>
            </w:rPr>
          </w:pPr>
        </w:p>
      </w:tc>
    </w:tr>
    <w:tr w:rsidR="00C74A53">
      <w:trPr>
        <w:trHeight w:hRule="exact" w:val="1304"/>
      </w:trPr>
      <w:tc>
        <w:tcPr>
          <w:tcW w:w="2552" w:type="dxa"/>
          <w:shd w:val="clear" w:color="auto" w:fill="auto"/>
        </w:tcPr>
        <w:p w:rsidR="00C74A53" w:rsidRDefault="00C74A53">
          <w:pPr>
            <w:spacing w:line="180" w:lineRule="exact"/>
            <w:ind w:left="0"/>
            <w:rPr>
              <w:sz w:val="13"/>
              <w:szCs w:val="13"/>
            </w:rPr>
          </w:pPr>
        </w:p>
      </w:tc>
    </w:tr>
    <w:tr w:rsidR="00C74A53">
      <w:trPr>
        <w:trHeight w:val="1374"/>
      </w:trPr>
      <w:tc>
        <w:tcPr>
          <w:tcW w:w="2552" w:type="dxa"/>
          <w:shd w:val="clear" w:color="auto" w:fill="auto"/>
        </w:tcPr>
        <w:p w:rsidR="00C74A53" w:rsidRDefault="00C74A53">
          <w:pPr>
            <w:spacing w:line="180" w:lineRule="exact"/>
            <w:ind w:left="0"/>
            <w:rPr>
              <w:sz w:val="13"/>
              <w:szCs w:val="13"/>
            </w:rPr>
          </w:pPr>
        </w:p>
      </w:tc>
    </w:tr>
  </w:tbl>
  <w:p w:rsidR="00C74A53" w:rsidRDefault="00C74A53">
    <w:pPr>
      <w:pStyle w:val="Kopfzeile"/>
      <w:ind w:left="0"/>
    </w:pPr>
  </w:p>
  <w:p w:rsidR="00C74A53" w:rsidRDefault="00C74A53">
    <w:pPr>
      <w:pStyle w:val="Kopfzeile"/>
      <w:ind w:left="0"/>
    </w:pPr>
  </w:p>
  <w:p w:rsidR="00C74A53" w:rsidRDefault="00C74A53">
    <w:pPr>
      <w:pStyle w:val="Kopfzeile"/>
      <w:ind w:left="0"/>
    </w:pPr>
  </w:p>
  <w:p w:rsidR="00C74A53" w:rsidRDefault="00C74A53">
    <w:pPr>
      <w:pStyle w:val="Kopfzeile"/>
      <w:ind w:left="0"/>
    </w:pPr>
  </w:p>
  <w:p w:rsidR="00C74A53" w:rsidRPr="00067DAF" w:rsidRDefault="00C74A53" w:rsidP="00067DAF">
    <w:pPr>
      <w:pStyle w:val="Kopfzeile"/>
      <w:ind w:left="0" w:right="-3"/>
    </w:pPr>
    <w:r>
      <w:rPr>
        <w:noProof/>
      </w:rPr>
      <w:drawing>
        <wp:anchor distT="0" distB="0" distL="114300" distR="114300" simplePos="0" relativeHeight="251659264" behindDoc="0" locked="0" layoutInCell="1" allowOverlap="1" wp14:anchorId="3F7FDB08" wp14:editId="2702A7E3">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BEF6B1C" wp14:editId="1AECDB2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r w:rsidRPr="00067DAF">
      <w:rPr>
        <w:b/>
        <w:u w:val="single"/>
      </w:rPr>
      <w:t xml:space="preserve"> </w:t>
    </w:r>
  </w:p>
  <w:p w:rsidR="00C74A53" w:rsidRDefault="00C74A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53" w:rsidRDefault="00C74A53">
    <w:pPr>
      <w:pStyle w:val="Kopfzeile"/>
      <w:ind w:left="0"/>
    </w:pPr>
  </w:p>
  <w:p w:rsidR="00C74A53" w:rsidRDefault="00C74A53">
    <w:pPr>
      <w:pStyle w:val="Kopfzeile"/>
      <w:ind w:left="0"/>
    </w:pPr>
  </w:p>
  <w:p w:rsidR="00C74A53" w:rsidRDefault="00C74A53">
    <w:pPr>
      <w:pStyle w:val="Kopfzeile"/>
      <w:ind w:left="0"/>
    </w:pPr>
  </w:p>
  <w:p w:rsidR="00C74A53" w:rsidRPr="00E23458" w:rsidRDefault="00C74A53">
    <w:pPr>
      <w:pStyle w:val="Kopfzeile"/>
      <w:ind w:left="0"/>
      <w:rPr>
        <w:sz w:val="24"/>
      </w:rPr>
    </w:pPr>
    <w:r>
      <w:rPr>
        <w:b/>
        <w:u w:val="single"/>
      </w:rPr>
      <w:br/>
    </w:r>
  </w:p>
  <w:p w:rsidR="00C74A53" w:rsidRDefault="00C74A53">
    <w:pPr>
      <w:pStyle w:val="Kopfzeile"/>
      <w:ind w:left="0"/>
    </w:pPr>
  </w:p>
  <w:p w:rsidR="00C74A53" w:rsidRDefault="00C74A53">
    <w:pPr>
      <w:pStyle w:val="Kopfzeile"/>
      <w:ind w:left="0"/>
      <w:rPr>
        <w:u w:val="single"/>
      </w:rPr>
    </w:pPr>
  </w:p>
  <w:p w:rsidR="00C74A53" w:rsidRPr="009D5463" w:rsidRDefault="00C74A53">
    <w:pPr>
      <w:pStyle w:val="Kopfzeile"/>
      <w:ind w:left="0"/>
      <w:rPr>
        <w:u w:val="single"/>
      </w:rPr>
    </w:pPr>
    <w:r w:rsidRPr="009D5463">
      <w:rPr>
        <w:noProof/>
        <w:u w:val="single"/>
      </w:rPr>
      <w:drawing>
        <wp:anchor distT="0" distB="0" distL="114300" distR="114300" simplePos="0" relativeHeight="251658240" behindDoc="0" locked="0" layoutInCell="1" allowOverlap="1" wp14:anchorId="5C4EBC2D" wp14:editId="5395EF20">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463">
      <w:rPr>
        <w:noProof/>
        <w:u w:val="single"/>
      </w:rPr>
      <mc:AlternateContent>
        <mc:Choice Requires="wpg">
          <w:drawing>
            <wp:anchor distT="0" distB="0" distL="114300" distR="114300" simplePos="0" relativeHeight="251656192" behindDoc="1" locked="0" layoutInCell="1" allowOverlap="1" wp14:anchorId="3A03843A" wp14:editId="33F48A99">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53" w:rsidRDefault="00C74A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AF4FB2"/>
    <w:multiLevelType w:val="hybridMultilevel"/>
    <w:tmpl w:val="2A542D8C"/>
    <w:lvl w:ilvl="0" w:tplc="A31861E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4BA0F89"/>
    <w:multiLevelType w:val="hybridMultilevel"/>
    <w:tmpl w:val="D86080F4"/>
    <w:lvl w:ilvl="0" w:tplc="6D142B98">
      <w:start w:val="1"/>
      <w:numFmt w:val="decimal"/>
      <w:lvlText w:val="%1."/>
      <w:lvlJc w:val="left"/>
      <w:pPr>
        <w:ind w:left="445" w:hanging="360"/>
      </w:pPr>
      <w:rPr>
        <w:rFonts w:hint="default"/>
      </w:rPr>
    </w:lvl>
    <w:lvl w:ilvl="1" w:tplc="04070019" w:tentative="1">
      <w:start w:val="1"/>
      <w:numFmt w:val="lowerLetter"/>
      <w:lvlText w:val="%2."/>
      <w:lvlJc w:val="left"/>
      <w:pPr>
        <w:ind w:left="1165" w:hanging="360"/>
      </w:pPr>
    </w:lvl>
    <w:lvl w:ilvl="2" w:tplc="0407001B" w:tentative="1">
      <w:start w:val="1"/>
      <w:numFmt w:val="lowerRoman"/>
      <w:lvlText w:val="%3."/>
      <w:lvlJc w:val="right"/>
      <w:pPr>
        <w:ind w:left="1885" w:hanging="180"/>
      </w:pPr>
    </w:lvl>
    <w:lvl w:ilvl="3" w:tplc="0407000F" w:tentative="1">
      <w:start w:val="1"/>
      <w:numFmt w:val="decimal"/>
      <w:lvlText w:val="%4."/>
      <w:lvlJc w:val="left"/>
      <w:pPr>
        <w:ind w:left="2605" w:hanging="360"/>
      </w:pPr>
    </w:lvl>
    <w:lvl w:ilvl="4" w:tplc="04070019" w:tentative="1">
      <w:start w:val="1"/>
      <w:numFmt w:val="lowerLetter"/>
      <w:lvlText w:val="%5."/>
      <w:lvlJc w:val="left"/>
      <w:pPr>
        <w:ind w:left="3325" w:hanging="360"/>
      </w:pPr>
    </w:lvl>
    <w:lvl w:ilvl="5" w:tplc="0407001B" w:tentative="1">
      <w:start w:val="1"/>
      <w:numFmt w:val="lowerRoman"/>
      <w:lvlText w:val="%6."/>
      <w:lvlJc w:val="right"/>
      <w:pPr>
        <w:ind w:left="4045" w:hanging="180"/>
      </w:pPr>
    </w:lvl>
    <w:lvl w:ilvl="6" w:tplc="0407000F" w:tentative="1">
      <w:start w:val="1"/>
      <w:numFmt w:val="decimal"/>
      <w:lvlText w:val="%7."/>
      <w:lvlJc w:val="left"/>
      <w:pPr>
        <w:ind w:left="4765" w:hanging="360"/>
      </w:pPr>
    </w:lvl>
    <w:lvl w:ilvl="7" w:tplc="04070019" w:tentative="1">
      <w:start w:val="1"/>
      <w:numFmt w:val="lowerLetter"/>
      <w:lvlText w:val="%8."/>
      <w:lvlJc w:val="left"/>
      <w:pPr>
        <w:ind w:left="5485" w:hanging="360"/>
      </w:pPr>
    </w:lvl>
    <w:lvl w:ilvl="8" w:tplc="0407001B" w:tentative="1">
      <w:start w:val="1"/>
      <w:numFmt w:val="lowerRoman"/>
      <w:lvlText w:val="%9."/>
      <w:lvlJc w:val="right"/>
      <w:pPr>
        <w:ind w:left="6205" w:hanging="180"/>
      </w:pPr>
    </w:lvl>
  </w:abstractNum>
  <w:abstractNum w:abstractNumId="13">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2281BDA"/>
    <w:multiLevelType w:val="hybridMultilevel"/>
    <w:tmpl w:val="4B9E6DF0"/>
    <w:lvl w:ilvl="0" w:tplc="20720C12">
      <w:start w:val="2"/>
      <w:numFmt w:val="decimal"/>
      <w:lvlText w:val="%1."/>
      <w:lvlJc w:val="left"/>
      <w:pPr>
        <w:ind w:left="445" w:hanging="360"/>
      </w:pPr>
      <w:rPr>
        <w:rFonts w:hint="default"/>
      </w:rPr>
    </w:lvl>
    <w:lvl w:ilvl="1" w:tplc="04070019" w:tentative="1">
      <w:start w:val="1"/>
      <w:numFmt w:val="lowerLetter"/>
      <w:lvlText w:val="%2."/>
      <w:lvlJc w:val="left"/>
      <w:pPr>
        <w:ind w:left="1165" w:hanging="360"/>
      </w:pPr>
    </w:lvl>
    <w:lvl w:ilvl="2" w:tplc="0407001B" w:tentative="1">
      <w:start w:val="1"/>
      <w:numFmt w:val="lowerRoman"/>
      <w:lvlText w:val="%3."/>
      <w:lvlJc w:val="right"/>
      <w:pPr>
        <w:ind w:left="1885" w:hanging="180"/>
      </w:pPr>
    </w:lvl>
    <w:lvl w:ilvl="3" w:tplc="0407000F" w:tentative="1">
      <w:start w:val="1"/>
      <w:numFmt w:val="decimal"/>
      <w:lvlText w:val="%4."/>
      <w:lvlJc w:val="left"/>
      <w:pPr>
        <w:ind w:left="2605" w:hanging="360"/>
      </w:pPr>
    </w:lvl>
    <w:lvl w:ilvl="4" w:tplc="04070019" w:tentative="1">
      <w:start w:val="1"/>
      <w:numFmt w:val="lowerLetter"/>
      <w:lvlText w:val="%5."/>
      <w:lvlJc w:val="left"/>
      <w:pPr>
        <w:ind w:left="3325" w:hanging="360"/>
      </w:pPr>
    </w:lvl>
    <w:lvl w:ilvl="5" w:tplc="0407001B" w:tentative="1">
      <w:start w:val="1"/>
      <w:numFmt w:val="lowerRoman"/>
      <w:lvlText w:val="%6."/>
      <w:lvlJc w:val="right"/>
      <w:pPr>
        <w:ind w:left="4045" w:hanging="180"/>
      </w:pPr>
    </w:lvl>
    <w:lvl w:ilvl="6" w:tplc="0407000F" w:tentative="1">
      <w:start w:val="1"/>
      <w:numFmt w:val="decimal"/>
      <w:lvlText w:val="%7."/>
      <w:lvlJc w:val="left"/>
      <w:pPr>
        <w:ind w:left="4765" w:hanging="360"/>
      </w:pPr>
    </w:lvl>
    <w:lvl w:ilvl="7" w:tplc="04070019" w:tentative="1">
      <w:start w:val="1"/>
      <w:numFmt w:val="lowerLetter"/>
      <w:lvlText w:val="%8."/>
      <w:lvlJc w:val="left"/>
      <w:pPr>
        <w:ind w:left="5485" w:hanging="360"/>
      </w:pPr>
    </w:lvl>
    <w:lvl w:ilvl="8" w:tplc="0407001B" w:tentative="1">
      <w:start w:val="1"/>
      <w:numFmt w:val="lowerRoman"/>
      <w:lvlText w:val="%9."/>
      <w:lvlJc w:val="right"/>
      <w:pPr>
        <w:ind w:left="6205" w:hanging="180"/>
      </w:pPr>
    </w:lvl>
  </w:abstractNum>
  <w:abstractNum w:abstractNumId="17">
    <w:nsid w:val="28EE77FE"/>
    <w:multiLevelType w:val="hybridMultilevel"/>
    <w:tmpl w:val="1F0208EE"/>
    <w:lvl w:ilvl="0" w:tplc="B40015B4">
      <w:start w:val="1"/>
      <w:numFmt w:val="decimal"/>
      <w:lvlText w:val="%1."/>
      <w:lvlJc w:val="left"/>
      <w:pPr>
        <w:ind w:left="445" w:hanging="360"/>
      </w:pPr>
      <w:rPr>
        <w:rFonts w:hint="default"/>
      </w:rPr>
    </w:lvl>
    <w:lvl w:ilvl="1" w:tplc="04070019" w:tentative="1">
      <w:start w:val="1"/>
      <w:numFmt w:val="lowerLetter"/>
      <w:lvlText w:val="%2."/>
      <w:lvlJc w:val="left"/>
      <w:pPr>
        <w:ind w:left="1165" w:hanging="360"/>
      </w:pPr>
    </w:lvl>
    <w:lvl w:ilvl="2" w:tplc="0407001B" w:tentative="1">
      <w:start w:val="1"/>
      <w:numFmt w:val="lowerRoman"/>
      <w:lvlText w:val="%3."/>
      <w:lvlJc w:val="right"/>
      <w:pPr>
        <w:ind w:left="1885" w:hanging="180"/>
      </w:pPr>
    </w:lvl>
    <w:lvl w:ilvl="3" w:tplc="0407000F" w:tentative="1">
      <w:start w:val="1"/>
      <w:numFmt w:val="decimal"/>
      <w:lvlText w:val="%4."/>
      <w:lvlJc w:val="left"/>
      <w:pPr>
        <w:ind w:left="2605" w:hanging="360"/>
      </w:pPr>
    </w:lvl>
    <w:lvl w:ilvl="4" w:tplc="04070019" w:tentative="1">
      <w:start w:val="1"/>
      <w:numFmt w:val="lowerLetter"/>
      <w:lvlText w:val="%5."/>
      <w:lvlJc w:val="left"/>
      <w:pPr>
        <w:ind w:left="3325" w:hanging="360"/>
      </w:pPr>
    </w:lvl>
    <w:lvl w:ilvl="5" w:tplc="0407001B" w:tentative="1">
      <w:start w:val="1"/>
      <w:numFmt w:val="lowerRoman"/>
      <w:lvlText w:val="%6."/>
      <w:lvlJc w:val="right"/>
      <w:pPr>
        <w:ind w:left="4045" w:hanging="180"/>
      </w:pPr>
    </w:lvl>
    <w:lvl w:ilvl="6" w:tplc="0407000F" w:tentative="1">
      <w:start w:val="1"/>
      <w:numFmt w:val="decimal"/>
      <w:lvlText w:val="%7."/>
      <w:lvlJc w:val="left"/>
      <w:pPr>
        <w:ind w:left="4765" w:hanging="360"/>
      </w:pPr>
    </w:lvl>
    <w:lvl w:ilvl="7" w:tplc="04070019" w:tentative="1">
      <w:start w:val="1"/>
      <w:numFmt w:val="lowerLetter"/>
      <w:lvlText w:val="%8."/>
      <w:lvlJc w:val="left"/>
      <w:pPr>
        <w:ind w:left="5485" w:hanging="360"/>
      </w:pPr>
    </w:lvl>
    <w:lvl w:ilvl="8" w:tplc="0407001B" w:tentative="1">
      <w:start w:val="1"/>
      <w:numFmt w:val="lowerRoman"/>
      <w:lvlText w:val="%9."/>
      <w:lvlJc w:val="right"/>
      <w:pPr>
        <w:ind w:left="6205" w:hanging="180"/>
      </w:pPr>
    </w:lvl>
  </w:abstractNum>
  <w:abstractNum w:abstractNumId="18">
    <w:nsid w:val="4AF84734"/>
    <w:multiLevelType w:val="hybridMultilevel"/>
    <w:tmpl w:val="C1FA4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66855A3A"/>
    <w:multiLevelType w:val="hybridMultilevel"/>
    <w:tmpl w:val="3320B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0432FB"/>
    <w:multiLevelType w:val="hybridMultilevel"/>
    <w:tmpl w:val="00A87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1"/>
  </w:num>
  <w:num w:numId="17">
    <w:abstractNumId w:val="12"/>
  </w:num>
  <w:num w:numId="18">
    <w:abstractNumId w:val="17"/>
  </w:num>
  <w:num w:numId="19">
    <w:abstractNumId w:val="16"/>
  </w:num>
  <w:num w:numId="20">
    <w:abstractNumId w:val="20"/>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63"/>
    <w:rsid w:val="000037AB"/>
    <w:rsid w:val="0001459C"/>
    <w:rsid w:val="0002255B"/>
    <w:rsid w:val="000258CE"/>
    <w:rsid w:val="000259C1"/>
    <w:rsid w:val="000426A4"/>
    <w:rsid w:val="00046554"/>
    <w:rsid w:val="00067DAF"/>
    <w:rsid w:val="000737CA"/>
    <w:rsid w:val="000751A4"/>
    <w:rsid w:val="00080C81"/>
    <w:rsid w:val="00092B35"/>
    <w:rsid w:val="00095CCC"/>
    <w:rsid w:val="00096AAD"/>
    <w:rsid w:val="000A100B"/>
    <w:rsid w:val="000A5B01"/>
    <w:rsid w:val="000B1542"/>
    <w:rsid w:val="000E6491"/>
    <w:rsid w:val="00107EB2"/>
    <w:rsid w:val="0012620A"/>
    <w:rsid w:val="00141D6E"/>
    <w:rsid w:val="00150F64"/>
    <w:rsid w:val="00150F95"/>
    <w:rsid w:val="00154B5C"/>
    <w:rsid w:val="00156471"/>
    <w:rsid w:val="00157016"/>
    <w:rsid w:val="00164C74"/>
    <w:rsid w:val="00174934"/>
    <w:rsid w:val="00177F36"/>
    <w:rsid w:val="00182FD6"/>
    <w:rsid w:val="0018447C"/>
    <w:rsid w:val="001A78AE"/>
    <w:rsid w:val="001B1110"/>
    <w:rsid w:val="001B75E9"/>
    <w:rsid w:val="001C3DAD"/>
    <w:rsid w:val="001E5A44"/>
    <w:rsid w:val="001F14B9"/>
    <w:rsid w:val="00204268"/>
    <w:rsid w:val="00204CFD"/>
    <w:rsid w:val="00207311"/>
    <w:rsid w:val="002217E4"/>
    <w:rsid w:val="00223020"/>
    <w:rsid w:val="0022525D"/>
    <w:rsid w:val="00233F93"/>
    <w:rsid w:val="00240280"/>
    <w:rsid w:val="002550E3"/>
    <w:rsid w:val="002556EF"/>
    <w:rsid w:val="00267D6A"/>
    <w:rsid w:val="00275F28"/>
    <w:rsid w:val="0028315E"/>
    <w:rsid w:val="0028538F"/>
    <w:rsid w:val="00296DB0"/>
    <w:rsid w:val="002A17DF"/>
    <w:rsid w:val="002A2F80"/>
    <w:rsid w:val="002A4A93"/>
    <w:rsid w:val="002A551A"/>
    <w:rsid w:val="002B19DA"/>
    <w:rsid w:val="002B3A59"/>
    <w:rsid w:val="002D15A7"/>
    <w:rsid w:val="002E4A55"/>
    <w:rsid w:val="002E74F8"/>
    <w:rsid w:val="002E78DB"/>
    <w:rsid w:val="002F36A2"/>
    <w:rsid w:val="002F5039"/>
    <w:rsid w:val="002F6F05"/>
    <w:rsid w:val="0030434C"/>
    <w:rsid w:val="00306141"/>
    <w:rsid w:val="003104FE"/>
    <w:rsid w:val="00310D51"/>
    <w:rsid w:val="00313A3A"/>
    <w:rsid w:val="0031538E"/>
    <w:rsid w:val="00315937"/>
    <w:rsid w:val="003274B7"/>
    <w:rsid w:val="003331BD"/>
    <w:rsid w:val="00357B72"/>
    <w:rsid w:val="00362FA3"/>
    <w:rsid w:val="00367767"/>
    <w:rsid w:val="00392875"/>
    <w:rsid w:val="0039323B"/>
    <w:rsid w:val="00395AF0"/>
    <w:rsid w:val="003A2A7D"/>
    <w:rsid w:val="003B04AA"/>
    <w:rsid w:val="003C126D"/>
    <w:rsid w:val="003E1B59"/>
    <w:rsid w:val="003E41E0"/>
    <w:rsid w:val="003E628A"/>
    <w:rsid w:val="003F4306"/>
    <w:rsid w:val="003F55A5"/>
    <w:rsid w:val="003F7382"/>
    <w:rsid w:val="00407B10"/>
    <w:rsid w:val="00410791"/>
    <w:rsid w:val="00415D3E"/>
    <w:rsid w:val="0043315A"/>
    <w:rsid w:val="00444979"/>
    <w:rsid w:val="0045733E"/>
    <w:rsid w:val="00461C60"/>
    <w:rsid w:val="00464582"/>
    <w:rsid w:val="00481E50"/>
    <w:rsid w:val="00483559"/>
    <w:rsid w:val="004A065A"/>
    <w:rsid w:val="004C2500"/>
    <w:rsid w:val="004E6F2F"/>
    <w:rsid w:val="00510B78"/>
    <w:rsid w:val="005160C5"/>
    <w:rsid w:val="00523EE9"/>
    <w:rsid w:val="005325F9"/>
    <w:rsid w:val="00542B1D"/>
    <w:rsid w:val="00551DA9"/>
    <w:rsid w:val="005577E4"/>
    <w:rsid w:val="0057139A"/>
    <w:rsid w:val="005717DF"/>
    <w:rsid w:val="005D1AC3"/>
    <w:rsid w:val="005E4183"/>
    <w:rsid w:val="005F066A"/>
    <w:rsid w:val="005F4E6A"/>
    <w:rsid w:val="00603A28"/>
    <w:rsid w:val="00610985"/>
    <w:rsid w:val="0061238F"/>
    <w:rsid w:val="00617B2D"/>
    <w:rsid w:val="006206A2"/>
    <w:rsid w:val="0064778C"/>
    <w:rsid w:val="00656F5E"/>
    <w:rsid w:val="0066201C"/>
    <w:rsid w:val="0066288C"/>
    <w:rsid w:val="00664ABB"/>
    <w:rsid w:val="006706B9"/>
    <w:rsid w:val="006769E9"/>
    <w:rsid w:val="006A192A"/>
    <w:rsid w:val="006A4BD0"/>
    <w:rsid w:val="006B08C8"/>
    <w:rsid w:val="006B5309"/>
    <w:rsid w:val="006C3F9F"/>
    <w:rsid w:val="006D4EC8"/>
    <w:rsid w:val="006E6BA0"/>
    <w:rsid w:val="006F38E0"/>
    <w:rsid w:val="0070047C"/>
    <w:rsid w:val="00706304"/>
    <w:rsid w:val="00724DCF"/>
    <w:rsid w:val="007256B3"/>
    <w:rsid w:val="00746203"/>
    <w:rsid w:val="00752B24"/>
    <w:rsid w:val="0075596B"/>
    <w:rsid w:val="007636A7"/>
    <w:rsid w:val="00763EE3"/>
    <w:rsid w:val="007661AC"/>
    <w:rsid w:val="007664AC"/>
    <w:rsid w:val="00767E35"/>
    <w:rsid w:val="00773B05"/>
    <w:rsid w:val="0077700F"/>
    <w:rsid w:val="00782C1C"/>
    <w:rsid w:val="00791D3B"/>
    <w:rsid w:val="007A6A1A"/>
    <w:rsid w:val="007B4614"/>
    <w:rsid w:val="007B4BCE"/>
    <w:rsid w:val="007B6855"/>
    <w:rsid w:val="007C258B"/>
    <w:rsid w:val="007D60EF"/>
    <w:rsid w:val="007E6C17"/>
    <w:rsid w:val="007E7170"/>
    <w:rsid w:val="007F5535"/>
    <w:rsid w:val="00800FD2"/>
    <w:rsid w:val="008014F7"/>
    <w:rsid w:val="0080197D"/>
    <w:rsid w:val="00801C4B"/>
    <w:rsid w:val="008136C4"/>
    <w:rsid w:val="008217E5"/>
    <w:rsid w:val="0082195C"/>
    <w:rsid w:val="008224A5"/>
    <w:rsid w:val="00856061"/>
    <w:rsid w:val="00860375"/>
    <w:rsid w:val="00871120"/>
    <w:rsid w:val="00873A7F"/>
    <w:rsid w:val="00885579"/>
    <w:rsid w:val="00897667"/>
    <w:rsid w:val="008A4429"/>
    <w:rsid w:val="008B14B1"/>
    <w:rsid w:val="008C0512"/>
    <w:rsid w:val="008C15B4"/>
    <w:rsid w:val="008C1921"/>
    <w:rsid w:val="008C46E3"/>
    <w:rsid w:val="008C7422"/>
    <w:rsid w:val="008E2BBA"/>
    <w:rsid w:val="008E6865"/>
    <w:rsid w:val="008F44BC"/>
    <w:rsid w:val="008F7206"/>
    <w:rsid w:val="00901ED4"/>
    <w:rsid w:val="00902268"/>
    <w:rsid w:val="00906F6F"/>
    <w:rsid w:val="00912CE9"/>
    <w:rsid w:val="00913620"/>
    <w:rsid w:val="00923E7C"/>
    <w:rsid w:val="00931077"/>
    <w:rsid w:val="0093475A"/>
    <w:rsid w:val="00934D1A"/>
    <w:rsid w:val="0093609F"/>
    <w:rsid w:val="00946403"/>
    <w:rsid w:val="0095118D"/>
    <w:rsid w:val="009534D3"/>
    <w:rsid w:val="0095714B"/>
    <w:rsid w:val="00971F61"/>
    <w:rsid w:val="009A6741"/>
    <w:rsid w:val="009A6864"/>
    <w:rsid w:val="009A696A"/>
    <w:rsid w:val="009B0678"/>
    <w:rsid w:val="009B600B"/>
    <w:rsid w:val="009D5463"/>
    <w:rsid w:val="009D6A73"/>
    <w:rsid w:val="009D734A"/>
    <w:rsid w:val="009E4AC2"/>
    <w:rsid w:val="009E687A"/>
    <w:rsid w:val="009F2F8B"/>
    <w:rsid w:val="009F5E37"/>
    <w:rsid w:val="00A02C86"/>
    <w:rsid w:val="00A03972"/>
    <w:rsid w:val="00A04397"/>
    <w:rsid w:val="00A200B5"/>
    <w:rsid w:val="00A20F73"/>
    <w:rsid w:val="00A21E62"/>
    <w:rsid w:val="00A2317B"/>
    <w:rsid w:val="00A326B3"/>
    <w:rsid w:val="00A3292F"/>
    <w:rsid w:val="00A41DA2"/>
    <w:rsid w:val="00A42217"/>
    <w:rsid w:val="00A44708"/>
    <w:rsid w:val="00A46CE3"/>
    <w:rsid w:val="00A47CFF"/>
    <w:rsid w:val="00A57138"/>
    <w:rsid w:val="00A60C6B"/>
    <w:rsid w:val="00A6163D"/>
    <w:rsid w:val="00A64D60"/>
    <w:rsid w:val="00A66F03"/>
    <w:rsid w:val="00A72C03"/>
    <w:rsid w:val="00A72D1A"/>
    <w:rsid w:val="00A73AD6"/>
    <w:rsid w:val="00A827FD"/>
    <w:rsid w:val="00A910EA"/>
    <w:rsid w:val="00A916B4"/>
    <w:rsid w:val="00A92C6F"/>
    <w:rsid w:val="00AB7B96"/>
    <w:rsid w:val="00AD7F34"/>
    <w:rsid w:val="00AF044A"/>
    <w:rsid w:val="00AF3080"/>
    <w:rsid w:val="00B05D58"/>
    <w:rsid w:val="00B14022"/>
    <w:rsid w:val="00B36A42"/>
    <w:rsid w:val="00B405E7"/>
    <w:rsid w:val="00B422AD"/>
    <w:rsid w:val="00B6136F"/>
    <w:rsid w:val="00B65BBB"/>
    <w:rsid w:val="00B66F3E"/>
    <w:rsid w:val="00B6701A"/>
    <w:rsid w:val="00B71429"/>
    <w:rsid w:val="00B77251"/>
    <w:rsid w:val="00B82040"/>
    <w:rsid w:val="00B879F7"/>
    <w:rsid w:val="00BA5E1E"/>
    <w:rsid w:val="00BD550E"/>
    <w:rsid w:val="00BE2D21"/>
    <w:rsid w:val="00BE5DBC"/>
    <w:rsid w:val="00BF189F"/>
    <w:rsid w:val="00C00006"/>
    <w:rsid w:val="00C03CA3"/>
    <w:rsid w:val="00C12008"/>
    <w:rsid w:val="00C14EF9"/>
    <w:rsid w:val="00C15075"/>
    <w:rsid w:val="00C17BDC"/>
    <w:rsid w:val="00C219A2"/>
    <w:rsid w:val="00C2790A"/>
    <w:rsid w:val="00C371B6"/>
    <w:rsid w:val="00C4145D"/>
    <w:rsid w:val="00C56E0F"/>
    <w:rsid w:val="00C7197A"/>
    <w:rsid w:val="00C74A53"/>
    <w:rsid w:val="00C80F1E"/>
    <w:rsid w:val="00C8330E"/>
    <w:rsid w:val="00C84ABF"/>
    <w:rsid w:val="00C91118"/>
    <w:rsid w:val="00CA1DE9"/>
    <w:rsid w:val="00CA6F8C"/>
    <w:rsid w:val="00CA7CED"/>
    <w:rsid w:val="00CB7AB1"/>
    <w:rsid w:val="00CC212D"/>
    <w:rsid w:val="00CC58A0"/>
    <w:rsid w:val="00CC7A4E"/>
    <w:rsid w:val="00CD47D4"/>
    <w:rsid w:val="00CD7372"/>
    <w:rsid w:val="00CE6308"/>
    <w:rsid w:val="00CF0BA2"/>
    <w:rsid w:val="00CF1B1D"/>
    <w:rsid w:val="00D108EA"/>
    <w:rsid w:val="00D116E4"/>
    <w:rsid w:val="00D145B1"/>
    <w:rsid w:val="00D2002C"/>
    <w:rsid w:val="00D2098A"/>
    <w:rsid w:val="00D24A3A"/>
    <w:rsid w:val="00D25014"/>
    <w:rsid w:val="00D26C39"/>
    <w:rsid w:val="00D33188"/>
    <w:rsid w:val="00D34ABC"/>
    <w:rsid w:val="00D65FC7"/>
    <w:rsid w:val="00D73A5C"/>
    <w:rsid w:val="00D856EA"/>
    <w:rsid w:val="00D92AA5"/>
    <w:rsid w:val="00D941D1"/>
    <w:rsid w:val="00D97B6B"/>
    <w:rsid w:val="00DA0C58"/>
    <w:rsid w:val="00DA3BB3"/>
    <w:rsid w:val="00DB1A51"/>
    <w:rsid w:val="00DB6963"/>
    <w:rsid w:val="00DC0BC4"/>
    <w:rsid w:val="00DD7471"/>
    <w:rsid w:val="00DE3960"/>
    <w:rsid w:val="00DE60B6"/>
    <w:rsid w:val="00E00914"/>
    <w:rsid w:val="00E03222"/>
    <w:rsid w:val="00E05E85"/>
    <w:rsid w:val="00E169B1"/>
    <w:rsid w:val="00E20D99"/>
    <w:rsid w:val="00E23458"/>
    <w:rsid w:val="00E43946"/>
    <w:rsid w:val="00E67553"/>
    <w:rsid w:val="00E71A8B"/>
    <w:rsid w:val="00E83E1D"/>
    <w:rsid w:val="00E87A18"/>
    <w:rsid w:val="00E970FC"/>
    <w:rsid w:val="00EA13B4"/>
    <w:rsid w:val="00EA6FA9"/>
    <w:rsid w:val="00EB3292"/>
    <w:rsid w:val="00EB49C1"/>
    <w:rsid w:val="00ED1C75"/>
    <w:rsid w:val="00EF0375"/>
    <w:rsid w:val="00EF161C"/>
    <w:rsid w:val="00EF5295"/>
    <w:rsid w:val="00F00585"/>
    <w:rsid w:val="00F00F5D"/>
    <w:rsid w:val="00F011AC"/>
    <w:rsid w:val="00F11873"/>
    <w:rsid w:val="00F136B2"/>
    <w:rsid w:val="00F2008D"/>
    <w:rsid w:val="00F26F3A"/>
    <w:rsid w:val="00F60883"/>
    <w:rsid w:val="00F62F34"/>
    <w:rsid w:val="00F64A20"/>
    <w:rsid w:val="00F77A42"/>
    <w:rsid w:val="00F80967"/>
    <w:rsid w:val="00F850F3"/>
    <w:rsid w:val="00F859D2"/>
    <w:rsid w:val="00F92DD8"/>
    <w:rsid w:val="00FA080E"/>
    <w:rsid w:val="00FB35AF"/>
    <w:rsid w:val="00FB37EB"/>
    <w:rsid w:val="00FB3ED9"/>
    <w:rsid w:val="00FB4FE6"/>
    <w:rsid w:val="00FE07FA"/>
    <w:rsid w:val="00FF1F6E"/>
    <w:rsid w:val="00FF5C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7A6A1A"/>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C00006"/>
    <w:pPr>
      <w:ind w:left="720"/>
      <w:contextualSpacing/>
    </w:pPr>
  </w:style>
  <w:style w:type="paragraph" w:styleId="Funotentext">
    <w:name w:val="footnote text"/>
    <w:basedOn w:val="Standard"/>
    <w:link w:val="FunotentextZchn"/>
    <w:uiPriority w:val="99"/>
    <w:unhideWhenUsed/>
    <w:rsid w:val="00CA6F8C"/>
    <w:pPr>
      <w:spacing w:line="240" w:lineRule="auto"/>
      <w:ind w:left="0" w:right="0"/>
    </w:pPr>
    <w:rPr>
      <w:rFonts w:eastAsia="Calibri"/>
      <w:position w:val="0"/>
      <w:sz w:val="20"/>
      <w:szCs w:val="20"/>
      <w:lang w:eastAsia="en-US"/>
    </w:rPr>
  </w:style>
  <w:style w:type="character" w:customStyle="1" w:styleId="FunotentextZchn">
    <w:name w:val="Fußnotentext Zchn"/>
    <w:basedOn w:val="Absatz-Standardschriftart"/>
    <w:link w:val="Funotentext"/>
    <w:uiPriority w:val="99"/>
    <w:rsid w:val="00CA6F8C"/>
    <w:rPr>
      <w:rFonts w:ascii="Lucida Sans Unicode" w:eastAsia="Calibri" w:hAnsi="Lucida Sans Unicode"/>
      <w:lang w:eastAsia="en-US"/>
    </w:rPr>
  </w:style>
  <w:style w:type="character" w:styleId="Funotenzeichen">
    <w:name w:val="footnote reference"/>
    <w:uiPriority w:val="99"/>
    <w:unhideWhenUsed/>
    <w:rsid w:val="00CA6F8C"/>
    <w:rPr>
      <w:vertAlign w:val="superscript"/>
    </w:rPr>
  </w:style>
  <w:style w:type="character" w:styleId="Kommentarzeichen">
    <w:name w:val="annotation reference"/>
    <w:basedOn w:val="Absatz-Standardschriftart"/>
    <w:rsid w:val="00275F28"/>
    <w:rPr>
      <w:sz w:val="16"/>
      <w:szCs w:val="16"/>
    </w:rPr>
  </w:style>
  <w:style w:type="paragraph" w:styleId="Kommentartext">
    <w:name w:val="annotation text"/>
    <w:basedOn w:val="Standard"/>
    <w:link w:val="KommentartextZchn"/>
    <w:rsid w:val="00275F28"/>
    <w:pPr>
      <w:spacing w:line="240" w:lineRule="auto"/>
    </w:pPr>
    <w:rPr>
      <w:sz w:val="20"/>
      <w:szCs w:val="20"/>
    </w:rPr>
  </w:style>
  <w:style w:type="character" w:customStyle="1" w:styleId="KommentartextZchn">
    <w:name w:val="Kommentartext Zchn"/>
    <w:basedOn w:val="Absatz-Standardschriftart"/>
    <w:link w:val="Kommentartext"/>
    <w:rsid w:val="00275F28"/>
    <w:rPr>
      <w:rFonts w:ascii="Lucida Sans Unicode" w:hAnsi="Lucida Sans Unicode"/>
      <w:position w:val="-2"/>
    </w:rPr>
  </w:style>
  <w:style w:type="paragraph" w:styleId="Kommentarthema">
    <w:name w:val="annotation subject"/>
    <w:basedOn w:val="Kommentartext"/>
    <w:next w:val="Kommentartext"/>
    <w:link w:val="KommentarthemaZchn"/>
    <w:rsid w:val="00275F28"/>
    <w:rPr>
      <w:b/>
      <w:bCs/>
    </w:rPr>
  </w:style>
  <w:style w:type="character" w:customStyle="1" w:styleId="KommentarthemaZchn">
    <w:name w:val="Kommentarthema Zchn"/>
    <w:basedOn w:val="KommentartextZchn"/>
    <w:link w:val="Kommentarthema"/>
    <w:rsid w:val="00275F28"/>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7A6A1A"/>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C00006"/>
    <w:pPr>
      <w:ind w:left="720"/>
      <w:contextualSpacing/>
    </w:pPr>
  </w:style>
  <w:style w:type="paragraph" w:styleId="Funotentext">
    <w:name w:val="footnote text"/>
    <w:basedOn w:val="Standard"/>
    <w:link w:val="FunotentextZchn"/>
    <w:uiPriority w:val="99"/>
    <w:unhideWhenUsed/>
    <w:rsid w:val="00CA6F8C"/>
    <w:pPr>
      <w:spacing w:line="240" w:lineRule="auto"/>
      <w:ind w:left="0" w:right="0"/>
    </w:pPr>
    <w:rPr>
      <w:rFonts w:eastAsia="Calibri"/>
      <w:position w:val="0"/>
      <w:sz w:val="20"/>
      <w:szCs w:val="20"/>
      <w:lang w:eastAsia="en-US"/>
    </w:rPr>
  </w:style>
  <w:style w:type="character" w:customStyle="1" w:styleId="FunotentextZchn">
    <w:name w:val="Fußnotentext Zchn"/>
    <w:basedOn w:val="Absatz-Standardschriftart"/>
    <w:link w:val="Funotentext"/>
    <w:uiPriority w:val="99"/>
    <w:rsid w:val="00CA6F8C"/>
    <w:rPr>
      <w:rFonts w:ascii="Lucida Sans Unicode" w:eastAsia="Calibri" w:hAnsi="Lucida Sans Unicode"/>
      <w:lang w:eastAsia="en-US"/>
    </w:rPr>
  </w:style>
  <w:style w:type="character" w:styleId="Funotenzeichen">
    <w:name w:val="footnote reference"/>
    <w:uiPriority w:val="99"/>
    <w:unhideWhenUsed/>
    <w:rsid w:val="00CA6F8C"/>
    <w:rPr>
      <w:vertAlign w:val="superscript"/>
    </w:rPr>
  </w:style>
  <w:style w:type="character" w:styleId="Kommentarzeichen">
    <w:name w:val="annotation reference"/>
    <w:basedOn w:val="Absatz-Standardschriftart"/>
    <w:rsid w:val="00275F28"/>
    <w:rPr>
      <w:sz w:val="16"/>
      <w:szCs w:val="16"/>
    </w:rPr>
  </w:style>
  <w:style w:type="paragraph" w:styleId="Kommentartext">
    <w:name w:val="annotation text"/>
    <w:basedOn w:val="Standard"/>
    <w:link w:val="KommentartextZchn"/>
    <w:rsid w:val="00275F28"/>
    <w:pPr>
      <w:spacing w:line="240" w:lineRule="auto"/>
    </w:pPr>
    <w:rPr>
      <w:sz w:val="20"/>
      <w:szCs w:val="20"/>
    </w:rPr>
  </w:style>
  <w:style w:type="character" w:customStyle="1" w:styleId="KommentartextZchn">
    <w:name w:val="Kommentartext Zchn"/>
    <w:basedOn w:val="Absatz-Standardschriftart"/>
    <w:link w:val="Kommentartext"/>
    <w:rsid w:val="00275F28"/>
    <w:rPr>
      <w:rFonts w:ascii="Lucida Sans Unicode" w:hAnsi="Lucida Sans Unicode"/>
      <w:position w:val="-2"/>
    </w:rPr>
  </w:style>
  <w:style w:type="paragraph" w:styleId="Kommentarthema">
    <w:name w:val="annotation subject"/>
    <w:basedOn w:val="Kommentartext"/>
    <w:next w:val="Kommentartext"/>
    <w:link w:val="KommentarthemaZchn"/>
    <w:rsid w:val="00275F28"/>
    <w:rPr>
      <w:b/>
      <w:bCs/>
    </w:rPr>
  </w:style>
  <w:style w:type="character" w:customStyle="1" w:styleId="KommentarthemaZchn">
    <w:name w:val="Kommentarthema Zchn"/>
    <w:basedOn w:val="KommentartextZchn"/>
    <w:link w:val="Kommentarthema"/>
    <w:rsid w:val="00275F28"/>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5607E-6179-47C6-9EB1-A8AD0D76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2DFF0247</Template>
  <TotalTime>0</TotalTime>
  <Pages>10</Pages>
  <Words>2680</Words>
  <Characters>17566</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Habisch, Anja</cp:lastModifiedBy>
  <cp:revision>7</cp:revision>
  <cp:lastPrinted>2013-07-31T12:10:00Z</cp:lastPrinted>
  <dcterms:created xsi:type="dcterms:W3CDTF">2013-07-31T07:08:00Z</dcterms:created>
  <dcterms:modified xsi:type="dcterms:W3CDTF">2013-07-31T12:10:00Z</dcterms:modified>
</cp:coreProperties>
</file>