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rsidSect="008A7C05">
          <w:headerReference w:type="default" r:id="rId9"/>
          <w:footerReference w:type="default" r:id="rId10"/>
          <w:headerReference w:type="first" r:id="rId11"/>
          <w:footerReference w:type="first" r:id="rId12"/>
          <w:type w:val="continuous"/>
          <w:pgSz w:w="11906" w:h="16838" w:code="9"/>
          <w:pgMar w:top="2694"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955E43">
            <w:pPr>
              <w:pStyle w:val="E-Datum"/>
              <w:framePr w:wrap="auto" w:vAnchor="margin" w:hAnchor="text" w:xAlign="left" w:yAlign="inline"/>
              <w:suppressOverlap w:val="0"/>
            </w:pPr>
            <w:r>
              <w:t>31. Oktober 2013</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363CC3">
        <w:trPr>
          <w:trHeight w:hRule="exact" w:val="1363"/>
        </w:trPr>
        <w:tc>
          <w:tcPr>
            <w:tcW w:w="2271" w:type="dxa"/>
            <w:shd w:val="clear" w:color="auto" w:fill="auto"/>
          </w:tcPr>
          <w:p w:rsidR="00B6136F" w:rsidRDefault="00B14022">
            <w:pPr>
              <w:pStyle w:val="M7"/>
              <w:framePr w:wrap="auto" w:vAnchor="margin" w:hAnchor="text" w:xAlign="left" w:yAlign="inline"/>
              <w:suppressOverlap w:val="0"/>
            </w:pPr>
            <w:r>
              <w:t>Ansprechpartner</w:t>
            </w:r>
            <w:r>
              <w:br/>
            </w:r>
            <w:r w:rsidR="00363CC3">
              <w:br/>
            </w:r>
            <w:r w:rsidR="00AD7F34">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A04CA6" w:rsidRDefault="00363CC3" w:rsidP="00A04CA6">
            <w:pPr>
              <w:pStyle w:val="M7"/>
              <w:framePr w:wrap="auto" w:vAnchor="margin" w:hAnchor="text" w:xAlign="left" w:yAlign="inline"/>
              <w:ind w:right="85"/>
              <w:suppressOverlap w:val="0"/>
            </w:pPr>
            <w:r>
              <w:br/>
            </w:r>
            <w:r w:rsidR="00A04CA6">
              <w:t>Alexandra Boy</w:t>
            </w:r>
          </w:p>
          <w:p w:rsidR="00A04CA6" w:rsidRDefault="00A04CA6" w:rsidP="00A04CA6">
            <w:pPr>
              <w:pStyle w:val="M8"/>
              <w:framePr w:wrap="auto" w:vAnchor="margin" w:hAnchor="text" w:xAlign="left" w:yAlign="inline"/>
              <w:ind w:right="85"/>
              <w:suppressOverlap w:val="0"/>
            </w:pPr>
            <w:proofErr w:type="spellStart"/>
            <w:r>
              <w:t>Stellvertr</w:t>
            </w:r>
            <w:proofErr w:type="spellEnd"/>
            <w:r>
              <w:t xml:space="preserve">. Leiterin Konzernpresse </w:t>
            </w:r>
          </w:p>
          <w:p w:rsidR="00A04CA6" w:rsidRDefault="00A04CA6" w:rsidP="00A04CA6">
            <w:pPr>
              <w:pStyle w:val="M9"/>
              <w:framePr w:wrap="auto" w:vAnchor="margin" w:hAnchor="text" w:xAlign="left" w:yAlign="inline"/>
              <w:ind w:right="85"/>
              <w:suppressOverlap w:val="0"/>
            </w:pPr>
            <w:r>
              <w:t>Telefon +49</w:t>
            </w:r>
            <w:r>
              <w:tab/>
              <w:t>201 177-3167</w:t>
            </w:r>
          </w:p>
          <w:p w:rsidR="00A04CA6" w:rsidRDefault="00A04CA6" w:rsidP="00A04CA6">
            <w:pPr>
              <w:pStyle w:val="M10"/>
              <w:framePr w:wrap="auto" w:vAnchor="margin" w:hAnchor="text" w:xAlign="left" w:yAlign="inline"/>
              <w:ind w:right="85"/>
              <w:suppressOverlap w:val="0"/>
            </w:pPr>
            <w:r>
              <w:t>Telefax +49</w:t>
            </w:r>
            <w:r>
              <w:tab/>
              <w:t>201 177-3030</w:t>
            </w:r>
          </w:p>
          <w:p w:rsidR="00B6136F" w:rsidRDefault="00A04CA6" w:rsidP="00A04CA6">
            <w:pPr>
              <w:pStyle w:val="M1"/>
              <w:framePr w:wrap="auto" w:vAnchor="margin" w:hAnchor="text" w:xAlign="left" w:yAlign="inline"/>
              <w:suppressOverlap w:val="0"/>
            </w:pPr>
            <w:r w:rsidRPr="00617B2D">
              <w:rPr>
                <w:b w:val="0"/>
              </w:rPr>
              <w:t>alexandra.boy@evonik.com</w:t>
            </w:r>
            <w:r w:rsidR="00B14022">
              <w:br/>
            </w:r>
            <w:r w:rsidR="00B14022">
              <w:br/>
            </w:r>
            <w:r w:rsidR="00B14022">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5521AB" w:rsidRDefault="005521AB">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B819B1">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819B1">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B819B1">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B819B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819B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819B1">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B819B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B819B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B819B1">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B819B1">
              <w:rPr>
                <w:noProof/>
              </w:rPr>
              <w:t>Vorstand</w:t>
            </w:r>
            <w:r>
              <w:fldChar w:fldCharType="end"/>
            </w:r>
          </w:p>
          <w:p w:rsidR="00955E43" w:rsidRDefault="00B14022" w:rsidP="00955E43">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B819B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B819B1">
              <w:rPr>
                <w:noProof/>
              </w:rPr>
              <w:t>Vorsitzender</w:t>
            </w:r>
            <w:r>
              <w:fldChar w:fldCharType="end"/>
            </w:r>
          </w:p>
          <w:p w:rsidR="00B6136F" w:rsidRDefault="00B14022" w:rsidP="00955E43">
            <w:pPr>
              <w:pStyle w:val="V10"/>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B819B1">
              <w:rPr>
                <w:noProof/>
              </w:rPr>
              <w:t>Dr. Thomas Haeberle</w:t>
            </w:r>
            <w:r>
              <w:fldChar w:fldCharType="end"/>
            </w:r>
            <w:r>
              <w:t xml:space="preserve">, </w:t>
            </w:r>
            <w:r w:rsidR="00955E43">
              <w:br/>
            </w:r>
            <w:r>
              <w:t>Thomas Wessel,</w:t>
            </w:r>
            <w:r w:rsidR="00573BFD">
              <w:t xml:space="preserve"> </w:t>
            </w:r>
            <w:r>
              <w:fldChar w:fldCharType="begin">
                <w:ffData>
                  <w:name w:val=""/>
                  <w:enabled/>
                  <w:calcOnExit w:val="0"/>
                  <w:textInput>
                    <w:default w:val="Patrik Wohlhauser"/>
                  </w:textInput>
                </w:ffData>
              </w:fldChar>
            </w:r>
            <w:r>
              <w:instrText xml:space="preserve"> FORMTEXT </w:instrText>
            </w:r>
            <w:r>
              <w:fldChar w:fldCharType="separate"/>
            </w:r>
            <w:r w:rsidR="00B819B1">
              <w:rPr>
                <w:noProof/>
              </w:rPr>
              <w:t>Patrik Wohlhauser</w:t>
            </w:r>
            <w:r>
              <w:fldChar w:fldCharType="end"/>
            </w:r>
            <w:r>
              <w:t xml:space="preserve">, </w:t>
            </w:r>
            <w:r w:rsidR="00955E43">
              <w:t xml:space="preserve">Ute Wolf, </w:t>
            </w:r>
            <w:r>
              <w:fldChar w:fldCharType="begin">
                <w:ffData>
                  <w:name w:val=""/>
                  <w:enabled/>
                  <w:calcOnExit w:val="0"/>
                  <w:textInput>
                    <w:default w:val="Dr. Dahai Yu"/>
                  </w:textInput>
                </w:ffData>
              </w:fldChar>
            </w:r>
            <w:r>
              <w:instrText xml:space="preserve"> FORMTEXT </w:instrText>
            </w:r>
            <w:r>
              <w:fldChar w:fldCharType="separate"/>
            </w:r>
            <w:r w:rsidR="00B819B1">
              <w:rPr>
                <w:noProof/>
              </w:rPr>
              <w:t>Dr. Dahai Yu</w:t>
            </w:r>
            <w:r>
              <w:fldChar w:fldCharType="end"/>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B819B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819B1">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B819B1">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B819B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B819B1">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B819B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B819B1">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955E43" w:rsidRDefault="00955E43" w:rsidP="00955E43">
      <w:pPr>
        <w:spacing w:line="100" w:lineRule="exact"/>
        <w:outlineLvl w:val="0"/>
        <w:rPr>
          <w:rFonts w:cs="Lucida Sans Unicode"/>
          <w:b/>
          <w:bCs/>
          <w:sz w:val="20"/>
          <w:szCs w:val="20"/>
        </w:rPr>
      </w:pPr>
    </w:p>
    <w:p w:rsidR="008A7C05" w:rsidRDefault="008A7C05" w:rsidP="008A7C05">
      <w:pPr>
        <w:spacing w:line="240" w:lineRule="auto"/>
        <w:ind w:left="0"/>
        <w:rPr>
          <w:rFonts w:cs="Lucida Sans Unicode"/>
          <w:b/>
          <w:sz w:val="20"/>
          <w:szCs w:val="20"/>
        </w:rPr>
      </w:pPr>
      <w:r w:rsidRPr="008A7C05">
        <w:rPr>
          <w:rFonts w:cs="Lucida Sans Unicode"/>
          <w:b/>
          <w:sz w:val="20"/>
          <w:szCs w:val="20"/>
          <w:u w:val="single"/>
          <w:lang w:val="nb-NO"/>
        </w:rPr>
        <w:t>Wirtschaftliche Eckdaten:</w:t>
      </w:r>
      <w:r w:rsidRPr="008A7C05">
        <w:rPr>
          <w:rFonts w:cs="Lucida Sans Unicode"/>
          <w:b/>
          <w:sz w:val="20"/>
          <w:szCs w:val="20"/>
          <w:u w:val="single"/>
          <w:lang w:val="nb-NO"/>
        </w:rPr>
        <w:br/>
        <w:t>1. Januar – 30. September 2013 / 3. Quartal 2013</w:t>
      </w:r>
      <w:r w:rsidRPr="008A7C05">
        <w:rPr>
          <w:rFonts w:cs="Lucida Sans Unicode"/>
          <w:b/>
          <w:sz w:val="20"/>
          <w:szCs w:val="20"/>
          <w:u w:val="single"/>
          <w:lang w:val="nb-NO"/>
        </w:rPr>
        <w:br/>
      </w:r>
      <w:r>
        <w:rPr>
          <w:u w:val="single"/>
        </w:rPr>
        <w:br/>
      </w:r>
      <w:r w:rsidRPr="008A7C05">
        <w:rPr>
          <w:rFonts w:cs="Lucida Sans Unicode"/>
          <w:b/>
          <w:sz w:val="20"/>
          <w:szCs w:val="20"/>
        </w:rPr>
        <w:t>Solide Geschäftsentwicklung in weiterhin schwierigem Marktumfeld</w:t>
      </w:r>
    </w:p>
    <w:p w:rsidR="005521AB" w:rsidRPr="008A7C05" w:rsidRDefault="005521AB" w:rsidP="008A7C05">
      <w:pPr>
        <w:spacing w:line="240" w:lineRule="auto"/>
        <w:ind w:left="0"/>
        <w:rPr>
          <w:rFonts w:cs="Lucida Sans Unicode"/>
          <w:b/>
          <w:sz w:val="20"/>
          <w:szCs w:val="20"/>
        </w:rPr>
      </w:pPr>
    </w:p>
    <w:p w:rsidR="008A7C05" w:rsidRPr="008A7C05" w:rsidRDefault="008A7C05" w:rsidP="008A7C05">
      <w:pPr>
        <w:numPr>
          <w:ilvl w:val="0"/>
          <w:numId w:val="16"/>
        </w:numPr>
        <w:tabs>
          <w:tab w:val="clear" w:pos="720"/>
          <w:tab w:val="num" w:pos="360"/>
        </w:tabs>
        <w:spacing w:line="300" w:lineRule="exact"/>
        <w:ind w:left="360"/>
        <w:rPr>
          <w:sz w:val="20"/>
          <w:szCs w:val="20"/>
        </w:rPr>
      </w:pPr>
      <w:r w:rsidRPr="008A7C05">
        <w:rPr>
          <w:sz w:val="20"/>
          <w:szCs w:val="20"/>
        </w:rPr>
        <w:t>Operative Geschäftsentwicklung in den ersten neun Monaten 2013:</w:t>
      </w:r>
    </w:p>
    <w:p w:rsidR="008A7C05" w:rsidRPr="008A7C05" w:rsidRDefault="008A7C05" w:rsidP="008A7C05">
      <w:pPr>
        <w:numPr>
          <w:ilvl w:val="1"/>
          <w:numId w:val="16"/>
        </w:numPr>
        <w:tabs>
          <w:tab w:val="clear" w:pos="1440"/>
        </w:tabs>
        <w:spacing w:line="300" w:lineRule="exact"/>
        <w:ind w:left="720"/>
        <w:rPr>
          <w:sz w:val="20"/>
          <w:szCs w:val="20"/>
        </w:rPr>
      </w:pPr>
      <w:r w:rsidRPr="008A7C05">
        <w:rPr>
          <w:sz w:val="20"/>
          <w:szCs w:val="20"/>
        </w:rPr>
        <w:t xml:space="preserve">Konzernumsatz mit 9,7 Milliarden € bei anziehender Nachfrage </w:t>
      </w:r>
      <w:r w:rsidRPr="008A7C05">
        <w:rPr>
          <w:sz w:val="20"/>
          <w:szCs w:val="20"/>
        </w:rPr>
        <w:br/>
        <w:t>preisbedingt organisch leicht rückläufig</w:t>
      </w:r>
    </w:p>
    <w:p w:rsidR="008A7C05" w:rsidRPr="008A7C05" w:rsidRDefault="008A7C05" w:rsidP="008A7C05">
      <w:pPr>
        <w:numPr>
          <w:ilvl w:val="1"/>
          <w:numId w:val="16"/>
        </w:numPr>
        <w:tabs>
          <w:tab w:val="clear" w:pos="1440"/>
        </w:tabs>
        <w:spacing w:line="300" w:lineRule="exact"/>
        <w:ind w:left="720"/>
        <w:rPr>
          <w:sz w:val="20"/>
          <w:szCs w:val="20"/>
        </w:rPr>
      </w:pPr>
      <w:r w:rsidRPr="008A7C05">
        <w:rPr>
          <w:sz w:val="20"/>
          <w:szCs w:val="20"/>
        </w:rPr>
        <w:t>Operative Ergebnisse unter den sehr guten Vorjahreswerten</w:t>
      </w:r>
    </w:p>
    <w:p w:rsidR="008A7C05" w:rsidRPr="008A7C05" w:rsidRDefault="008A7C05" w:rsidP="008A7C05">
      <w:pPr>
        <w:numPr>
          <w:ilvl w:val="1"/>
          <w:numId w:val="16"/>
        </w:numPr>
        <w:tabs>
          <w:tab w:val="clear" w:pos="1440"/>
        </w:tabs>
        <w:spacing w:line="300" w:lineRule="exact"/>
        <w:ind w:left="720"/>
        <w:rPr>
          <w:sz w:val="20"/>
          <w:szCs w:val="20"/>
        </w:rPr>
      </w:pPr>
      <w:r w:rsidRPr="008A7C05">
        <w:rPr>
          <w:sz w:val="20"/>
          <w:szCs w:val="20"/>
        </w:rPr>
        <w:t>Bereinigte EBITDA-Marge beträgt 16,7 Prozent</w:t>
      </w:r>
    </w:p>
    <w:p w:rsidR="008A7C05" w:rsidRPr="008A7C05" w:rsidRDefault="008A7C05" w:rsidP="008A7C05">
      <w:pPr>
        <w:numPr>
          <w:ilvl w:val="0"/>
          <w:numId w:val="16"/>
        </w:numPr>
        <w:tabs>
          <w:tab w:val="clear" w:pos="720"/>
          <w:tab w:val="num" w:pos="360"/>
        </w:tabs>
        <w:spacing w:line="300" w:lineRule="exact"/>
        <w:ind w:left="360"/>
        <w:rPr>
          <w:sz w:val="20"/>
          <w:szCs w:val="20"/>
        </w:rPr>
      </w:pPr>
      <w:r w:rsidRPr="008A7C05">
        <w:rPr>
          <w:sz w:val="20"/>
          <w:szCs w:val="20"/>
        </w:rPr>
        <w:t xml:space="preserve">Konzernergebnis im Dreivierteljahr dank Veräußerungsgewinn des Immobiliengeschäfts auf </w:t>
      </w:r>
      <w:r w:rsidR="00330314">
        <w:rPr>
          <w:sz w:val="20"/>
          <w:szCs w:val="20"/>
        </w:rPr>
        <w:t>knapp 2</w:t>
      </w:r>
      <w:r w:rsidRPr="008A7C05">
        <w:rPr>
          <w:sz w:val="20"/>
          <w:szCs w:val="20"/>
        </w:rPr>
        <w:t xml:space="preserve"> Milliarden € mehr als verdoppelt</w:t>
      </w:r>
    </w:p>
    <w:p w:rsidR="008A7C05" w:rsidRPr="008A7C05" w:rsidRDefault="008A7C05" w:rsidP="008A7C05">
      <w:pPr>
        <w:numPr>
          <w:ilvl w:val="0"/>
          <w:numId w:val="16"/>
        </w:numPr>
        <w:tabs>
          <w:tab w:val="clear" w:pos="720"/>
          <w:tab w:val="num" w:pos="360"/>
        </w:tabs>
        <w:spacing w:line="300" w:lineRule="exact"/>
        <w:ind w:left="360"/>
        <w:rPr>
          <w:sz w:val="20"/>
          <w:szCs w:val="20"/>
        </w:rPr>
      </w:pPr>
      <w:r w:rsidRPr="008A7C05">
        <w:rPr>
          <w:sz w:val="20"/>
          <w:szCs w:val="20"/>
        </w:rPr>
        <w:t>Wachstumskurs lässt Sachinvestitionen um 22 Prozent auf 723 Millionen € steigen</w:t>
      </w:r>
    </w:p>
    <w:p w:rsidR="008A7C05" w:rsidRPr="00AF1933" w:rsidRDefault="008A7C05" w:rsidP="008A7C05">
      <w:pPr>
        <w:numPr>
          <w:ilvl w:val="0"/>
          <w:numId w:val="16"/>
        </w:numPr>
        <w:tabs>
          <w:tab w:val="clear" w:pos="720"/>
          <w:tab w:val="num" w:pos="360"/>
        </w:tabs>
        <w:spacing w:line="300" w:lineRule="exact"/>
        <w:ind w:left="360"/>
        <w:rPr>
          <w:b/>
        </w:rPr>
      </w:pPr>
      <w:r w:rsidRPr="008A7C05">
        <w:rPr>
          <w:sz w:val="20"/>
          <w:szCs w:val="20"/>
        </w:rPr>
        <w:t>Ausblick für Gesamtjahr 2013 bestätigt</w:t>
      </w:r>
      <w:r w:rsidRPr="008A7C05">
        <w:rPr>
          <w:sz w:val="20"/>
          <w:szCs w:val="20"/>
        </w:rPr>
        <w:br/>
      </w:r>
    </w:p>
    <w:p w:rsidR="008A7C05" w:rsidRDefault="008A7C05" w:rsidP="008A7C05">
      <w:pPr>
        <w:spacing w:line="240" w:lineRule="auto"/>
        <w:ind w:left="0"/>
        <w:rPr>
          <w:sz w:val="20"/>
          <w:szCs w:val="20"/>
        </w:rPr>
      </w:pPr>
      <w:r w:rsidRPr="008A7C05">
        <w:rPr>
          <w:sz w:val="20"/>
          <w:szCs w:val="20"/>
        </w:rPr>
        <w:t xml:space="preserve">Essen. „In einem weiterhin schwierigen weltwirtschaftlichen Umfeld hat sich Evonik gut behauptet“, sagte Klaus Engel, Vorstandsvorsitzender der Evonik Industries AG, heute anlässlich der Vorstellung der wirtschaftlichen Eckdaten für das 3. Quartal sowie für die ersten neun Monate 2013. „Verglichen mit dem 2. Quartal 2013 haben sich unsere operativen Ergebnisse im Zeitraum Juli bis September leicht verbessert. Erfreulich waren die spürbaren Mengensteigerungen </w:t>
      </w:r>
      <w:r w:rsidR="00330314">
        <w:rPr>
          <w:sz w:val="20"/>
          <w:szCs w:val="20"/>
        </w:rPr>
        <w:t xml:space="preserve">gegenüber </w:t>
      </w:r>
      <w:r w:rsidR="0013308B">
        <w:rPr>
          <w:sz w:val="20"/>
          <w:szCs w:val="20"/>
        </w:rPr>
        <w:t xml:space="preserve">dem </w:t>
      </w:r>
      <w:r w:rsidR="00330314">
        <w:rPr>
          <w:sz w:val="20"/>
          <w:szCs w:val="20"/>
        </w:rPr>
        <w:t>Vorjahresquartal,</w:t>
      </w:r>
      <w:r w:rsidRPr="008A7C05">
        <w:rPr>
          <w:sz w:val="20"/>
          <w:szCs w:val="20"/>
        </w:rPr>
        <w:t xml:space="preserve"> während die Verkaufspreise bei einigen wichtigen Produkten weiterhin unter den hohen Vorjahreswerten lagen.“ Insgesamt blieb die operative Geschäftsentwicklung im Dreivierteljahr hinter der des sehr guten Vorjahres zurück.</w:t>
      </w:r>
    </w:p>
    <w:p w:rsidR="00330314" w:rsidRPr="008A7C05"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Für das vierte Quartal erwartet Evonik, dass sich die weltwirtschaftliche Entwicklung in seinen relevanten Märkten auf dem Niveau des Dreivierteljahres fortsetzen wird. „Trotz weiterhin herausfordernder weltwirtschaftliche</w:t>
      </w:r>
      <w:r w:rsidR="00066F8B">
        <w:rPr>
          <w:sz w:val="20"/>
          <w:szCs w:val="20"/>
        </w:rPr>
        <w:t>r</w:t>
      </w:r>
      <w:r w:rsidRPr="008A7C05">
        <w:rPr>
          <w:sz w:val="20"/>
          <w:szCs w:val="20"/>
        </w:rPr>
        <w:t xml:space="preserve"> Rahmenbedingungen </w:t>
      </w:r>
      <w:r w:rsidR="00066F8B">
        <w:rPr>
          <w:sz w:val="20"/>
          <w:szCs w:val="20"/>
        </w:rPr>
        <w:t xml:space="preserve">bestätigen wir unseren </w:t>
      </w:r>
      <w:r w:rsidRPr="008A7C05">
        <w:rPr>
          <w:sz w:val="20"/>
          <w:szCs w:val="20"/>
        </w:rPr>
        <w:t xml:space="preserve">Ausblick für das Gesamtjahr 2013“, so Engel. Evonik erwartet </w:t>
      </w:r>
      <w:r w:rsidR="0090340D">
        <w:rPr>
          <w:sz w:val="20"/>
          <w:szCs w:val="20"/>
        </w:rPr>
        <w:t>unverändert</w:t>
      </w:r>
      <w:r w:rsidRPr="008A7C05">
        <w:rPr>
          <w:sz w:val="20"/>
          <w:szCs w:val="20"/>
        </w:rPr>
        <w:t xml:space="preserve"> für 2013 insgesamt einen mit rund 13 Milliarden € etwa auf Vorjahreshöhe liegenden Umsatz sowie ein bereinigtes EBITDA in der Größenordnung von 2,0 Milliarden €. </w:t>
      </w:r>
    </w:p>
    <w:p w:rsidR="00330314" w:rsidRDefault="008A7C05" w:rsidP="008A7C05">
      <w:pPr>
        <w:spacing w:line="240" w:lineRule="auto"/>
        <w:ind w:left="0"/>
        <w:rPr>
          <w:b/>
          <w:sz w:val="20"/>
          <w:szCs w:val="20"/>
        </w:rPr>
      </w:pPr>
      <w:r>
        <w:br/>
      </w:r>
    </w:p>
    <w:p w:rsidR="00330314" w:rsidRDefault="00330314">
      <w:pPr>
        <w:spacing w:line="240" w:lineRule="auto"/>
        <w:ind w:left="0" w:right="0"/>
        <w:rPr>
          <w:b/>
          <w:sz w:val="20"/>
          <w:szCs w:val="20"/>
        </w:rPr>
      </w:pPr>
      <w:r>
        <w:rPr>
          <w:b/>
          <w:sz w:val="20"/>
          <w:szCs w:val="20"/>
        </w:rPr>
        <w:br w:type="page"/>
      </w:r>
    </w:p>
    <w:p w:rsidR="008A7C05" w:rsidRDefault="008A7C05" w:rsidP="008A7C05">
      <w:pPr>
        <w:spacing w:line="240" w:lineRule="auto"/>
        <w:ind w:left="0"/>
        <w:rPr>
          <w:b/>
          <w:sz w:val="20"/>
          <w:szCs w:val="20"/>
        </w:rPr>
      </w:pPr>
      <w:r w:rsidRPr="008A7C05">
        <w:rPr>
          <w:b/>
          <w:sz w:val="20"/>
          <w:szCs w:val="20"/>
        </w:rPr>
        <w:lastRenderedPageBreak/>
        <w:t>Geschäftsentwicklung in den ersten neun Monaten 2013</w:t>
      </w:r>
    </w:p>
    <w:p w:rsidR="00066F8B" w:rsidRPr="008A7C05" w:rsidRDefault="00066F8B" w:rsidP="008A7C05">
      <w:pPr>
        <w:spacing w:line="240" w:lineRule="auto"/>
        <w:ind w:left="0"/>
        <w:rPr>
          <w:b/>
          <w:sz w:val="20"/>
          <w:szCs w:val="20"/>
        </w:rPr>
      </w:pPr>
    </w:p>
    <w:p w:rsidR="008A7C05" w:rsidRDefault="008A7C05" w:rsidP="008A7C05">
      <w:pPr>
        <w:spacing w:line="240" w:lineRule="auto"/>
        <w:ind w:left="0"/>
        <w:rPr>
          <w:sz w:val="20"/>
          <w:szCs w:val="20"/>
        </w:rPr>
      </w:pPr>
      <w:r w:rsidRPr="008A7C05">
        <w:rPr>
          <w:sz w:val="20"/>
          <w:szCs w:val="20"/>
        </w:rPr>
        <w:t xml:space="preserve">In den ersten neun Monaten 2013 ging der </w:t>
      </w:r>
      <w:r w:rsidRPr="008A7C05">
        <w:rPr>
          <w:b/>
          <w:sz w:val="20"/>
          <w:szCs w:val="20"/>
        </w:rPr>
        <w:t>Konzernumsatz</w:t>
      </w:r>
      <w:r w:rsidRPr="008A7C05">
        <w:rPr>
          <w:sz w:val="20"/>
          <w:szCs w:val="20"/>
        </w:rPr>
        <w:t xml:space="preserve"> organisch bei geringeren Verkaufspreisen (-4 Prozentpunkte) und gestiegenen Mengen (+2 Prozentpunkte) um 2 Prozent leicht zurück. Der Währungseinfluss </w:t>
      </w:r>
      <w:r w:rsidR="005521AB">
        <w:rPr>
          <w:sz w:val="20"/>
          <w:szCs w:val="20"/>
        </w:rPr>
        <w:br/>
      </w:r>
      <w:r w:rsidRPr="008A7C05">
        <w:rPr>
          <w:sz w:val="20"/>
          <w:szCs w:val="20"/>
        </w:rPr>
        <w:t xml:space="preserve">(-1 Prozentpunkt) sowie die Abgabe von zwei kleineren Geschäften </w:t>
      </w:r>
      <w:r w:rsidR="005521AB">
        <w:rPr>
          <w:sz w:val="20"/>
          <w:szCs w:val="20"/>
        </w:rPr>
        <w:br/>
      </w:r>
      <w:r w:rsidRPr="008A7C05">
        <w:rPr>
          <w:sz w:val="20"/>
          <w:szCs w:val="20"/>
        </w:rPr>
        <w:t>(-1</w:t>
      </w:r>
      <w:r>
        <w:t xml:space="preserve"> </w:t>
      </w:r>
      <w:r w:rsidRPr="008A7C05">
        <w:rPr>
          <w:sz w:val="20"/>
          <w:szCs w:val="20"/>
        </w:rPr>
        <w:t>Prozentpunkt) im Vorjahr führten insgesamt zu einem Umsatzrückgang um 4 Prozent auf 9.739 Millionen € (Vorjahreszeitraum: 10.186 Millionen €).</w:t>
      </w:r>
    </w:p>
    <w:p w:rsidR="00066F8B" w:rsidRPr="008A7C05" w:rsidRDefault="00066F8B" w:rsidP="008A7C05">
      <w:pPr>
        <w:spacing w:line="240" w:lineRule="auto"/>
        <w:ind w:left="0"/>
        <w:rPr>
          <w:sz w:val="20"/>
          <w:szCs w:val="20"/>
        </w:rPr>
      </w:pPr>
    </w:p>
    <w:p w:rsidR="008A7C05" w:rsidRDefault="008A7C05" w:rsidP="009708D9">
      <w:pPr>
        <w:spacing w:line="240" w:lineRule="auto"/>
        <w:ind w:left="0" w:right="-64"/>
        <w:rPr>
          <w:sz w:val="20"/>
          <w:szCs w:val="20"/>
        </w:rPr>
      </w:pPr>
      <w:r w:rsidRPr="008A7C05">
        <w:rPr>
          <w:sz w:val="20"/>
          <w:szCs w:val="20"/>
        </w:rPr>
        <w:t xml:space="preserve">Die operativen Ergebnisse erreichten im Dreivierteljahr 2013 vor allem aufgrund geringerer Verkaufspreise bei einigen wichtigen Produkten nicht die sehr hohen Vorjahreswerte. Insgesamt nahm das bereinigte </w:t>
      </w:r>
      <w:r w:rsidRPr="008A7C05">
        <w:rPr>
          <w:b/>
          <w:sz w:val="20"/>
          <w:szCs w:val="20"/>
        </w:rPr>
        <w:t>EBITDA</w:t>
      </w:r>
      <w:r w:rsidRPr="008A7C05">
        <w:rPr>
          <w:sz w:val="20"/>
          <w:szCs w:val="20"/>
        </w:rPr>
        <w:t xml:space="preserve"> um 19 Prozent auf 1.622 Millionen € (Vorjahreszeitraum: 2.014 Millionen €) und das bereinigte </w:t>
      </w:r>
      <w:r w:rsidRPr="008A7C05">
        <w:rPr>
          <w:b/>
          <w:sz w:val="20"/>
          <w:szCs w:val="20"/>
        </w:rPr>
        <w:t>EBIT</w:t>
      </w:r>
      <w:r w:rsidRPr="008A7C05">
        <w:rPr>
          <w:sz w:val="20"/>
          <w:szCs w:val="20"/>
        </w:rPr>
        <w:t xml:space="preserve"> um 24 Prozent auf 1.196 Millionen € (Vorjahreszeitraum: 1.577 Millionen €) ab. Die bereinigte </w:t>
      </w:r>
      <w:r w:rsidRPr="008A7C05">
        <w:rPr>
          <w:b/>
          <w:sz w:val="20"/>
          <w:szCs w:val="20"/>
        </w:rPr>
        <w:t>EBITDA-Marge</w:t>
      </w:r>
      <w:r w:rsidRPr="008A7C05">
        <w:rPr>
          <w:sz w:val="20"/>
          <w:szCs w:val="20"/>
        </w:rPr>
        <w:t xml:space="preserve"> </w:t>
      </w:r>
      <w:r w:rsidR="00330314">
        <w:rPr>
          <w:sz w:val="20"/>
          <w:szCs w:val="20"/>
        </w:rPr>
        <w:t>verringerte sich</w:t>
      </w:r>
      <w:r w:rsidRPr="008A7C05">
        <w:rPr>
          <w:sz w:val="20"/>
          <w:szCs w:val="20"/>
        </w:rPr>
        <w:t xml:space="preserve"> auf 16,7 Prozent (Vorjahreszeitraum: 19,8 Prozent).</w:t>
      </w:r>
    </w:p>
    <w:p w:rsidR="00066F8B" w:rsidRPr="008A7C05" w:rsidRDefault="00066F8B"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Die </w:t>
      </w:r>
      <w:r w:rsidRPr="008A7C05">
        <w:rPr>
          <w:b/>
          <w:sz w:val="20"/>
          <w:szCs w:val="20"/>
        </w:rPr>
        <w:t>Bereinigungen</w:t>
      </w:r>
      <w:r w:rsidRPr="008A7C05">
        <w:rPr>
          <w:sz w:val="20"/>
          <w:szCs w:val="20"/>
        </w:rPr>
        <w:t xml:space="preserve"> von -328 Millionen € in den ersten neun Monaten 2013 enthalten Restrukturierungsaufwendungen hauptsächlich im Zusammenhang mit geplanten aufbau- und ablauforganisatorischen Optimierungen im Verwaltungs- und Servicebereich, Wertminderungen und Aufwendungen im Zusammenhang mit der Stilllegung von Produktionsanlagen der Segmente Resource Efficiency und Specialty Materials sowie Aufwendungen aus dem Verkauf früherer Randaktivitäten. </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Das </w:t>
      </w:r>
      <w:r w:rsidRPr="008A7C05">
        <w:rPr>
          <w:b/>
          <w:sz w:val="20"/>
          <w:szCs w:val="20"/>
        </w:rPr>
        <w:t>Ergebnis nach Ertragsteuern der fortgeführten Aktivitäten</w:t>
      </w:r>
      <w:r w:rsidRPr="008A7C05">
        <w:rPr>
          <w:sz w:val="20"/>
          <w:szCs w:val="20"/>
        </w:rPr>
        <w:t xml:space="preserve"> ging aufgrund der schwächeren operativen Geschäftsentwicklung sowie höheren Einmalbelastungen aus den Bereinigungen um 42 Prozent auf 487 Millionen € zurück (Vorjahreszeitraum: 834 Millionen €). Das </w:t>
      </w:r>
      <w:r w:rsidRPr="008A7C05">
        <w:rPr>
          <w:b/>
          <w:sz w:val="20"/>
          <w:szCs w:val="20"/>
        </w:rPr>
        <w:t>Ergebnis nach Steuern der nicht fortgeführten Aktivitäten</w:t>
      </w:r>
      <w:r w:rsidRPr="008A7C05">
        <w:rPr>
          <w:sz w:val="20"/>
          <w:szCs w:val="20"/>
        </w:rPr>
        <w:t xml:space="preserve"> von 1.363 Millionen € enthält maßgeblich das Veräußerungsergebnis der Immobilienaktivitäten, deren mehrheitlicher Verkauf </w:t>
      </w:r>
      <w:r w:rsidR="00330314">
        <w:rPr>
          <w:sz w:val="20"/>
          <w:szCs w:val="20"/>
        </w:rPr>
        <w:t>im</w:t>
      </w:r>
      <w:r w:rsidRPr="008A7C05">
        <w:rPr>
          <w:sz w:val="20"/>
          <w:szCs w:val="20"/>
        </w:rPr>
        <w:t xml:space="preserve"> Juli 2013 erfolgreich umgesetzt wurde. Das </w:t>
      </w:r>
      <w:r w:rsidRPr="008A7C05">
        <w:rPr>
          <w:b/>
          <w:sz w:val="20"/>
          <w:szCs w:val="20"/>
        </w:rPr>
        <w:t>Konzernergebnis</w:t>
      </w:r>
      <w:r w:rsidRPr="008A7C05">
        <w:rPr>
          <w:sz w:val="20"/>
          <w:szCs w:val="20"/>
        </w:rPr>
        <w:t xml:space="preserve"> stieg aus diesem Grund um 120 Prozent auf 1.951 Millionen € (Vorjahreszeitraum: 888 Millionen €). Das </w:t>
      </w:r>
      <w:r w:rsidRPr="008A7C05">
        <w:rPr>
          <w:b/>
          <w:sz w:val="20"/>
          <w:szCs w:val="20"/>
        </w:rPr>
        <w:t>Ergebnis je Aktie</w:t>
      </w:r>
      <w:r w:rsidRPr="008A7C05">
        <w:rPr>
          <w:sz w:val="20"/>
          <w:szCs w:val="20"/>
        </w:rPr>
        <w:t xml:space="preserve"> nahm entsprechend von 1,91 € auf 4,19 € zu. Das </w:t>
      </w:r>
      <w:r w:rsidRPr="008A7C05">
        <w:rPr>
          <w:b/>
          <w:sz w:val="20"/>
          <w:szCs w:val="20"/>
        </w:rPr>
        <w:t>bereinigte Konzernergebnis</w:t>
      </w:r>
      <w:r w:rsidRPr="008A7C05">
        <w:rPr>
          <w:sz w:val="20"/>
          <w:szCs w:val="20"/>
        </w:rPr>
        <w:t xml:space="preserve">, das weder Effekte aus den Bereinigungen noch aus den nicht fortgeführten Aktivitäten - und damit nicht das Veräußerungsergebnis des Immobiliengeschäfts - enthält, verringerte sich entsprechend der operativen Geschäftsentwicklung um </w:t>
      </w:r>
      <w:r w:rsidRPr="008A7C05">
        <w:rPr>
          <w:sz w:val="20"/>
          <w:szCs w:val="20"/>
        </w:rPr>
        <w:lastRenderedPageBreak/>
        <w:t xml:space="preserve">23 Prozent auf 704 Millionen € (Vorjahreszeitraum: 917 Millionen €). </w:t>
      </w:r>
      <w:r w:rsidR="005521AB">
        <w:rPr>
          <w:sz w:val="20"/>
          <w:szCs w:val="20"/>
        </w:rPr>
        <w:br/>
      </w:r>
      <w:r w:rsidRPr="008A7C05">
        <w:rPr>
          <w:sz w:val="20"/>
          <w:szCs w:val="20"/>
        </w:rPr>
        <w:t xml:space="preserve">Das </w:t>
      </w:r>
      <w:r w:rsidRPr="008A7C05">
        <w:rPr>
          <w:b/>
          <w:sz w:val="20"/>
          <w:szCs w:val="20"/>
        </w:rPr>
        <w:t>bereinigte Ergebnis je Aktie</w:t>
      </w:r>
      <w:r w:rsidRPr="008A7C05">
        <w:rPr>
          <w:sz w:val="20"/>
          <w:szCs w:val="20"/>
        </w:rPr>
        <w:t xml:space="preserve"> sank von 1,97 € auf 1,51 €.</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In den ersten neun Monaten 2013 blieb der </w:t>
      </w:r>
      <w:r w:rsidRPr="008A7C05">
        <w:rPr>
          <w:b/>
          <w:sz w:val="20"/>
          <w:szCs w:val="20"/>
        </w:rPr>
        <w:t>Cashflow aus laufender Geschäftstätigkeit fortgeführter Aktivitäten</w:t>
      </w:r>
      <w:r w:rsidRPr="008A7C05">
        <w:rPr>
          <w:sz w:val="20"/>
          <w:szCs w:val="20"/>
        </w:rPr>
        <w:t xml:space="preserve"> mit 891 Millionen € leicht unter dem Vorjahreswert (975 Millionen €). Einschließlich des Cashflows der nicht fortgeführten Aktivitäten verringerte sich der </w:t>
      </w:r>
      <w:r w:rsidRPr="008A7C05">
        <w:rPr>
          <w:b/>
          <w:sz w:val="20"/>
          <w:szCs w:val="20"/>
        </w:rPr>
        <w:t>Cashflow aus laufender Geschäftstätigkeit</w:t>
      </w:r>
      <w:r w:rsidRPr="008A7C05">
        <w:rPr>
          <w:sz w:val="20"/>
          <w:szCs w:val="20"/>
        </w:rPr>
        <w:t xml:space="preserve"> um 96 Millionen € auf 898 Millionen €.</w:t>
      </w:r>
    </w:p>
    <w:p w:rsidR="00F46DE5" w:rsidRDefault="00F46DE5"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Die </w:t>
      </w:r>
      <w:r w:rsidRPr="008A7C05">
        <w:rPr>
          <w:b/>
          <w:sz w:val="20"/>
          <w:szCs w:val="20"/>
        </w:rPr>
        <w:t>Sachinvestitionen</w:t>
      </w:r>
      <w:r w:rsidRPr="008A7C05">
        <w:rPr>
          <w:sz w:val="20"/>
          <w:szCs w:val="20"/>
        </w:rPr>
        <w:t xml:space="preserve"> stiegen um 22 Prozent auf 723 Millionen € (Vorjahreszeitraum: 595 Millionen €). 36 Prozent der Sachinvestitionen entfielen auf das Segment Consumer, </w:t>
      </w:r>
      <w:proofErr w:type="spellStart"/>
      <w:r w:rsidRPr="008A7C05">
        <w:rPr>
          <w:sz w:val="20"/>
          <w:szCs w:val="20"/>
        </w:rPr>
        <w:t>Health</w:t>
      </w:r>
      <w:proofErr w:type="spellEnd"/>
      <w:r w:rsidRPr="008A7C05">
        <w:rPr>
          <w:sz w:val="20"/>
          <w:szCs w:val="20"/>
        </w:rPr>
        <w:t xml:space="preserve"> &amp; Nutrition, 28 Prozent auf das Segment Specialty Materials und 21 Prozent auf das Segment Resource Efficiency.</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Das Investitionsprogramm, mit dem Evonik seine führenden Marktpositionen vor allem in attraktiven Wachstumsmärkten stärkt, kommt gut voran. So wurden im Oktober 2013 in Argentinien</w:t>
      </w:r>
      <w:r w:rsidR="00F46DE5">
        <w:rPr>
          <w:sz w:val="20"/>
          <w:szCs w:val="20"/>
        </w:rPr>
        <w:t xml:space="preserve"> </w:t>
      </w:r>
      <w:r w:rsidRPr="008A7C05">
        <w:rPr>
          <w:sz w:val="20"/>
          <w:szCs w:val="20"/>
        </w:rPr>
        <w:t xml:space="preserve">eine neue Anlage zur Produktion von Katalysatoren für die Biodieselherstellung eröffnet. Die erste </w:t>
      </w:r>
      <w:proofErr w:type="spellStart"/>
      <w:r w:rsidRPr="008A7C05">
        <w:rPr>
          <w:sz w:val="20"/>
          <w:szCs w:val="20"/>
        </w:rPr>
        <w:t>Superabsorberproduktion</w:t>
      </w:r>
      <w:proofErr w:type="spellEnd"/>
      <w:r w:rsidRPr="008A7C05">
        <w:rPr>
          <w:sz w:val="20"/>
          <w:szCs w:val="20"/>
        </w:rPr>
        <w:t xml:space="preserve"> im Nahen Osten, die in Al </w:t>
      </w:r>
      <w:proofErr w:type="spellStart"/>
      <w:r w:rsidRPr="008A7C05">
        <w:rPr>
          <w:sz w:val="20"/>
          <w:szCs w:val="20"/>
        </w:rPr>
        <w:t>Jubail</w:t>
      </w:r>
      <w:proofErr w:type="spellEnd"/>
      <w:r w:rsidRPr="008A7C05">
        <w:rPr>
          <w:sz w:val="20"/>
          <w:szCs w:val="20"/>
        </w:rPr>
        <w:t xml:space="preserve"> (Saudi-Arabien) gemeinsam mit Partnern errichtet wurde, ist mechanisch fertiggestellt und wird den kommerziellen Betrieb im 4. Quartal 2013 aufnehmen. </w:t>
      </w:r>
      <w:r w:rsidR="0090340D">
        <w:rPr>
          <w:sz w:val="20"/>
          <w:szCs w:val="20"/>
        </w:rPr>
        <w:t>In Thailand werden d</w:t>
      </w:r>
      <w:r w:rsidRPr="008A7C05">
        <w:rPr>
          <w:sz w:val="20"/>
          <w:szCs w:val="20"/>
        </w:rPr>
        <w:t xml:space="preserve">ie </w:t>
      </w:r>
      <w:r w:rsidR="0090340D">
        <w:rPr>
          <w:sz w:val="20"/>
          <w:szCs w:val="20"/>
        </w:rPr>
        <w:t>im Rahmen des weltweiten Ausbaus der Kapazitäten für gefällte Kieselsäuren vorgenommenen Produktions</w:t>
      </w:r>
      <w:r w:rsidRPr="008A7C05">
        <w:rPr>
          <w:sz w:val="20"/>
          <w:szCs w:val="20"/>
        </w:rPr>
        <w:t>erweiterungen im 1. Quartal 2014 abgeschlossen sein.</w:t>
      </w:r>
    </w:p>
    <w:p w:rsidR="00330314" w:rsidRDefault="00330314" w:rsidP="008A7C05">
      <w:pPr>
        <w:spacing w:line="240" w:lineRule="auto"/>
        <w:ind w:left="0"/>
        <w:rPr>
          <w:sz w:val="20"/>
          <w:szCs w:val="20"/>
        </w:rPr>
      </w:pPr>
    </w:p>
    <w:p w:rsidR="008A7C05" w:rsidRDefault="008A7C05" w:rsidP="008A7C05">
      <w:pPr>
        <w:spacing w:line="240" w:lineRule="auto"/>
        <w:ind w:left="0"/>
        <w:rPr>
          <w:sz w:val="20"/>
          <w:szCs w:val="20"/>
        </w:rPr>
      </w:pPr>
      <w:r w:rsidRPr="008A7C05">
        <w:rPr>
          <w:sz w:val="20"/>
          <w:szCs w:val="20"/>
        </w:rPr>
        <w:t xml:space="preserve">Evonik hat sein Finanzprofil entscheidend verbessert. So verfügt das Unternehmen zum 30. September 2013 über ein </w:t>
      </w:r>
      <w:r w:rsidRPr="008A7C05">
        <w:rPr>
          <w:b/>
          <w:sz w:val="20"/>
          <w:szCs w:val="20"/>
        </w:rPr>
        <w:t>Nettofinanzvermögen</w:t>
      </w:r>
      <w:r w:rsidRPr="008A7C05">
        <w:rPr>
          <w:sz w:val="20"/>
          <w:szCs w:val="20"/>
        </w:rPr>
        <w:t xml:space="preserve"> von 592 Millionen € gegenüber einer Nettofinanzverschuldung von 1.163 Millionen € am Jahresende 2012. </w:t>
      </w:r>
      <w:r w:rsidR="0090340D">
        <w:rPr>
          <w:sz w:val="20"/>
          <w:szCs w:val="20"/>
        </w:rPr>
        <w:t xml:space="preserve">Dies resultiert </w:t>
      </w:r>
      <w:r w:rsidRPr="008A7C05">
        <w:rPr>
          <w:sz w:val="20"/>
          <w:szCs w:val="20"/>
        </w:rPr>
        <w:t xml:space="preserve">sowohl </w:t>
      </w:r>
      <w:r w:rsidR="0090340D">
        <w:rPr>
          <w:sz w:val="20"/>
          <w:szCs w:val="20"/>
        </w:rPr>
        <w:t>aus der</w:t>
      </w:r>
      <w:r w:rsidRPr="008A7C05">
        <w:rPr>
          <w:sz w:val="20"/>
          <w:szCs w:val="20"/>
        </w:rPr>
        <w:t xml:space="preserve"> </w:t>
      </w:r>
      <w:proofErr w:type="spellStart"/>
      <w:r w:rsidRPr="008A7C05">
        <w:rPr>
          <w:sz w:val="20"/>
          <w:szCs w:val="20"/>
        </w:rPr>
        <w:t>Entkonsolidierung</w:t>
      </w:r>
      <w:proofErr w:type="spellEnd"/>
      <w:r w:rsidRPr="008A7C05">
        <w:rPr>
          <w:sz w:val="20"/>
          <w:szCs w:val="20"/>
        </w:rPr>
        <w:t xml:space="preserve"> des Segments Real Estate als auch de</w:t>
      </w:r>
      <w:r w:rsidR="0090340D">
        <w:rPr>
          <w:sz w:val="20"/>
          <w:szCs w:val="20"/>
        </w:rPr>
        <w:t>m</w:t>
      </w:r>
      <w:r w:rsidRPr="008A7C05">
        <w:rPr>
          <w:sz w:val="20"/>
          <w:szCs w:val="20"/>
        </w:rPr>
        <w:t xml:space="preserve"> Eingang der Veräußerungserlöse für die Anteile an der </w:t>
      </w:r>
      <w:proofErr w:type="spellStart"/>
      <w:r w:rsidRPr="008A7C05">
        <w:rPr>
          <w:sz w:val="20"/>
          <w:szCs w:val="20"/>
        </w:rPr>
        <w:t>Vivawest</w:t>
      </w:r>
      <w:proofErr w:type="spellEnd"/>
      <w:r w:rsidRPr="008A7C05">
        <w:rPr>
          <w:sz w:val="20"/>
          <w:szCs w:val="20"/>
        </w:rPr>
        <w:t xml:space="preserve">. </w:t>
      </w:r>
    </w:p>
    <w:p w:rsidR="005521AB" w:rsidRPr="008A7C05" w:rsidRDefault="005521AB" w:rsidP="008A7C05">
      <w:pPr>
        <w:spacing w:line="240" w:lineRule="auto"/>
        <w:ind w:left="0"/>
        <w:rPr>
          <w:sz w:val="20"/>
          <w:szCs w:val="20"/>
        </w:rPr>
      </w:pPr>
    </w:p>
    <w:p w:rsidR="008A7C05" w:rsidRDefault="008A7C05" w:rsidP="008A7C05">
      <w:pPr>
        <w:spacing w:line="240" w:lineRule="auto"/>
        <w:ind w:left="0"/>
      </w:pPr>
    </w:p>
    <w:p w:rsidR="005856F9" w:rsidRDefault="005856F9">
      <w:pPr>
        <w:spacing w:line="240" w:lineRule="auto"/>
        <w:ind w:left="0" w:right="0"/>
        <w:rPr>
          <w:b/>
          <w:sz w:val="20"/>
          <w:szCs w:val="20"/>
        </w:rPr>
      </w:pPr>
      <w:r>
        <w:rPr>
          <w:b/>
          <w:sz w:val="20"/>
          <w:szCs w:val="20"/>
        </w:rPr>
        <w:br w:type="page"/>
      </w:r>
    </w:p>
    <w:p w:rsidR="008A7C05" w:rsidRDefault="008A7C05" w:rsidP="008A7C05">
      <w:pPr>
        <w:spacing w:line="240" w:lineRule="auto"/>
        <w:ind w:left="0"/>
        <w:rPr>
          <w:b/>
          <w:sz w:val="20"/>
          <w:szCs w:val="20"/>
        </w:rPr>
      </w:pPr>
      <w:r w:rsidRPr="008A7C05">
        <w:rPr>
          <w:b/>
          <w:sz w:val="20"/>
          <w:szCs w:val="20"/>
        </w:rPr>
        <w:lastRenderedPageBreak/>
        <w:t xml:space="preserve">Solide operative Geschäftsentwicklung im 3. Quartal 2013 – </w:t>
      </w:r>
      <w:r w:rsidRPr="008A7C05">
        <w:rPr>
          <w:b/>
          <w:sz w:val="20"/>
          <w:szCs w:val="20"/>
        </w:rPr>
        <w:br/>
        <w:t>Erfreuliche Mengensteigerungen bei spürbar rückläufigen Verkaufspreisen</w:t>
      </w:r>
    </w:p>
    <w:p w:rsidR="00066F8B" w:rsidRPr="008A7C05" w:rsidRDefault="00066F8B" w:rsidP="008A7C05">
      <w:pPr>
        <w:spacing w:line="240" w:lineRule="auto"/>
        <w:ind w:left="0"/>
        <w:rPr>
          <w:b/>
          <w:sz w:val="20"/>
          <w:szCs w:val="20"/>
        </w:rPr>
      </w:pPr>
    </w:p>
    <w:p w:rsidR="008A7C05" w:rsidRDefault="008A7C05" w:rsidP="008A7C05">
      <w:pPr>
        <w:spacing w:line="240" w:lineRule="auto"/>
        <w:ind w:left="0"/>
        <w:rPr>
          <w:sz w:val="20"/>
          <w:szCs w:val="20"/>
        </w:rPr>
      </w:pPr>
      <w:r w:rsidRPr="008A7C05">
        <w:rPr>
          <w:sz w:val="20"/>
          <w:szCs w:val="20"/>
        </w:rPr>
        <w:t xml:space="preserve">Unter weiterhin schwierigen weltwirtschaftlichen Rahmenbedingungen entwickelte sich das operative Geschäft im 3. Quartal 2013 insgesamt solide. Trotz der nur leichten Belebung in wichtigen Endkundenindustrien konnten die Absatzmengen spürbar erhöht werden. Infolge des anspruchsvollen Marktumfelds gingen bei einigen wichtigen Produkten – insbesondere bei Butadien und Aminosäuren für die Tierernährung – die Verkaufspreise im Vergleich zum Vorjahreszeitraum jedoch deutlich zurück. Insgesamt blieben der Konzernumsatz und die operativen Ergebnisse unter den sehr guten Werten des Vorjahresquartals. Im Vergleich zum 2. Quartal 2013 haben sich die operativen Ergebnisse im 3. Quartal 2013 aber leicht verbessert. </w:t>
      </w:r>
    </w:p>
    <w:p w:rsidR="00066F8B" w:rsidRPr="008A7C05" w:rsidRDefault="00066F8B"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Der </w:t>
      </w:r>
      <w:r w:rsidRPr="008A7C05">
        <w:rPr>
          <w:b/>
          <w:sz w:val="20"/>
          <w:szCs w:val="20"/>
        </w:rPr>
        <w:t>Konzernumsatz</w:t>
      </w:r>
      <w:r w:rsidRPr="008A7C05">
        <w:rPr>
          <w:sz w:val="20"/>
          <w:szCs w:val="20"/>
        </w:rPr>
        <w:t xml:space="preserve"> nahm im 3. Quartal 2013 um 4 Prozent auf 3.239 Millionen € ab (Vorjahresquartal: 3.359 Millionen €). Der organische Umsatzrückgang betrug 1 Prozent. Dabei konnten spürbare Mengensteigerungen (+5 Prozentpunkte) die Preisrückgänge (-6 Prozentpunkte) weitgehend ausgleichen. Die Währungseinflüsse wirkten sich mit -1 Prozentpunkt aus. Die sonstigen Effekte von -2 Prozentpunkten betrafen maßgeblich das im Dezember 2012 abgegebene chinesische Cyanurchlorid-Geschäft.</w:t>
      </w:r>
    </w:p>
    <w:p w:rsidR="00330314" w:rsidRDefault="00330314" w:rsidP="008A7C05">
      <w:pPr>
        <w:spacing w:line="240" w:lineRule="auto"/>
        <w:ind w:left="0"/>
        <w:rPr>
          <w:sz w:val="20"/>
          <w:szCs w:val="20"/>
        </w:rPr>
      </w:pPr>
    </w:p>
    <w:p w:rsidR="008A7C05" w:rsidRDefault="008A7C05" w:rsidP="009708D9">
      <w:pPr>
        <w:spacing w:line="240" w:lineRule="auto"/>
        <w:ind w:left="0" w:right="-343"/>
      </w:pPr>
      <w:r w:rsidRPr="008A7C05">
        <w:rPr>
          <w:sz w:val="20"/>
          <w:szCs w:val="20"/>
        </w:rPr>
        <w:t xml:space="preserve">Die operativen Ergebnisse erreichten im 3. Quartal 2013 vor allem </w:t>
      </w:r>
      <w:r w:rsidR="009708D9">
        <w:rPr>
          <w:sz w:val="20"/>
          <w:szCs w:val="20"/>
        </w:rPr>
        <w:br/>
      </w:r>
      <w:r w:rsidRPr="008A7C05">
        <w:rPr>
          <w:sz w:val="20"/>
          <w:szCs w:val="20"/>
        </w:rPr>
        <w:t xml:space="preserve">aufgrund der geringeren Verkaufspreise bei einigen wichtigen Produkten </w:t>
      </w:r>
      <w:r w:rsidR="009708D9">
        <w:rPr>
          <w:sz w:val="20"/>
          <w:szCs w:val="20"/>
        </w:rPr>
        <w:br/>
      </w:r>
      <w:r w:rsidRPr="008A7C05">
        <w:rPr>
          <w:sz w:val="20"/>
          <w:szCs w:val="20"/>
        </w:rPr>
        <w:t>nicht die sehr hohen</w:t>
      </w:r>
      <w:r>
        <w:t xml:space="preserve"> </w:t>
      </w:r>
      <w:r w:rsidRPr="008A7C05">
        <w:rPr>
          <w:sz w:val="20"/>
          <w:szCs w:val="20"/>
        </w:rPr>
        <w:t xml:space="preserve">Vorjahreswerte. Insgesamt verringerten sich das bereinigte </w:t>
      </w:r>
      <w:r w:rsidRPr="008A7C05">
        <w:rPr>
          <w:b/>
          <w:sz w:val="20"/>
          <w:szCs w:val="20"/>
        </w:rPr>
        <w:t>EBITDA</w:t>
      </w:r>
      <w:r w:rsidRPr="008A7C05">
        <w:rPr>
          <w:sz w:val="20"/>
          <w:szCs w:val="20"/>
        </w:rPr>
        <w:t xml:space="preserve"> um 26 Prozent auf 518 Millionen € (Vorjahresquartal: </w:t>
      </w:r>
      <w:r w:rsidR="009708D9">
        <w:rPr>
          <w:sz w:val="20"/>
          <w:szCs w:val="20"/>
        </w:rPr>
        <w:br/>
      </w:r>
      <w:r w:rsidRPr="008A7C05">
        <w:rPr>
          <w:sz w:val="20"/>
          <w:szCs w:val="20"/>
        </w:rPr>
        <w:t xml:space="preserve">701 Millionen €) und das bereinigte </w:t>
      </w:r>
      <w:r w:rsidRPr="008A7C05">
        <w:rPr>
          <w:b/>
          <w:sz w:val="20"/>
          <w:szCs w:val="20"/>
        </w:rPr>
        <w:t>EBIT</w:t>
      </w:r>
      <w:r w:rsidRPr="008A7C05">
        <w:rPr>
          <w:sz w:val="20"/>
          <w:szCs w:val="20"/>
        </w:rPr>
        <w:t xml:space="preserve"> um 32 Prozent auf 375 Millionen</w:t>
      </w:r>
      <w:r w:rsidR="009708D9">
        <w:rPr>
          <w:sz w:val="20"/>
          <w:szCs w:val="20"/>
        </w:rPr>
        <w:t xml:space="preserve"> €  </w:t>
      </w:r>
      <w:r w:rsidRPr="008A7C05">
        <w:rPr>
          <w:sz w:val="20"/>
          <w:szCs w:val="20"/>
        </w:rPr>
        <w:t xml:space="preserve">(Vorjahresquartal: 553 Millionen €). Die bereinigte </w:t>
      </w:r>
      <w:r w:rsidRPr="008A7C05">
        <w:rPr>
          <w:b/>
          <w:sz w:val="20"/>
          <w:szCs w:val="20"/>
        </w:rPr>
        <w:t>EBITDA-Marge</w:t>
      </w:r>
      <w:r w:rsidRPr="008A7C05">
        <w:rPr>
          <w:sz w:val="20"/>
          <w:szCs w:val="20"/>
        </w:rPr>
        <w:t xml:space="preserve"> blieb mit 16,0 Prozent unter dem außerordentlich guten Vorjahreswert von 20,9 Prozent. Das </w:t>
      </w:r>
      <w:r w:rsidRPr="008A7C05">
        <w:rPr>
          <w:b/>
          <w:sz w:val="20"/>
          <w:szCs w:val="20"/>
        </w:rPr>
        <w:t xml:space="preserve">Konzernergebnis </w:t>
      </w:r>
      <w:r w:rsidRPr="008A7C05">
        <w:rPr>
          <w:sz w:val="20"/>
          <w:szCs w:val="20"/>
        </w:rPr>
        <w:t xml:space="preserve">verbesserte sich dank des Veräußerungsergebnisses der Immobilienaktivitäten von 355 Millionen € </w:t>
      </w:r>
      <w:r w:rsidR="009708D9">
        <w:rPr>
          <w:sz w:val="20"/>
          <w:szCs w:val="20"/>
        </w:rPr>
        <w:br/>
      </w:r>
      <w:r w:rsidRPr="008A7C05">
        <w:rPr>
          <w:sz w:val="20"/>
          <w:szCs w:val="20"/>
        </w:rPr>
        <w:t xml:space="preserve">im Vorjahresquartal auf 1.470 Millionen € im 3. Quartal 2013. Das </w:t>
      </w:r>
      <w:r w:rsidR="009708D9">
        <w:rPr>
          <w:sz w:val="20"/>
          <w:szCs w:val="20"/>
        </w:rPr>
        <w:br/>
      </w:r>
      <w:r w:rsidRPr="008A7C05">
        <w:rPr>
          <w:b/>
          <w:sz w:val="20"/>
          <w:szCs w:val="20"/>
        </w:rPr>
        <w:t>bereinigte Konzernergebnis</w:t>
      </w:r>
      <w:r w:rsidRPr="008A7C05">
        <w:rPr>
          <w:sz w:val="20"/>
          <w:szCs w:val="20"/>
        </w:rPr>
        <w:t xml:space="preserve">, das weder Effekte aus den Bereinigungen </w:t>
      </w:r>
      <w:r w:rsidR="009708D9">
        <w:rPr>
          <w:sz w:val="20"/>
          <w:szCs w:val="20"/>
        </w:rPr>
        <w:br/>
      </w:r>
      <w:r w:rsidRPr="008A7C05">
        <w:rPr>
          <w:sz w:val="20"/>
          <w:szCs w:val="20"/>
        </w:rPr>
        <w:t xml:space="preserve">noch aus den nicht fortgeführten Aktivitäten enthält, verringerte sich im </w:t>
      </w:r>
      <w:r w:rsidR="009708D9">
        <w:rPr>
          <w:sz w:val="20"/>
          <w:szCs w:val="20"/>
        </w:rPr>
        <w:br/>
      </w:r>
      <w:r w:rsidRPr="008A7C05">
        <w:rPr>
          <w:sz w:val="20"/>
          <w:szCs w:val="20"/>
        </w:rPr>
        <w:t xml:space="preserve">3. Quartal 2013 um 38 Prozent auf 210 Millionen € (Vorjahresquartal: </w:t>
      </w:r>
      <w:r w:rsidR="009708D9">
        <w:rPr>
          <w:sz w:val="20"/>
          <w:szCs w:val="20"/>
        </w:rPr>
        <w:br/>
      </w:r>
      <w:r w:rsidRPr="008A7C05">
        <w:rPr>
          <w:sz w:val="20"/>
          <w:szCs w:val="20"/>
        </w:rPr>
        <w:t>336 Millionen €).</w:t>
      </w:r>
      <w:r w:rsidRPr="008A7C05">
        <w:rPr>
          <w:sz w:val="20"/>
          <w:szCs w:val="20"/>
        </w:rPr>
        <w:br/>
      </w:r>
    </w:p>
    <w:p w:rsidR="005521AB" w:rsidRDefault="005521AB" w:rsidP="008A7C05">
      <w:pPr>
        <w:spacing w:line="240" w:lineRule="auto"/>
        <w:ind w:left="0"/>
      </w:pPr>
    </w:p>
    <w:p w:rsidR="008A7C05" w:rsidRDefault="005856F9" w:rsidP="008A7C05">
      <w:pPr>
        <w:spacing w:line="240" w:lineRule="auto"/>
        <w:ind w:left="0"/>
        <w:rPr>
          <w:b/>
          <w:sz w:val="20"/>
          <w:szCs w:val="20"/>
        </w:rPr>
      </w:pPr>
      <w:r>
        <w:rPr>
          <w:b/>
          <w:sz w:val="20"/>
          <w:szCs w:val="20"/>
        </w:rPr>
        <w:br w:type="column"/>
      </w:r>
      <w:r w:rsidR="008A7C05" w:rsidRPr="008A7C05">
        <w:rPr>
          <w:b/>
          <w:sz w:val="20"/>
          <w:szCs w:val="20"/>
        </w:rPr>
        <w:lastRenderedPageBreak/>
        <w:t>Entwicklung in den Segmenten in den ersten neun Monaten 2013</w:t>
      </w:r>
    </w:p>
    <w:p w:rsidR="00066F8B" w:rsidRPr="008A7C05" w:rsidRDefault="00066F8B" w:rsidP="008A7C05">
      <w:pPr>
        <w:spacing w:line="240" w:lineRule="auto"/>
        <w:ind w:left="0"/>
        <w:rPr>
          <w:b/>
          <w:sz w:val="20"/>
          <w:szCs w:val="20"/>
        </w:rPr>
      </w:pPr>
    </w:p>
    <w:p w:rsidR="008A7C05" w:rsidRDefault="008A7C05" w:rsidP="008A7C05">
      <w:pPr>
        <w:spacing w:line="240" w:lineRule="auto"/>
        <w:ind w:left="0"/>
        <w:rPr>
          <w:b/>
          <w:sz w:val="20"/>
          <w:szCs w:val="20"/>
        </w:rPr>
      </w:pPr>
      <w:r w:rsidRPr="008A7C05">
        <w:rPr>
          <w:b/>
          <w:sz w:val="20"/>
          <w:szCs w:val="20"/>
        </w:rPr>
        <w:t xml:space="preserve">Consumer, </w:t>
      </w:r>
      <w:proofErr w:type="spellStart"/>
      <w:r w:rsidRPr="008A7C05">
        <w:rPr>
          <w:b/>
          <w:sz w:val="20"/>
          <w:szCs w:val="20"/>
        </w:rPr>
        <w:t>Health</w:t>
      </w:r>
      <w:proofErr w:type="spellEnd"/>
      <w:r w:rsidRPr="008A7C05">
        <w:rPr>
          <w:b/>
          <w:sz w:val="20"/>
          <w:szCs w:val="20"/>
        </w:rPr>
        <w:t xml:space="preserve"> &amp; Nutrition</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Höhere Mengen, rückläufige Verkaufspreise</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Operative Ergebnisse unter sehr guten Vorjahreswerten</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Bereinigte EBITDA-Marge mit 22,5 Prozent erneut auf sehr gutem Niveau</w:t>
      </w:r>
    </w:p>
    <w:p w:rsidR="008A7C05" w:rsidRPr="008A7C05" w:rsidRDefault="008A7C05" w:rsidP="008A7C05">
      <w:pPr>
        <w:spacing w:line="240" w:lineRule="auto"/>
        <w:ind w:left="0"/>
        <w:rPr>
          <w:sz w:val="20"/>
          <w:szCs w:val="20"/>
        </w:rPr>
      </w:pPr>
      <w:r w:rsidRPr="008A7C05">
        <w:rPr>
          <w:sz w:val="20"/>
          <w:szCs w:val="20"/>
        </w:rPr>
        <w:t xml:space="preserve">Das Segment Consumer, </w:t>
      </w:r>
      <w:proofErr w:type="spellStart"/>
      <w:r w:rsidRPr="008A7C05">
        <w:rPr>
          <w:sz w:val="20"/>
          <w:szCs w:val="20"/>
        </w:rPr>
        <w:t>Health</w:t>
      </w:r>
      <w:proofErr w:type="spellEnd"/>
      <w:r w:rsidRPr="008A7C05">
        <w:rPr>
          <w:sz w:val="20"/>
          <w:szCs w:val="20"/>
        </w:rPr>
        <w:t xml:space="preserve"> &amp; Nutrition produziert schwerpunktmäßig für Anwendungen in Konsumgütern, in der Tierernährung und im Bereich </w:t>
      </w:r>
      <w:proofErr w:type="spellStart"/>
      <w:r w:rsidRPr="008A7C05">
        <w:rPr>
          <w:sz w:val="20"/>
          <w:szCs w:val="20"/>
        </w:rPr>
        <w:t>Healthcare</w:t>
      </w:r>
      <w:proofErr w:type="spellEnd"/>
      <w:r w:rsidRPr="008A7C05">
        <w:rPr>
          <w:sz w:val="20"/>
          <w:szCs w:val="20"/>
        </w:rPr>
        <w:t xml:space="preserve">. Es umfasst die Geschäftsbereiche Consumer Specialties sowie </w:t>
      </w:r>
      <w:proofErr w:type="spellStart"/>
      <w:r w:rsidRPr="008A7C05">
        <w:rPr>
          <w:sz w:val="20"/>
          <w:szCs w:val="20"/>
        </w:rPr>
        <w:t>Health</w:t>
      </w:r>
      <w:proofErr w:type="spellEnd"/>
      <w:r w:rsidRPr="008A7C05">
        <w:rPr>
          <w:sz w:val="20"/>
          <w:szCs w:val="20"/>
        </w:rPr>
        <w:t xml:space="preserve"> &amp; Nutrition.</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Der </w:t>
      </w:r>
      <w:r w:rsidRPr="008A7C05">
        <w:rPr>
          <w:b/>
          <w:sz w:val="20"/>
          <w:szCs w:val="20"/>
        </w:rPr>
        <w:t>Umsatz</w:t>
      </w:r>
      <w:r w:rsidRPr="008A7C05">
        <w:rPr>
          <w:sz w:val="20"/>
          <w:szCs w:val="20"/>
        </w:rPr>
        <w:t xml:space="preserve"> lag in den ersten neun Monaten 2013 mit 3.135 Millionen € leicht unter dem Vorjahreswert von 3.165 Millionen €. Die rückläufigen Verkaufspreise wurden weitgehend vom Mengenwachstum ausgeglichen. Bei den Aminosäuren für die Tierernährung konnten die Absatzmengen ausgeweitet werden. Besonders erfreulich verlief das Geschäft mit Superabsorbern, das von höheren Verkaufsmengen profitierte. Erfolgreich entwickelten sich auch Produkte für industrielle Anwendungen sowie Pflegeprodukte für den persönlichen Gebrauch.</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Die operativen Ergebnisse blieben vor allem preisbedingt sowie aufgrund höherer Rohstoffkosten unter den hohen Vorjahreswerten. Das bereinigte </w:t>
      </w:r>
      <w:r w:rsidRPr="008A7C05">
        <w:rPr>
          <w:b/>
          <w:sz w:val="20"/>
          <w:szCs w:val="20"/>
        </w:rPr>
        <w:t>EBITDA</w:t>
      </w:r>
      <w:r w:rsidRPr="008A7C05">
        <w:rPr>
          <w:sz w:val="20"/>
          <w:szCs w:val="20"/>
        </w:rPr>
        <w:t xml:space="preserve"> ging um 15 Prozent auf 706 Millionen € (Vorjahreszeitraum: 826 Millionen €) und das bereinigte </w:t>
      </w:r>
      <w:r w:rsidRPr="008A7C05">
        <w:rPr>
          <w:b/>
          <w:sz w:val="20"/>
          <w:szCs w:val="20"/>
        </w:rPr>
        <w:t>EBIT</w:t>
      </w:r>
      <w:r w:rsidRPr="008A7C05">
        <w:rPr>
          <w:sz w:val="20"/>
          <w:szCs w:val="20"/>
        </w:rPr>
        <w:t xml:space="preserve"> um 18 Prozent auf 604 Millionen € (Vorjahreszeitraum: 733 Millionen €) zurück. Die bereinigte </w:t>
      </w:r>
      <w:r w:rsidRPr="008A7C05">
        <w:rPr>
          <w:b/>
          <w:sz w:val="20"/>
          <w:szCs w:val="20"/>
        </w:rPr>
        <w:t>EBITDA-Marge</w:t>
      </w:r>
      <w:r w:rsidRPr="008A7C05">
        <w:rPr>
          <w:sz w:val="20"/>
          <w:szCs w:val="20"/>
        </w:rPr>
        <w:t xml:space="preserve"> lag mit 22,5 Prozent weiterhin auf sehr gutem Niveau (Vorjahreszeitraum: 26,1 Prozent).</w:t>
      </w:r>
    </w:p>
    <w:p w:rsidR="008A7C05" w:rsidRDefault="008A7C05" w:rsidP="008A7C05">
      <w:pPr>
        <w:spacing w:line="240" w:lineRule="auto"/>
        <w:ind w:left="0"/>
      </w:pPr>
    </w:p>
    <w:p w:rsidR="005521AB" w:rsidRDefault="005521AB" w:rsidP="008A7C05">
      <w:pPr>
        <w:spacing w:line="240" w:lineRule="auto"/>
        <w:ind w:left="0"/>
      </w:pPr>
    </w:p>
    <w:p w:rsidR="008A7C05" w:rsidRPr="008A7C05" w:rsidRDefault="008A7C05" w:rsidP="008A7C05">
      <w:pPr>
        <w:spacing w:line="240" w:lineRule="auto"/>
        <w:ind w:left="0"/>
        <w:rPr>
          <w:b/>
          <w:sz w:val="20"/>
          <w:szCs w:val="20"/>
        </w:rPr>
      </w:pPr>
      <w:r w:rsidRPr="008A7C05">
        <w:rPr>
          <w:b/>
          <w:sz w:val="20"/>
          <w:szCs w:val="20"/>
        </w:rPr>
        <w:t>Resource Efficiency</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Stabiles operatives Geschäft</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 xml:space="preserve">Anziehende Nachfrage aus wichtigen Endmärkten </w:t>
      </w:r>
    </w:p>
    <w:p w:rsidR="008A7C05" w:rsidRPr="008A7C05" w:rsidRDefault="0090340D" w:rsidP="008A7C05">
      <w:pPr>
        <w:pStyle w:val="Listenabsatz"/>
        <w:numPr>
          <w:ilvl w:val="0"/>
          <w:numId w:val="18"/>
        </w:numPr>
        <w:spacing w:line="240" w:lineRule="auto"/>
        <w:ind w:left="567" w:hanging="567"/>
        <w:rPr>
          <w:rFonts w:ascii="Lucida Sans Unicode" w:hAnsi="Lucida Sans Unicode" w:cs="Lucida Sans Unicode"/>
          <w:sz w:val="20"/>
          <w:szCs w:val="20"/>
        </w:rPr>
      </w:pPr>
      <w:r>
        <w:rPr>
          <w:rFonts w:ascii="Lucida Sans Unicode" w:hAnsi="Lucida Sans Unicode" w:cs="Lucida Sans Unicode"/>
          <w:sz w:val="20"/>
          <w:szCs w:val="20"/>
        </w:rPr>
        <w:t>Bereinigte EBITDA</w:t>
      </w:r>
      <w:r w:rsidR="008A7C05" w:rsidRPr="008A7C05">
        <w:rPr>
          <w:rFonts w:ascii="Lucida Sans Unicode" w:hAnsi="Lucida Sans Unicode" w:cs="Lucida Sans Unicode"/>
          <w:sz w:val="20"/>
          <w:szCs w:val="20"/>
        </w:rPr>
        <w:t>-Marge liegt mit 21,8 Prozent auf sehr gutem Niveau</w:t>
      </w:r>
    </w:p>
    <w:p w:rsidR="008A7C05" w:rsidRDefault="008A7C05" w:rsidP="008A7C05">
      <w:pPr>
        <w:spacing w:line="240" w:lineRule="auto"/>
        <w:ind w:left="0"/>
        <w:rPr>
          <w:sz w:val="20"/>
          <w:szCs w:val="20"/>
        </w:rPr>
      </w:pPr>
      <w:r w:rsidRPr="008A7C05">
        <w:rPr>
          <w:sz w:val="20"/>
          <w:szCs w:val="20"/>
        </w:rPr>
        <w:t xml:space="preserve">Das Segment Resource Efficiency bietet umweltfreundliche und energieeffiziente Systemlösungen. Ihm sind die beiden Geschäftsbereiche </w:t>
      </w:r>
      <w:proofErr w:type="spellStart"/>
      <w:r w:rsidRPr="008A7C05">
        <w:rPr>
          <w:sz w:val="20"/>
          <w:szCs w:val="20"/>
        </w:rPr>
        <w:t>Inorganic</w:t>
      </w:r>
      <w:proofErr w:type="spellEnd"/>
      <w:r w:rsidRPr="008A7C05">
        <w:rPr>
          <w:sz w:val="20"/>
          <w:szCs w:val="20"/>
        </w:rPr>
        <w:t xml:space="preserve"> Materials sowie Coatings &amp; Additives zugeordnet.</w:t>
      </w:r>
    </w:p>
    <w:p w:rsidR="00F46DE5" w:rsidRPr="008A7C05" w:rsidRDefault="00F46DE5"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lastRenderedPageBreak/>
        <w:t xml:space="preserve">Der </w:t>
      </w:r>
      <w:r w:rsidRPr="008A7C05">
        <w:rPr>
          <w:b/>
          <w:sz w:val="20"/>
          <w:szCs w:val="20"/>
        </w:rPr>
        <w:t>Umsatz</w:t>
      </w:r>
      <w:r w:rsidRPr="008A7C05">
        <w:rPr>
          <w:sz w:val="20"/>
          <w:szCs w:val="20"/>
        </w:rPr>
        <w:t xml:space="preserve"> ging in den ersten neun Monaten 2013 um 3 Prozent auf 2.367 Millionen € zurück (Vorjahreszeitraum: 2.440 Millionen €). Hierzu trugen der negative Währungseinfluss sowie das noch bis April 2012 enthaltene </w:t>
      </w:r>
      <w:proofErr w:type="spellStart"/>
      <w:r w:rsidRPr="008A7C05">
        <w:rPr>
          <w:sz w:val="20"/>
          <w:szCs w:val="20"/>
        </w:rPr>
        <w:t>Colorants</w:t>
      </w:r>
      <w:proofErr w:type="spellEnd"/>
      <w:r w:rsidRPr="008A7C05">
        <w:rPr>
          <w:sz w:val="20"/>
          <w:szCs w:val="20"/>
        </w:rPr>
        <w:t xml:space="preserve">-Geschäft bei, während höhere Mengen bei stabilen Verkaufspreisen zu einem organischen Umsatzwachstum führten. Erfreulich entwickelte sich die Nachfrage aus dem Automobilsektor, insbesondere nach Öladditiven sowie aus der Coatings-Industrie. Auch die Nachfrage aus der Bauindustrie hat sich etwas belebt. Das Kieselsäuregeschäft zeigte </w:t>
      </w:r>
      <w:r w:rsidR="00066F8B">
        <w:rPr>
          <w:sz w:val="20"/>
          <w:szCs w:val="20"/>
        </w:rPr>
        <w:t>sich</w:t>
      </w:r>
      <w:r w:rsidRPr="008A7C05">
        <w:rPr>
          <w:sz w:val="20"/>
          <w:szCs w:val="20"/>
        </w:rPr>
        <w:t xml:space="preserve"> aufgrund des breiten Spektrums der Endmärkte, die bedient werden, weiterhin stabil.</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Die operativen Ergebnisse erreichten nicht ganz die hohen Vorjahreswerte, die Einmalerträge im Zusammenhang mit der Restrukturierung des </w:t>
      </w:r>
      <w:proofErr w:type="spellStart"/>
      <w:r w:rsidRPr="008A7C05">
        <w:rPr>
          <w:sz w:val="20"/>
          <w:szCs w:val="20"/>
        </w:rPr>
        <w:t>Fotovoltaikgeschäfts</w:t>
      </w:r>
      <w:proofErr w:type="spellEnd"/>
      <w:r w:rsidRPr="008A7C05">
        <w:rPr>
          <w:sz w:val="20"/>
          <w:szCs w:val="20"/>
        </w:rPr>
        <w:t xml:space="preserve"> enthielten. Das bereinigte </w:t>
      </w:r>
      <w:r w:rsidRPr="008A7C05">
        <w:rPr>
          <w:b/>
          <w:sz w:val="20"/>
          <w:szCs w:val="20"/>
        </w:rPr>
        <w:t>EBITDA</w:t>
      </w:r>
      <w:r w:rsidRPr="008A7C05">
        <w:rPr>
          <w:sz w:val="20"/>
          <w:szCs w:val="20"/>
        </w:rPr>
        <w:t xml:space="preserve"> nahm um 5 Prozent auf 516 Millionen € (Vorjahreszeitraum: 546 Millionen €) und das bereinigte </w:t>
      </w:r>
      <w:r w:rsidRPr="008A7C05">
        <w:rPr>
          <w:b/>
          <w:sz w:val="20"/>
          <w:szCs w:val="20"/>
        </w:rPr>
        <w:t>EBIT</w:t>
      </w:r>
      <w:r w:rsidRPr="008A7C05">
        <w:rPr>
          <w:sz w:val="20"/>
          <w:szCs w:val="20"/>
        </w:rPr>
        <w:t xml:space="preserve"> um 2 Prozent auf 430 Millionen € (Vorjahreszeitraum: 438 Millionen €) ab. Die bereinigte </w:t>
      </w:r>
      <w:r w:rsidRPr="008A7C05">
        <w:rPr>
          <w:b/>
          <w:sz w:val="20"/>
          <w:szCs w:val="20"/>
        </w:rPr>
        <w:t>EBITDA-Marge</w:t>
      </w:r>
      <w:r w:rsidRPr="008A7C05">
        <w:rPr>
          <w:sz w:val="20"/>
          <w:szCs w:val="20"/>
        </w:rPr>
        <w:t xml:space="preserve"> lag mit 21,8 Prozent weiterhin auf sehr gutem Niveau (Vorjahreszeitraum: 22,4 Prozent).</w:t>
      </w:r>
    </w:p>
    <w:p w:rsidR="008A7C05" w:rsidRDefault="008A7C05" w:rsidP="008A7C05">
      <w:pPr>
        <w:spacing w:line="240" w:lineRule="auto"/>
        <w:rPr>
          <w:sz w:val="20"/>
          <w:szCs w:val="20"/>
        </w:rPr>
      </w:pPr>
    </w:p>
    <w:p w:rsidR="005521AB" w:rsidRPr="008A7C05" w:rsidRDefault="005521AB" w:rsidP="008A7C05">
      <w:pPr>
        <w:spacing w:line="240" w:lineRule="auto"/>
        <w:rPr>
          <w:sz w:val="20"/>
          <w:szCs w:val="20"/>
        </w:rPr>
      </w:pPr>
    </w:p>
    <w:p w:rsidR="008A7C05" w:rsidRPr="008A7C05" w:rsidRDefault="008A7C05" w:rsidP="008A7C05">
      <w:pPr>
        <w:spacing w:line="240" w:lineRule="auto"/>
        <w:ind w:left="0"/>
        <w:rPr>
          <w:sz w:val="20"/>
          <w:szCs w:val="20"/>
        </w:rPr>
      </w:pPr>
      <w:r w:rsidRPr="008A7C05">
        <w:rPr>
          <w:b/>
          <w:sz w:val="20"/>
          <w:szCs w:val="20"/>
        </w:rPr>
        <w:t>Specialty Materials</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Deutlich rückläufige Verkaufspreise wirken belastend</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Operative Ergebnisse unter sehr guten Vorjahreswerten</w:t>
      </w:r>
    </w:p>
    <w:p w:rsidR="008A7C05" w:rsidRPr="008A7C05" w:rsidRDefault="008A7C05" w:rsidP="008A7C05">
      <w:pPr>
        <w:pStyle w:val="Listenabsatz"/>
        <w:numPr>
          <w:ilvl w:val="0"/>
          <w:numId w:val="18"/>
        </w:numPr>
        <w:spacing w:line="240" w:lineRule="auto"/>
        <w:ind w:left="567" w:hanging="567"/>
        <w:rPr>
          <w:rFonts w:ascii="Lucida Sans Unicode" w:hAnsi="Lucida Sans Unicode" w:cs="Lucida Sans Unicode"/>
          <w:sz w:val="20"/>
          <w:szCs w:val="20"/>
        </w:rPr>
      </w:pPr>
      <w:r w:rsidRPr="008A7C05">
        <w:rPr>
          <w:rFonts w:ascii="Lucida Sans Unicode" w:hAnsi="Lucida Sans Unicode" w:cs="Lucida Sans Unicode"/>
          <w:sz w:val="20"/>
          <w:szCs w:val="20"/>
        </w:rPr>
        <w:t xml:space="preserve">Bereinigte EBITDA-Marge verringerte sich von 18,3 </w:t>
      </w:r>
      <w:r w:rsidR="0090340D">
        <w:rPr>
          <w:rFonts w:ascii="Lucida Sans Unicode" w:hAnsi="Lucida Sans Unicode" w:cs="Lucida Sans Unicode"/>
          <w:sz w:val="20"/>
          <w:szCs w:val="20"/>
        </w:rPr>
        <w:t xml:space="preserve">Prozent </w:t>
      </w:r>
      <w:r w:rsidRPr="008A7C05">
        <w:rPr>
          <w:rFonts w:ascii="Lucida Sans Unicode" w:hAnsi="Lucida Sans Unicode" w:cs="Lucida Sans Unicode"/>
          <w:sz w:val="20"/>
          <w:szCs w:val="20"/>
        </w:rPr>
        <w:t>auf 13,3 Prozent</w:t>
      </w:r>
    </w:p>
    <w:p w:rsidR="008A7C05" w:rsidRPr="008A7C05" w:rsidRDefault="008A7C05" w:rsidP="008A7C05">
      <w:pPr>
        <w:spacing w:line="240" w:lineRule="auto"/>
        <w:ind w:left="0"/>
        <w:rPr>
          <w:sz w:val="20"/>
          <w:szCs w:val="20"/>
        </w:rPr>
      </w:pPr>
      <w:r w:rsidRPr="008A7C05">
        <w:rPr>
          <w:sz w:val="20"/>
          <w:szCs w:val="20"/>
        </w:rPr>
        <w:t xml:space="preserve">Im Mittelpunkt des Segments Specialty Materials steht die Herstellung von polymeren Werkstoffen sowie Zwischenprodukten vor allem für die Gummi- und Kunststoffindustrie. Es gliedert sich in die Geschäftsbereiche Performance Polymers und </w:t>
      </w:r>
      <w:proofErr w:type="spellStart"/>
      <w:r w:rsidRPr="008A7C05">
        <w:rPr>
          <w:sz w:val="20"/>
          <w:szCs w:val="20"/>
        </w:rPr>
        <w:t>Advanced</w:t>
      </w:r>
      <w:proofErr w:type="spellEnd"/>
      <w:r w:rsidRPr="008A7C05">
        <w:rPr>
          <w:sz w:val="20"/>
          <w:szCs w:val="20"/>
        </w:rPr>
        <w:t xml:space="preserve"> Intermediates.</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Der </w:t>
      </w:r>
      <w:r w:rsidRPr="008A7C05">
        <w:rPr>
          <w:b/>
          <w:sz w:val="20"/>
          <w:szCs w:val="20"/>
        </w:rPr>
        <w:t>Umsatz</w:t>
      </w:r>
      <w:r w:rsidRPr="008A7C05">
        <w:rPr>
          <w:sz w:val="20"/>
          <w:szCs w:val="20"/>
        </w:rPr>
        <w:t xml:space="preserve"> lag in den ersten neun Monaten 2013 mit 3.430 Millionen € um 8 Prozent unter dem Vorjahreswert von 3.720 Millionen €. Neben der Abgabe des chinesischen Cyanurchlorid-Geschäfts im Dezember 2012 ist dies maßgeblich auf deutlich geringere Verkaufspreise zurückzuführen, insbesondere für Butadien, während sich die Absatzmengen leicht erhöhten. Erfreulich verlief das Geschäft mit Wasserstoffperoxid, das eine höhere Nachfrage vor allem aus Anwendungen nach dem von Evonik und ThyssenKrupp Uhde entwickelten HPPO-Verfahren verzeichnete. </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lastRenderedPageBreak/>
        <w:t xml:space="preserve">Die operativen Ergebnisse waren insbesondere durch die rückläufigen Verkaufspreise sowie eine planmäßige Anlagenrevision eines Produktionsverbundes belastet: Das bereinigte </w:t>
      </w:r>
      <w:r w:rsidRPr="008A7C05">
        <w:rPr>
          <w:b/>
          <w:sz w:val="20"/>
          <w:szCs w:val="20"/>
        </w:rPr>
        <w:t>EBITDA</w:t>
      </w:r>
      <w:r w:rsidRPr="008A7C05">
        <w:rPr>
          <w:sz w:val="20"/>
          <w:szCs w:val="20"/>
        </w:rPr>
        <w:t xml:space="preserve"> ging um 33 Prozent auf 457 Millionen € (Vorjahreszeitraum: 679 Millionen €) und das bereinigte </w:t>
      </w:r>
      <w:r w:rsidRPr="008A7C05">
        <w:rPr>
          <w:b/>
          <w:sz w:val="20"/>
          <w:szCs w:val="20"/>
        </w:rPr>
        <w:t>EBIT</w:t>
      </w:r>
      <w:r w:rsidRPr="008A7C05">
        <w:rPr>
          <w:sz w:val="20"/>
          <w:szCs w:val="20"/>
        </w:rPr>
        <w:t xml:space="preserve"> um 39 Prozent auf 342 Millionen € (Vorjahreszeitraum: 565 Millionen €) zurück. Die bereinigte </w:t>
      </w:r>
      <w:r w:rsidRPr="008A7C05">
        <w:rPr>
          <w:b/>
          <w:sz w:val="20"/>
          <w:szCs w:val="20"/>
        </w:rPr>
        <w:t>EBITDA-Marge</w:t>
      </w:r>
      <w:r w:rsidRPr="008A7C05">
        <w:rPr>
          <w:sz w:val="20"/>
          <w:szCs w:val="20"/>
        </w:rPr>
        <w:t xml:space="preserve"> betrug 13,3 Prozent gegenüber 18,3 Prozent im Vorjahreszeitraum.</w:t>
      </w:r>
    </w:p>
    <w:p w:rsidR="008A7C05" w:rsidRPr="008A7C05" w:rsidRDefault="008A7C05" w:rsidP="008A7C05">
      <w:pPr>
        <w:spacing w:line="240" w:lineRule="auto"/>
        <w:rPr>
          <w:sz w:val="20"/>
          <w:szCs w:val="20"/>
        </w:rPr>
      </w:pPr>
    </w:p>
    <w:p w:rsidR="005521AB" w:rsidRDefault="005521AB" w:rsidP="008A7C05">
      <w:pPr>
        <w:spacing w:line="240" w:lineRule="auto"/>
        <w:ind w:left="0"/>
        <w:rPr>
          <w:b/>
          <w:sz w:val="20"/>
          <w:szCs w:val="20"/>
        </w:rPr>
      </w:pPr>
    </w:p>
    <w:p w:rsidR="008A7C05" w:rsidRPr="008A7C05" w:rsidRDefault="008A7C05" w:rsidP="008A7C05">
      <w:pPr>
        <w:spacing w:line="240" w:lineRule="auto"/>
        <w:ind w:left="0"/>
        <w:rPr>
          <w:b/>
          <w:sz w:val="20"/>
          <w:szCs w:val="20"/>
        </w:rPr>
      </w:pPr>
      <w:r w:rsidRPr="008A7C05">
        <w:rPr>
          <w:b/>
          <w:sz w:val="20"/>
          <w:szCs w:val="20"/>
        </w:rPr>
        <w:t>Services</w:t>
      </w:r>
    </w:p>
    <w:p w:rsidR="008A7C05" w:rsidRPr="008A7C05" w:rsidRDefault="008A7C05" w:rsidP="008A7C05">
      <w:pPr>
        <w:spacing w:line="240" w:lineRule="auto"/>
        <w:ind w:left="0"/>
        <w:rPr>
          <w:sz w:val="20"/>
          <w:szCs w:val="20"/>
        </w:rPr>
      </w:pPr>
      <w:r w:rsidRPr="008A7C05">
        <w:rPr>
          <w:sz w:val="20"/>
          <w:szCs w:val="20"/>
        </w:rPr>
        <w:t>Das Segment Services umfasst im Wesentlichen die Site Services und die Evonik Business Services. Es erbringt seine Dienstleistungen vor allem für die operativen Spezialchemie-Geschäfte und das Corporate Center von Evonik sowie für Dritte.</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Der </w:t>
      </w:r>
      <w:r w:rsidRPr="008A7C05">
        <w:rPr>
          <w:b/>
          <w:sz w:val="20"/>
          <w:szCs w:val="20"/>
        </w:rPr>
        <w:t>Gesamtumsatz</w:t>
      </w:r>
      <w:r w:rsidRPr="008A7C05">
        <w:rPr>
          <w:sz w:val="20"/>
          <w:szCs w:val="20"/>
        </w:rPr>
        <w:t xml:space="preserve"> lag in den ersten neun Monaten 2013 bei 1.962 Millionen €, hiervon entfielen 1.284 Millionen € auf Innenumsätze. Der Außenumsatz ging nachfragebedingt insbesondere aufgrund der Stilllegung einer Produktionsanlage eines Kunden am Standort Marl um 7 Prozent auf 678 Millionen € zurück. Die operativen Ergebnisse erhöhten sich im Wesentlichen dank verbesserter Kostenstrukturen bei den Site Services: Das bereinigte </w:t>
      </w:r>
      <w:r w:rsidRPr="008A7C05">
        <w:rPr>
          <w:b/>
          <w:sz w:val="20"/>
          <w:szCs w:val="20"/>
        </w:rPr>
        <w:t>EBITDA</w:t>
      </w:r>
      <w:r w:rsidRPr="008A7C05">
        <w:rPr>
          <w:sz w:val="20"/>
          <w:szCs w:val="20"/>
        </w:rPr>
        <w:t xml:space="preserve"> nahm um 3 Prozent auf 157 Millionen € und das bereinigte </w:t>
      </w:r>
      <w:r w:rsidRPr="008A7C05">
        <w:rPr>
          <w:b/>
          <w:sz w:val="20"/>
          <w:szCs w:val="20"/>
        </w:rPr>
        <w:t>EBIT</w:t>
      </w:r>
      <w:r w:rsidRPr="008A7C05">
        <w:rPr>
          <w:sz w:val="20"/>
          <w:szCs w:val="20"/>
        </w:rPr>
        <w:t xml:space="preserve"> um 7 Prozent auf 88 Millionen € zu.</w:t>
      </w:r>
    </w:p>
    <w:p w:rsidR="008A7C05" w:rsidRPr="008A7C05" w:rsidRDefault="008A7C05" w:rsidP="008A7C05">
      <w:pPr>
        <w:spacing w:line="240" w:lineRule="auto"/>
        <w:ind w:left="0"/>
        <w:rPr>
          <w:sz w:val="20"/>
          <w:szCs w:val="20"/>
        </w:rPr>
      </w:pPr>
    </w:p>
    <w:p w:rsidR="005521AB" w:rsidRDefault="005521AB" w:rsidP="008A7C05">
      <w:pPr>
        <w:spacing w:line="240" w:lineRule="auto"/>
        <w:ind w:left="0"/>
        <w:rPr>
          <w:b/>
          <w:sz w:val="20"/>
          <w:szCs w:val="20"/>
        </w:rPr>
      </w:pPr>
    </w:p>
    <w:p w:rsidR="008A7C05" w:rsidRDefault="008A7C05" w:rsidP="008A7C05">
      <w:pPr>
        <w:spacing w:line="240" w:lineRule="auto"/>
        <w:ind w:left="0"/>
        <w:rPr>
          <w:b/>
          <w:sz w:val="20"/>
          <w:szCs w:val="20"/>
        </w:rPr>
      </w:pPr>
      <w:r w:rsidRPr="008A7C05">
        <w:rPr>
          <w:b/>
          <w:sz w:val="20"/>
          <w:szCs w:val="20"/>
        </w:rPr>
        <w:t>Konzernweite Effizienzsteigerung wird mit Nachdruck fortgesetzt</w:t>
      </w:r>
    </w:p>
    <w:p w:rsidR="00066F8B" w:rsidRPr="008A7C05" w:rsidRDefault="00066F8B" w:rsidP="008A7C05">
      <w:pPr>
        <w:spacing w:line="240" w:lineRule="auto"/>
        <w:ind w:left="0"/>
        <w:rPr>
          <w:b/>
          <w:sz w:val="20"/>
          <w:szCs w:val="20"/>
        </w:rPr>
      </w:pPr>
    </w:p>
    <w:p w:rsidR="008A7C05" w:rsidRPr="008A7C05" w:rsidRDefault="008A7C05" w:rsidP="008A7C05">
      <w:pPr>
        <w:spacing w:line="240" w:lineRule="auto"/>
        <w:ind w:left="0"/>
        <w:rPr>
          <w:sz w:val="20"/>
          <w:szCs w:val="20"/>
        </w:rPr>
      </w:pPr>
      <w:r w:rsidRPr="008A7C05">
        <w:rPr>
          <w:sz w:val="20"/>
          <w:szCs w:val="20"/>
        </w:rPr>
        <w:t>Die Realisierung des Effizienzsteigerungsprogramms On Track 2.0, zu dem im Wesentlichen die weitere Optimierung der weltweiten Produktion und produktionsnaher Abl</w:t>
      </w:r>
      <w:r>
        <w:rPr>
          <w:sz w:val="20"/>
          <w:szCs w:val="20"/>
        </w:rPr>
        <w:t>äufe einen Beitrag leisten soll</w:t>
      </w:r>
      <w:r w:rsidRPr="008A7C05">
        <w:rPr>
          <w:sz w:val="20"/>
          <w:szCs w:val="20"/>
        </w:rPr>
        <w:t xml:space="preserve">, kommt gut voran. Nach nur 21 Monaten Laufzeit sind inzwischen Maßnahmen mit einem jährlichen Einsparpotenzial von </w:t>
      </w:r>
      <w:r w:rsidR="001A5356">
        <w:rPr>
          <w:sz w:val="20"/>
          <w:szCs w:val="20"/>
        </w:rPr>
        <w:t xml:space="preserve">rund </w:t>
      </w:r>
      <w:r w:rsidRPr="008A7C05">
        <w:rPr>
          <w:sz w:val="20"/>
          <w:szCs w:val="20"/>
        </w:rPr>
        <w:t>230 Millionen € der bis Ende 2016 geplanten 500 Millionen € in Umsetzung begriffen. Auch das zur Jahresmitte gestartete Kostenmanagementprojekt mit dem Ziel, schwerpunktmäßig in den nicht-operativen Einheiten kurzfristige Einsparpotenziale in Höhe von etwa 40 Millionen € bis Ende 2013 zu realisieren, macht gute Fortschritte.</w:t>
      </w:r>
    </w:p>
    <w:p w:rsidR="00330314" w:rsidRDefault="00330314" w:rsidP="008A7C05">
      <w:pPr>
        <w:spacing w:line="240" w:lineRule="auto"/>
        <w:ind w:left="0"/>
        <w:rPr>
          <w:sz w:val="20"/>
          <w:szCs w:val="20"/>
        </w:rPr>
      </w:pPr>
    </w:p>
    <w:p w:rsidR="008A7C05" w:rsidRPr="008A7C05" w:rsidRDefault="005856F9" w:rsidP="008A7C05">
      <w:pPr>
        <w:spacing w:line="240" w:lineRule="auto"/>
        <w:ind w:left="0"/>
        <w:rPr>
          <w:sz w:val="20"/>
          <w:szCs w:val="20"/>
        </w:rPr>
      </w:pPr>
      <w:r>
        <w:rPr>
          <w:sz w:val="20"/>
          <w:szCs w:val="20"/>
        </w:rPr>
        <w:br w:type="column"/>
      </w:r>
      <w:r w:rsidR="008A7C05" w:rsidRPr="008A7C05">
        <w:rPr>
          <w:sz w:val="20"/>
          <w:szCs w:val="20"/>
        </w:rPr>
        <w:lastRenderedPageBreak/>
        <w:t>Nach dem erfolgreichen Umbau vom integrierten Mischkonzern zum börsennotierten Spezialchemieunternehmen will Evonik nun auch seine Führungs- und Verwaltungsprozesse darauf ausrichten und konzernweit straffen sowie effizienter machen. Ziel ist eine weltweite Verwaltung aus einem Guss – ohne Doppelzuständigke</w:t>
      </w:r>
      <w:r w:rsidR="00047736">
        <w:rPr>
          <w:sz w:val="20"/>
          <w:szCs w:val="20"/>
        </w:rPr>
        <w:t>iten und kostenintensive</w:t>
      </w:r>
      <w:r w:rsidR="008A7C05" w:rsidRPr="008A7C05">
        <w:rPr>
          <w:sz w:val="20"/>
          <w:szCs w:val="20"/>
        </w:rPr>
        <w:t xml:space="preserve"> Schnittstellen. Bis Ende 2016 soll dies Einsparungen von jährlich bis zu 250 Millionen € ermöglichen. </w:t>
      </w:r>
    </w:p>
    <w:p w:rsidR="008A7C05" w:rsidRPr="008A7C05" w:rsidRDefault="008A7C05" w:rsidP="008A7C05">
      <w:pPr>
        <w:spacing w:line="240" w:lineRule="auto"/>
        <w:rPr>
          <w:sz w:val="20"/>
          <w:szCs w:val="20"/>
        </w:rPr>
      </w:pPr>
    </w:p>
    <w:p w:rsidR="005521AB" w:rsidRDefault="005521AB" w:rsidP="008A7C05">
      <w:pPr>
        <w:spacing w:line="240" w:lineRule="auto"/>
        <w:ind w:left="0"/>
        <w:rPr>
          <w:b/>
          <w:sz w:val="20"/>
          <w:szCs w:val="20"/>
        </w:rPr>
      </w:pPr>
    </w:p>
    <w:p w:rsidR="00066F8B" w:rsidRDefault="00066F8B" w:rsidP="008A7C05">
      <w:pPr>
        <w:spacing w:line="240" w:lineRule="auto"/>
        <w:ind w:left="0"/>
        <w:rPr>
          <w:b/>
          <w:sz w:val="20"/>
          <w:szCs w:val="20"/>
        </w:rPr>
      </w:pPr>
    </w:p>
    <w:p w:rsidR="00066F8B" w:rsidRDefault="00066F8B" w:rsidP="008A7C05">
      <w:pPr>
        <w:spacing w:line="240" w:lineRule="auto"/>
        <w:ind w:left="0"/>
        <w:rPr>
          <w:b/>
          <w:sz w:val="20"/>
          <w:szCs w:val="20"/>
        </w:rPr>
      </w:pPr>
    </w:p>
    <w:p w:rsidR="008A7C05" w:rsidRDefault="008A7C05" w:rsidP="008A7C05">
      <w:pPr>
        <w:spacing w:line="240" w:lineRule="auto"/>
        <w:ind w:left="0"/>
        <w:rPr>
          <w:b/>
          <w:sz w:val="20"/>
          <w:szCs w:val="20"/>
        </w:rPr>
      </w:pPr>
      <w:r w:rsidRPr="008A7C05">
        <w:rPr>
          <w:b/>
          <w:sz w:val="20"/>
          <w:szCs w:val="20"/>
        </w:rPr>
        <w:t>Ausblick für das Geschäftsjahr 2013 bestätigt</w:t>
      </w:r>
    </w:p>
    <w:p w:rsidR="00066F8B" w:rsidRPr="008A7C05" w:rsidRDefault="00066F8B" w:rsidP="008A7C05">
      <w:pPr>
        <w:spacing w:line="240" w:lineRule="auto"/>
        <w:ind w:left="0"/>
        <w:rPr>
          <w:b/>
          <w:sz w:val="20"/>
          <w:szCs w:val="20"/>
        </w:rPr>
      </w:pPr>
    </w:p>
    <w:p w:rsidR="008A7C05" w:rsidRDefault="008A7C05" w:rsidP="008A7C05">
      <w:pPr>
        <w:spacing w:line="240" w:lineRule="auto"/>
        <w:ind w:left="0"/>
        <w:rPr>
          <w:sz w:val="20"/>
          <w:szCs w:val="20"/>
        </w:rPr>
      </w:pPr>
      <w:r w:rsidRPr="008A7C05">
        <w:rPr>
          <w:sz w:val="20"/>
          <w:szCs w:val="20"/>
        </w:rPr>
        <w:t>Die weltwirtschaftlichen Rahmenbedingungen werden auch in den kommenden Monaten herausfordernd bleiben. Die für das zweite Halbjahr erwartete Erholung der Weltkonjunktur verläuft bisher gedämpfter als zu Jahresbeginn 2013 angenommen. Für das vierte Quartal geht Evonik zwar von einer Fortsetzung des leichten Aufwärtstrends aus, rechnet aber – auch saisonal bedingt – nicht mit spürbaren Impulsen für sein Geschäft. Insbesondere in den für den Absatz bedeutenden Regionen Europa und China geht das Unternehmen von einem geringeren Wachstum aus als noch am Jahresanfang erwartet. Daher hält Evonik an den zur Jahresmitte 2013 prognostizierten weltwirtschaftlichen Rahmenbedingungen für das Gesamtjahr 2013 fest und erwartet, dass sich die Entwicklung in seinen relevanten Märkten im vierten Quartal auf dem Niveau des Dreivierteljahres fortsetzen wird.</w:t>
      </w:r>
    </w:p>
    <w:p w:rsidR="00066F8B" w:rsidRPr="008A7C05" w:rsidRDefault="00066F8B"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 xml:space="preserve">Der folgende Ausblick bezieht sich nur auf die fortgeführten Aktivitäten. Dementsprechend sind das im </w:t>
      </w:r>
      <w:r w:rsidR="00330314">
        <w:rPr>
          <w:sz w:val="20"/>
          <w:szCs w:val="20"/>
        </w:rPr>
        <w:t>Juli</w:t>
      </w:r>
      <w:r w:rsidRPr="008A7C05">
        <w:rPr>
          <w:sz w:val="20"/>
          <w:szCs w:val="20"/>
        </w:rPr>
        <w:t xml:space="preserve"> 2013 </w:t>
      </w:r>
      <w:proofErr w:type="spellStart"/>
      <w:r w:rsidRPr="008A7C05">
        <w:rPr>
          <w:sz w:val="20"/>
          <w:szCs w:val="20"/>
        </w:rPr>
        <w:t>entkonsolidierte</w:t>
      </w:r>
      <w:proofErr w:type="spellEnd"/>
      <w:r w:rsidRPr="008A7C05">
        <w:rPr>
          <w:sz w:val="20"/>
          <w:szCs w:val="20"/>
        </w:rPr>
        <w:t xml:space="preserve"> Segment Real Estate sowie das Lithium-Ionen-Geschäft, das verkauft werden soll, nicht berücksichtigt. </w:t>
      </w:r>
    </w:p>
    <w:p w:rsidR="00330314" w:rsidRDefault="00330314" w:rsidP="008A7C05">
      <w:pPr>
        <w:spacing w:line="240" w:lineRule="auto"/>
        <w:ind w:left="0"/>
        <w:rPr>
          <w:sz w:val="20"/>
          <w:szCs w:val="20"/>
        </w:rPr>
      </w:pPr>
    </w:p>
    <w:p w:rsidR="008A7C05" w:rsidRPr="008A7C05" w:rsidRDefault="008A7C05" w:rsidP="008A7C05">
      <w:pPr>
        <w:spacing w:line="240" w:lineRule="auto"/>
        <w:ind w:left="0"/>
        <w:rPr>
          <w:sz w:val="20"/>
          <w:szCs w:val="20"/>
        </w:rPr>
      </w:pPr>
      <w:r w:rsidRPr="008A7C05">
        <w:rPr>
          <w:sz w:val="20"/>
          <w:szCs w:val="20"/>
        </w:rPr>
        <w:t>Evonik bestätigt seinen im Ha</w:t>
      </w:r>
      <w:r w:rsidR="00066F8B">
        <w:rPr>
          <w:sz w:val="20"/>
          <w:szCs w:val="20"/>
        </w:rPr>
        <w:t>l</w:t>
      </w:r>
      <w:r w:rsidRPr="008A7C05">
        <w:rPr>
          <w:sz w:val="20"/>
          <w:szCs w:val="20"/>
        </w:rPr>
        <w:t xml:space="preserve">bjahresfinanzbericht gegebenen Ausblick für das Gesamtjahr 2013: Insgesamt erwartet der Konzern für 2013 einen mit rund 13 Milliarden € etwa auf Vorjahreshöhe liegenden Umsatz. Die operativen Ergebnisse werden unter den sehr guten Werten des Vorjahres bleiben. Evonik geht weiterhin davon aus, ein bereinigtes EBITDA in der Größenordnung von 2,0 Milliarden € zu erzielen. </w:t>
      </w:r>
    </w:p>
    <w:p w:rsidR="008A7C05" w:rsidRPr="008A7C05" w:rsidRDefault="008A7C05" w:rsidP="008A7C05">
      <w:pPr>
        <w:ind w:left="0"/>
        <w:rPr>
          <w:sz w:val="20"/>
          <w:szCs w:val="20"/>
          <w:highlight w:val="yellow"/>
        </w:rPr>
      </w:pPr>
      <w:r w:rsidRPr="008A7C05">
        <w:rPr>
          <w:sz w:val="20"/>
          <w:szCs w:val="20"/>
          <w:highlight w:val="yellow"/>
        </w:rPr>
        <w:br w:type="page"/>
      </w:r>
    </w:p>
    <w:p w:rsidR="008A7C05" w:rsidRPr="007351D0" w:rsidRDefault="008A7C05" w:rsidP="008A7C05">
      <w:pPr>
        <w:spacing w:after="120"/>
        <w:rPr>
          <w:rFonts w:cs="Lucida Sans Unicode"/>
          <w:b/>
          <w:bCs/>
          <w:sz w:val="20"/>
          <w:szCs w:val="20"/>
        </w:rPr>
      </w:pPr>
      <w:r w:rsidRPr="007351D0">
        <w:rPr>
          <w:rFonts w:cs="Lucida Sans Unicode"/>
          <w:b/>
          <w:bCs/>
          <w:sz w:val="20"/>
          <w:szCs w:val="20"/>
        </w:rPr>
        <w:lastRenderedPageBreak/>
        <w:t>Evonik-Konzern: Ergebnisrechnung im Überblick</w:t>
      </w:r>
    </w:p>
    <w:tbl>
      <w:tblPr>
        <w:tblW w:w="1008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5"/>
        <w:gridCol w:w="823"/>
        <w:gridCol w:w="983"/>
        <w:gridCol w:w="984"/>
        <w:gridCol w:w="823"/>
        <w:gridCol w:w="937"/>
        <w:gridCol w:w="984"/>
      </w:tblGrid>
      <w:tr w:rsidR="008A7C05" w:rsidRPr="007351D0" w:rsidTr="008A7C05">
        <w:trPr>
          <w:trHeight w:val="510"/>
        </w:trPr>
        <w:tc>
          <w:tcPr>
            <w:tcW w:w="4605"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ind w:left="-55"/>
              <w:rPr>
                <w:rFonts w:cs="Lucida Sans Unicode"/>
                <w:b/>
                <w:bCs/>
                <w:szCs w:val="20"/>
              </w:rPr>
            </w:pPr>
            <w:r w:rsidRPr="007351D0">
              <w:rPr>
                <w:rFonts w:cs="Lucida Sans Unicode"/>
                <w:b/>
                <w:bCs/>
                <w:szCs w:val="20"/>
              </w:rPr>
              <w:t>(in Mio. €)</w:t>
            </w:r>
          </w:p>
        </w:tc>
        <w:tc>
          <w:tcPr>
            <w:tcW w:w="8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8A7C05" w:rsidRPr="007351D0" w:rsidRDefault="008A7C05" w:rsidP="008A7C05">
            <w:pPr>
              <w:jc w:val="center"/>
              <w:rPr>
                <w:rFonts w:cs="Lucida Sans Unicode"/>
                <w:b/>
                <w:bCs/>
                <w:szCs w:val="20"/>
              </w:rPr>
            </w:pPr>
            <w:r w:rsidRPr="007351D0">
              <w:rPr>
                <w:rFonts w:cs="Lucida Sans Unicode"/>
                <w:b/>
                <w:bCs/>
                <w:szCs w:val="20"/>
              </w:rPr>
              <w:t>Q3 2013</w:t>
            </w:r>
          </w:p>
        </w:tc>
        <w:tc>
          <w:tcPr>
            <w:tcW w:w="983" w:type="dxa"/>
            <w:tcBorders>
              <w:top w:val="single" w:sz="4" w:space="0" w:color="auto"/>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zCs w:val="20"/>
              </w:rPr>
            </w:pPr>
            <w:r w:rsidRPr="007351D0">
              <w:rPr>
                <w:rFonts w:cs="Lucida Sans Unicode"/>
                <w:b/>
                <w:bCs/>
                <w:szCs w:val="20"/>
              </w:rPr>
              <w:t xml:space="preserve">Q3  </w:t>
            </w:r>
            <w:r w:rsidRPr="007351D0">
              <w:rPr>
                <w:rFonts w:cs="Lucida Sans Unicode"/>
                <w:b/>
                <w:bCs/>
                <w:szCs w:val="20"/>
              </w:rPr>
              <w:br/>
              <w:t xml:space="preserve"> 2012</w:t>
            </w:r>
          </w:p>
        </w:tc>
        <w:tc>
          <w:tcPr>
            <w:tcW w:w="984" w:type="dxa"/>
            <w:tcBorders>
              <w:top w:val="single" w:sz="4" w:space="0" w:color="auto"/>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 xml:space="preserve">. </w:t>
            </w:r>
            <w:r w:rsidRPr="007351D0">
              <w:rPr>
                <w:rFonts w:cs="Lucida Sans Unicode"/>
                <w:b/>
                <w:bCs/>
                <w:spacing w:val="-6"/>
                <w:szCs w:val="20"/>
              </w:rPr>
              <w:br/>
              <w:t>in %</w:t>
            </w:r>
          </w:p>
        </w:tc>
        <w:tc>
          <w:tcPr>
            <w:tcW w:w="8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8A7C05" w:rsidRPr="007351D0" w:rsidRDefault="008A7C05" w:rsidP="008A7C05">
            <w:pPr>
              <w:jc w:val="center"/>
              <w:rPr>
                <w:rFonts w:cs="Lucida Sans Unicode"/>
                <w:b/>
                <w:bCs/>
                <w:szCs w:val="20"/>
              </w:rPr>
            </w:pPr>
            <w:r w:rsidRPr="007351D0">
              <w:rPr>
                <w:rFonts w:cs="Lucida Sans Unicode"/>
                <w:b/>
                <w:bCs/>
                <w:szCs w:val="20"/>
              </w:rPr>
              <w:t>9 M</w:t>
            </w:r>
          </w:p>
          <w:p w:rsidR="008A7C05" w:rsidRPr="007351D0" w:rsidRDefault="008A7C05" w:rsidP="008A7C05">
            <w:pPr>
              <w:jc w:val="center"/>
              <w:rPr>
                <w:rFonts w:cs="Lucida Sans Unicode"/>
                <w:b/>
                <w:bCs/>
                <w:szCs w:val="20"/>
              </w:rPr>
            </w:pPr>
            <w:r w:rsidRPr="007351D0">
              <w:rPr>
                <w:rFonts w:cs="Lucida Sans Unicode"/>
                <w:b/>
                <w:bCs/>
                <w:szCs w:val="20"/>
              </w:rPr>
              <w:t>2013</w:t>
            </w:r>
          </w:p>
        </w:tc>
        <w:tc>
          <w:tcPr>
            <w:tcW w:w="881" w:type="dxa"/>
            <w:tcBorders>
              <w:top w:val="single" w:sz="4" w:space="0" w:color="auto"/>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zCs w:val="20"/>
              </w:rPr>
            </w:pPr>
            <w:r w:rsidRPr="007351D0">
              <w:rPr>
                <w:rFonts w:cs="Lucida Sans Unicode"/>
                <w:b/>
                <w:bCs/>
                <w:szCs w:val="20"/>
              </w:rPr>
              <w:t>9 M</w:t>
            </w:r>
          </w:p>
          <w:p w:rsidR="008A7C05" w:rsidRPr="007351D0" w:rsidRDefault="008A7C05" w:rsidP="008A7C05">
            <w:pPr>
              <w:jc w:val="center"/>
              <w:rPr>
                <w:rFonts w:cs="Lucida Sans Unicode"/>
                <w:b/>
                <w:bCs/>
                <w:szCs w:val="20"/>
              </w:rPr>
            </w:pPr>
            <w:r w:rsidRPr="007351D0">
              <w:rPr>
                <w:rFonts w:cs="Lucida Sans Unicode"/>
                <w:b/>
                <w:bCs/>
                <w:szCs w:val="20"/>
              </w:rPr>
              <w:t>2012</w:t>
            </w:r>
          </w:p>
        </w:tc>
        <w:tc>
          <w:tcPr>
            <w:tcW w:w="984" w:type="dxa"/>
            <w:tcBorders>
              <w:top w:val="single" w:sz="4" w:space="0" w:color="auto"/>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 xml:space="preserve">. </w:t>
            </w:r>
            <w:r w:rsidRPr="007351D0">
              <w:rPr>
                <w:rFonts w:cs="Lucida Sans Unicode"/>
                <w:b/>
                <w:bCs/>
                <w:spacing w:val="-6"/>
                <w:szCs w:val="20"/>
              </w:rPr>
              <w:br/>
              <w:t>in %</w:t>
            </w: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Umsatzerlöse</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3.239</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3.359</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-4</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9.739</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10.186</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-4</w:t>
            </w: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Bereinigtes EBITDA</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518</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701</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-26</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1.622</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2.014</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-19</w:t>
            </w: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Bereinigtes EBIT</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375</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553</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-32</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1.196</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1.577</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-24</w:t>
            </w: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Bereinigungen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-235</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46</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ind w:left="-55"/>
              <w:jc w:val="right"/>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-328</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-47</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ind w:left="-55"/>
              <w:jc w:val="right"/>
              <w:rPr>
                <w:rFonts w:cs="Lucida Sans Unicode"/>
                <w:bCs/>
                <w:spacing w:val="-6"/>
                <w:szCs w:val="20"/>
              </w:rPr>
            </w:pP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Zinsergebnis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-67</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-80</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-201</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-239</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bCs/>
                <w:szCs w:val="20"/>
              </w:rPr>
            </w:pPr>
            <w:r w:rsidRPr="007351D0">
              <w:rPr>
                <w:rFonts w:cs="Lucida Sans Unicode"/>
                <w:bCs/>
                <w:spacing w:val="-6"/>
                <w:szCs w:val="20"/>
              </w:rPr>
              <w:t>Ergebnis vor Ertragsteuern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73</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519</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-86</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667</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1.291</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-48</w:t>
            </w: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Ertragsteuern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-16</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-180</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jc w:val="right"/>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-180</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-457</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jc w:val="right"/>
              <w:rPr>
                <w:rFonts w:cs="Lucida Sans Unicode"/>
                <w:szCs w:val="20"/>
              </w:rPr>
            </w:pP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bCs/>
                <w:szCs w:val="20"/>
              </w:rPr>
            </w:pPr>
            <w:r w:rsidRPr="007351D0">
              <w:rPr>
                <w:rFonts w:cs="Lucida Sans Unicode"/>
                <w:bCs/>
                <w:spacing w:val="-6"/>
                <w:szCs w:val="20"/>
              </w:rPr>
              <w:t>Ergebnis nach Steuern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57</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339</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-83</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487</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834</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-42</w:t>
            </w: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Ergebnis nach Steuern nicht fortgeführter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1.321</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14</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1.363</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43</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rPr>
                <w:rFonts w:cs="Lucida Sans Unicode"/>
                <w:szCs w:val="20"/>
              </w:rPr>
            </w:pPr>
          </w:p>
        </w:tc>
      </w:tr>
      <w:tr w:rsidR="008A7C05" w:rsidRPr="007351D0" w:rsidTr="008A7C05">
        <w:trPr>
          <w:trHeight w:val="300"/>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bCs/>
                <w:szCs w:val="20"/>
              </w:rPr>
            </w:pPr>
            <w:r w:rsidRPr="007351D0">
              <w:rPr>
                <w:rFonts w:cs="Lucida Sans Unicode"/>
                <w:bCs/>
                <w:szCs w:val="20"/>
              </w:rPr>
              <w:t>Ergebnis nach Steuern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1.378</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353</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290</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1.850</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877</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111</w:t>
            </w:r>
          </w:p>
        </w:tc>
      </w:tr>
      <w:tr w:rsidR="008A7C05" w:rsidRPr="007351D0" w:rsidTr="008A7C05">
        <w:trPr>
          <w:trHeight w:val="255"/>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Anteile anderer Gesellschafter</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szCs w:val="20"/>
              </w:rPr>
            </w:pPr>
            <w:r w:rsidRPr="007351D0">
              <w:rPr>
                <w:rFonts w:cs="Lucida Sans Unicode"/>
                <w:szCs w:val="20"/>
              </w:rPr>
              <w:t>92</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2</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rPr>
                <w:rFonts w:cs="Lucida Sans Unicode"/>
                <w:szCs w:val="20"/>
              </w:rPr>
            </w:pP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101</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11</w:t>
            </w:r>
          </w:p>
        </w:tc>
        <w:tc>
          <w:tcPr>
            <w:tcW w:w="984" w:type="dxa"/>
            <w:tcBorders>
              <w:top w:val="single" w:sz="4" w:space="0" w:color="auto"/>
              <w:left w:val="single" w:sz="4" w:space="0" w:color="auto"/>
              <w:bottom w:val="single" w:sz="4" w:space="0" w:color="auto"/>
              <w:right w:val="single" w:sz="4" w:space="0" w:color="auto"/>
            </w:tcBorders>
            <w:noWrap/>
            <w:vAlign w:val="bottom"/>
          </w:tcPr>
          <w:p w:rsidR="008A7C05" w:rsidRPr="007351D0" w:rsidRDefault="008A7C05" w:rsidP="008A7C05">
            <w:pPr>
              <w:jc w:val="right"/>
              <w:rPr>
                <w:rFonts w:cs="Lucida Sans Unicode"/>
                <w:b/>
                <w:bCs/>
                <w:szCs w:val="20"/>
              </w:rPr>
            </w:pPr>
          </w:p>
        </w:tc>
      </w:tr>
      <w:tr w:rsidR="008A7C05" w:rsidRPr="007351D0" w:rsidTr="008A7C05">
        <w:trPr>
          <w:trHeight w:val="255"/>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1.470</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355</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314</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1.951</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888</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120</w:t>
            </w:r>
          </w:p>
        </w:tc>
      </w:tr>
      <w:tr w:rsidR="008A7C05" w:rsidRPr="007351D0" w:rsidTr="008A7C05">
        <w:trPr>
          <w:trHeight w:val="255"/>
        </w:trPr>
        <w:tc>
          <w:tcPr>
            <w:tcW w:w="460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ind w:left="-55"/>
              <w:rPr>
                <w:rFonts w:cs="Lucida Sans Unicode"/>
                <w:szCs w:val="20"/>
              </w:rPr>
            </w:pPr>
            <w:r w:rsidRPr="007351D0">
              <w:rPr>
                <w:rFonts w:cs="Lucida Sans Unicode"/>
                <w:szCs w:val="20"/>
              </w:rPr>
              <w:t>Bereinigtes Konzernergebnis</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210</w:t>
            </w:r>
          </w:p>
        </w:tc>
        <w:tc>
          <w:tcPr>
            <w:tcW w:w="983"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336</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-38</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704</w:t>
            </w:r>
          </w:p>
        </w:tc>
        <w:tc>
          <w:tcPr>
            <w:tcW w:w="881"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917</w:t>
            </w:r>
          </w:p>
        </w:tc>
        <w:tc>
          <w:tcPr>
            <w:tcW w:w="984"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-23</w:t>
            </w:r>
          </w:p>
        </w:tc>
      </w:tr>
    </w:tbl>
    <w:p w:rsidR="008A7C05" w:rsidRPr="00725E7B" w:rsidRDefault="008A7C05" w:rsidP="008A7C05">
      <w:pPr>
        <w:spacing w:after="120"/>
        <w:rPr>
          <w:rFonts w:cs="Lucida Sans Unicode"/>
          <w:bCs/>
          <w:sz w:val="16"/>
          <w:szCs w:val="16"/>
        </w:rPr>
      </w:pPr>
      <w:r w:rsidRPr="00725E7B">
        <w:rPr>
          <w:rFonts w:cs="Lucida Sans Unicode"/>
          <w:bCs/>
          <w:sz w:val="16"/>
          <w:szCs w:val="16"/>
        </w:rPr>
        <w:t>Vorjahreszahlen angepasst</w:t>
      </w:r>
    </w:p>
    <w:p w:rsidR="008A7C05" w:rsidRPr="007351D0" w:rsidRDefault="008A7C05" w:rsidP="008A7C05">
      <w:pPr>
        <w:spacing w:line="100" w:lineRule="exact"/>
        <w:outlineLvl w:val="0"/>
        <w:rPr>
          <w:rFonts w:cs="Lucida Sans Unicode"/>
          <w:b/>
          <w:bCs/>
          <w:sz w:val="20"/>
          <w:szCs w:val="20"/>
        </w:rPr>
      </w:pPr>
    </w:p>
    <w:p w:rsidR="008A7C05" w:rsidRPr="007351D0" w:rsidRDefault="008A7C05" w:rsidP="008A7C05">
      <w:pPr>
        <w:spacing w:line="200" w:lineRule="exact"/>
        <w:rPr>
          <w:rFonts w:cs="Lucida Sans Unicode"/>
          <w:sz w:val="16"/>
          <w:szCs w:val="16"/>
        </w:rPr>
      </w:pPr>
    </w:p>
    <w:p w:rsidR="008A7C05" w:rsidRPr="007351D0" w:rsidRDefault="008A7C05" w:rsidP="008A7C05">
      <w:pPr>
        <w:spacing w:line="300" w:lineRule="exact"/>
        <w:outlineLvl w:val="0"/>
        <w:rPr>
          <w:rFonts w:cs="Lucida Sans Unicode"/>
          <w:b/>
          <w:bCs/>
          <w:sz w:val="20"/>
          <w:szCs w:val="20"/>
        </w:rPr>
      </w:pPr>
      <w:r w:rsidRPr="007351D0">
        <w:rPr>
          <w:rFonts w:cs="Lucida Sans Unicode"/>
          <w:b/>
          <w:bCs/>
          <w:sz w:val="20"/>
          <w:szCs w:val="20"/>
        </w:rPr>
        <w:t>Entwicklung in den Segmenten</w:t>
      </w:r>
    </w:p>
    <w:p w:rsidR="008A7C05" w:rsidRPr="007351D0" w:rsidRDefault="008A7C05" w:rsidP="008A7C05">
      <w:pPr>
        <w:spacing w:line="100" w:lineRule="exact"/>
        <w:outlineLvl w:val="0"/>
        <w:rPr>
          <w:rFonts w:cs="Lucida Sans Unicode"/>
          <w:b/>
          <w:bCs/>
          <w:sz w:val="20"/>
          <w:szCs w:val="20"/>
        </w:rPr>
      </w:pPr>
    </w:p>
    <w:tbl>
      <w:tblPr>
        <w:tblW w:w="10136" w:type="dxa"/>
        <w:tblInd w:w="55" w:type="dxa"/>
        <w:tblCellMar>
          <w:left w:w="70" w:type="dxa"/>
          <w:right w:w="70" w:type="dxa"/>
        </w:tblCellMar>
        <w:tblLook w:val="04A0" w:firstRow="1" w:lastRow="0" w:firstColumn="1" w:lastColumn="0" w:noHBand="0" w:noVBand="1"/>
      </w:tblPr>
      <w:tblGrid>
        <w:gridCol w:w="3134"/>
        <w:gridCol w:w="1214"/>
        <w:gridCol w:w="1229"/>
        <w:gridCol w:w="1125"/>
        <w:gridCol w:w="1114"/>
        <w:gridCol w:w="1198"/>
        <w:gridCol w:w="45"/>
        <w:gridCol w:w="1077"/>
      </w:tblGrid>
      <w:tr w:rsidR="008A7C05" w:rsidRPr="007351D0" w:rsidTr="008A7C05">
        <w:trPr>
          <w:trHeight w:val="271"/>
        </w:trPr>
        <w:tc>
          <w:tcPr>
            <w:tcW w:w="3134" w:type="dxa"/>
            <w:tcBorders>
              <w:top w:val="single" w:sz="4" w:space="0" w:color="auto"/>
              <w:left w:val="single" w:sz="4" w:space="0" w:color="auto"/>
              <w:bottom w:val="nil"/>
              <w:right w:val="single" w:sz="4" w:space="0" w:color="auto"/>
            </w:tcBorders>
            <w:noWrap/>
            <w:vAlign w:val="center"/>
            <w:hideMark/>
          </w:tcPr>
          <w:p w:rsidR="008A7C05" w:rsidRPr="007351D0" w:rsidRDefault="008A7C05" w:rsidP="008A7C05">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000000"/>
            </w:tcBorders>
            <w:noWrap/>
            <w:vAlign w:val="bottom"/>
            <w:hideMark/>
          </w:tcPr>
          <w:p w:rsidR="008A7C05" w:rsidRPr="007351D0" w:rsidRDefault="008A7C05" w:rsidP="008A7C05">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nil"/>
              <w:bottom w:val="single" w:sz="4" w:space="0" w:color="auto"/>
              <w:right w:val="single" w:sz="4" w:space="0" w:color="auto"/>
            </w:tcBorders>
            <w:noWrap/>
            <w:vAlign w:val="bottom"/>
            <w:hideMark/>
          </w:tcPr>
          <w:p w:rsidR="008A7C05" w:rsidRPr="007351D0" w:rsidRDefault="008A7C05" w:rsidP="008A7C05">
            <w:pPr>
              <w:jc w:val="center"/>
              <w:rPr>
                <w:rFonts w:cs="Lucida Sans Unicode"/>
                <w:b/>
                <w:bCs/>
                <w:szCs w:val="20"/>
              </w:rPr>
            </w:pPr>
            <w:r w:rsidRPr="007351D0">
              <w:rPr>
                <w:rFonts w:cs="Lucida Sans Unicode"/>
                <w:b/>
                <w:bCs/>
                <w:szCs w:val="20"/>
              </w:rPr>
              <w:t>Bereinigtes EBITDA</w:t>
            </w:r>
          </w:p>
        </w:tc>
      </w:tr>
      <w:tr w:rsidR="008A7C05" w:rsidRPr="007351D0" w:rsidTr="008A7C05">
        <w:trPr>
          <w:trHeight w:val="255"/>
        </w:trPr>
        <w:tc>
          <w:tcPr>
            <w:tcW w:w="3134" w:type="dxa"/>
            <w:tcBorders>
              <w:top w:val="nil"/>
              <w:left w:val="single" w:sz="4" w:space="0" w:color="auto"/>
              <w:bottom w:val="nil"/>
              <w:right w:val="single" w:sz="4" w:space="0" w:color="auto"/>
            </w:tcBorders>
            <w:noWrap/>
            <w:vAlign w:val="center"/>
          </w:tcPr>
          <w:p w:rsidR="008A7C05" w:rsidRPr="007351D0" w:rsidRDefault="008A7C05" w:rsidP="008A7C05">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Q3/2013</w:t>
            </w:r>
          </w:p>
        </w:tc>
        <w:tc>
          <w:tcPr>
            <w:tcW w:w="1229" w:type="dxa"/>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Q3/2012</w:t>
            </w:r>
          </w:p>
        </w:tc>
        <w:tc>
          <w:tcPr>
            <w:tcW w:w="1125" w:type="dxa"/>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c>
          <w:tcPr>
            <w:tcW w:w="1114" w:type="dxa"/>
            <w:tcBorders>
              <w:top w:val="single" w:sz="4" w:space="0" w:color="auto"/>
              <w:left w:val="nil"/>
              <w:bottom w:val="nil"/>
              <w:right w:val="single" w:sz="4" w:space="0" w:color="auto"/>
            </w:tcBorders>
            <w:shd w:val="clear" w:color="auto" w:fill="C0C0C0"/>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Q3/2013</w:t>
            </w:r>
          </w:p>
        </w:tc>
        <w:tc>
          <w:tcPr>
            <w:tcW w:w="1243" w:type="dxa"/>
            <w:gridSpan w:val="2"/>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Q3/2012</w:t>
            </w:r>
          </w:p>
        </w:tc>
        <w:tc>
          <w:tcPr>
            <w:tcW w:w="1077" w:type="dxa"/>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r>
      <w:tr w:rsidR="008A7C05" w:rsidRPr="007351D0" w:rsidTr="008A7C05">
        <w:trPr>
          <w:trHeight w:val="255"/>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243" w:type="dxa"/>
            <w:gridSpan w:val="2"/>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077" w:type="dxa"/>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in %</w:t>
            </w:r>
          </w:p>
        </w:tc>
      </w:tr>
      <w:tr w:rsidR="008A7C05" w:rsidRPr="007351D0" w:rsidTr="008A7C05">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 xml:space="preserve">Consumer, </w:t>
            </w:r>
            <w:proofErr w:type="spellStart"/>
            <w:r w:rsidRPr="007351D0">
              <w:rPr>
                <w:rFonts w:cs="Lucida Sans Unicode"/>
                <w:szCs w:val="20"/>
              </w:rPr>
              <w:t>Health</w:t>
            </w:r>
            <w:proofErr w:type="spellEnd"/>
            <w:r w:rsidRPr="007351D0">
              <w:rPr>
                <w:rFonts w:cs="Lucida Sans Unicode"/>
                <w:szCs w:val="20"/>
              </w:rPr>
              <w:t xml:space="preserve">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1.042</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1.079</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-3</w:t>
            </w:r>
          </w:p>
        </w:tc>
        <w:tc>
          <w:tcPr>
            <w:tcW w:w="11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210</w:t>
            </w:r>
          </w:p>
        </w:tc>
        <w:tc>
          <w:tcPr>
            <w:tcW w:w="1243" w:type="dxa"/>
            <w:gridSpan w:val="2"/>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280</w:t>
            </w:r>
          </w:p>
        </w:tc>
        <w:tc>
          <w:tcPr>
            <w:tcW w:w="1077"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-25</w:t>
            </w:r>
          </w:p>
        </w:tc>
      </w:tr>
      <w:tr w:rsidR="008A7C05" w:rsidRPr="007351D0" w:rsidTr="008A7C05">
        <w:trPr>
          <w:trHeight w:val="300"/>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Resource Efficiency</w:t>
            </w:r>
          </w:p>
        </w:tc>
        <w:tc>
          <w:tcPr>
            <w:tcW w:w="12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795</w:t>
            </w:r>
          </w:p>
        </w:tc>
        <w:tc>
          <w:tcPr>
            <w:tcW w:w="1229"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788</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w:t>
            </w:r>
          </w:p>
        </w:tc>
        <w:tc>
          <w:tcPr>
            <w:tcW w:w="11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169</w:t>
            </w:r>
          </w:p>
        </w:tc>
        <w:tc>
          <w:tcPr>
            <w:tcW w:w="1243" w:type="dxa"/>
            <w:gridSpan w:val="2"/>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202</w:t>
            </w:r>
          </w:p>
        </w:tc>
        <w:tc>
          <w:tcPr>
            <w:tcW w:w="1077"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-16</w:t>
            </w:r>
          </w:p>
        </w:tc>
      </w:tr>
      <w:tr w:rsidR="008A7C05" w:rsidRPr="007351D0" w:rsidTr="008A7C05">
        <w:trPr>
          <w:trHeight w:val="300"/>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Specialty Materials</w:t>
            </w:r>
          </w:p>
        </w:tc>
        <w:tc>
          <w:tcPr>
            <w:tcW w:w="12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1.132</w:t>
            </w:r>
          </w:p>
        </w:tc>
        <w:tc>
          <w:tcPr>
            <w:tcW w:w="1229"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1.217</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-7</w:t>
            </w:r>
          </w:p>
        </w:tc>
        <w:tc>
          <w:tcPr>
            <w:tcW w:w="11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147</w:t>
            </w:r>
          </w:p>
        </w:tc>
        <w:tc>
          <w:tcPr>
            <w:tcW w:w="1243" w:type="dxa"/>
            <w:gridSpan w:val="2"/>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222</w:t>
            </w:r>
          </w:p>
        </w:tc>
        <w:tc>
          <w:tcPr>
            <w:tcW w:w="1077"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-34</w:t>
            </w:r>
          </w:p>
        </w:tc>
      </w:tr>
      <w:tr w:rsidR="008A7C05" w:rsidRPr="007351D0" w:rsidTr="008A7C05">
        <w:trPr>
          <w:trHeight w:val="300"/>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226</w:t>
            </w:r>
          </w:p>
        </w:tc>
        <w:tc>
          <w:tcPr>
            <w:tcW w:w="1229"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228</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w:t>
            </w:r>
          </w:p>
        </w:tc>
        <w:tc>
          <w:tcPr>
            <w:tcW w:w="11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50</w:t>
            </w:r>
          </w:p>
        </w:tc>
        <w:tc>
          <w:tcPr>
            <w:tcW w:w="1243" w:type="dxa"/>
            <w:gridSpan w:val="2"/>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49</w:t>
            </w:r>
          </w:p>
        </w:tc>
        <w:tc>
          <w:tcPr>
            <w:tcW w:w="1077"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2</w:t>
            </w:r>
          </w:p>
        </w:tc>
      </w:tr>
      <w:tr w:rsidR="008A7C05" w:rsidRPr="007351D0" w:rsidTr="008A7C05">
        <w:trPr>
          <w:trHeight w:val="300"/>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8A7C05" w:rsidRPr="007351D0" w:rsidRDefault="008A7C05" w:rsidP="008A7C05">
            <w:pPr>
              <w:jc w:val="right"/>
              <w:rPr>
                <w:rFonts w:cs="Lucida Sans Unicode"/>
                <w:szCs w:val="20"/>
              </w:rPr>
            </w:pPr>
            <w:r>
              <w:rPr>
                <w:rFonts w:cs="Lucida Sans Unicode"/>
                <w:szCs w:val="20"/>
              </w:rPr>
              <w:t>44</w:t>
            </w:r>
          </w:p>
        </w:tc>
        <w:tc>
          <w:tcPr>
            <w:tcW w:w="1229" w:type="dxa"/>
            <w:tcBorders>
              <w:top w:val="nil"/>
              <w:left w:val="single" w:sz="4" w:space="0" w:color="auto"/>
              <w:bottom w:val="single" w:sz="4" w:space="0" w:color="auto"/>
              <w:right w:val="single" w:sz="4" w:space="0" w:color="auto"/>
            </w:tcBorders>
            <w:noWrap/>
            <w:vAlign w:val="center"/>
          </w:tcPr>
          <w:p w:rsidR="008A7C05" w:rsidRPr="007351D0" w:rsidRDefault="008A7C05" w:rsidP="008A7C05">
            <w:pPr>
              <w:jc w:val="right"/>
              <w:rPr>
                <w:rFonts w:cs="Lucida Sans Unicode"/>
                <w:szCs w:val="20"/>
              </w:rPr>
            </w:pPr>
            <w:r>
              <w:rPr>
                <w:rFonts w:cs="Lucida Sans Unicode"/>
                <w:szCs w:val="20"/>
              </w:rPr>
              <w:t>47</w:t>
            </w:r>
          </w:p>
        </w:tc>
        <w:tc>
          <w:tcPr>
            <w:tcW w:w="1125" w:type="dxa"/>
            <w:tcBorders>
              <w:top w:val="nil"/>
              <w:left w:val="single" w:sz="4" w:space="0" w:color="auto"/>
              <w:bottom w:val="single" w:sz="4" w:space="0" w:color="auto"/>
              <w:right w:val="single" w:sz="4" w:space="0" w:color="auto"/>
            </w:tcBorders>
            <w:noWrap/>
            <w:vAlign w:val="bottom"/>
          </w:tcPr>
          <w:p w:rsidR="008A7C05" w:rsidRPr="007351D0" w:rsidRDefault="008A7C05" w:rsidP="008A7C05">
            <w:pPr>
              <w:jc w:val="right"/>
              <w:rPr>
                <w:rFonts w:cs="Lucida Sans Unicode"/>
                <w:szCs w:val="20"/>
              </w:rPr>
            </w:pPr>
            <w:r>
              <w:rPr>
                <w:rFonts w:cs="Lucida Sans Unicode"/>
                <w:szCs w:val="20"/>
              </w:rPr>
              <w:t>-6</w:t>
            </w:r>
          </w:p>
        </w:tc>
        <w:tc>
          <w:tcPr>
            <w:tcW w:w="1114" w:type="dxa"/>
            <w:tcBorders>
              <w:top w:val="nil"/>
              <w:left w:val="nil"/>
              <w:bottom w:val="single" w:sz="4" w:space="0" w:color="auto"/>
              <w:right w:val="single" w:sz="4" w:space="0" w:color="auto"/>
            </w:tcBorders>
            <w:shd w:val="clear" w:color="auto" w:fill="C0C0C0"/>
            <w:noWrap/>
            <w:vAlign w:val="center"/>
          </w:tcPr>
          <w:p w:rsidR="008A7C05" w:rsidRPr="007351D0" w:rsidRDefault="008A7C05" w:rsidP="008A7C05">
            <w:pPr>
              <w:jc w:val="right"/>
              <w:rPr>
                <w:rFonts w:cs="Lucida Sans Unicode"/>
                <w:szCs w:val="20"/>
              </w:rPr>
            </w:pPr>
            <w:r>
              <w:rPr>
                <w:rFonts w:cs="Lucida Sans Unicode"/>
                <w:szCs w:val="20"/>
              </w:rPr>
              <w:t>-58</w:t>
            </w:r>
          </w:p>
        </w:tc>
        <w:tc>
          <w:tcPr>
            <w:tcW w:w="1243" w:type="dxa"/>
            <w:gridSpan w:val="2"/>
            <w:tcBorders>
              <w:top w:val="nil"/>
              <w:left w:val="single" w:sz="4" w:space="0" w:color="auto"/>
              <w:bottom w:val="single" w:sz="4" w:space="0" w:color="auto"/>
              <w:right w:val="single" w:sz="4" w:space="0" w:color="auto"/>
            </w:tcBorders>
            <w:noWrap/>
            <w:vAlign w:val="center"/>
          </w:tcPr>
          <w:p w:rsidR="008A7C05" w:rsidRPr="007351D0" w:rsidRDefault="008A7C05" w:rsidP="008A7C05">
            <w:pPr>
              <w:jc w:val="right"/>
              <w:rPr>
                <w:rFonts w:cs="Lucida Sans Unicode"/>
                <w:szCs w:val="20"/>
              </w:rPr>
            </w:pPr>
            <w:r>
              <w:rPr>
                <w:rFonts w:cs="Lucida Sans Unicode"/>
                <w:szCs w:val="20"/>
              </w:rPr>
              <w:t>-52</w:t>
            </w:r>
          </w:p>
        </w:tc>
        <w:tc>
          <w:tcPr>
            <w:tcW w:w="1077" w:type="dxa"/>
            <w:tcBorders>
              <w:top w:val="nil"/>
              <w:left w:val="single" w:sz="4" w:space="0" w:color="auto"/>
              <w:bottom w:val="single" w:sz="4" w:space="0" w:color="auto"/>
              <w:right w:val="single" w:sz="4" w:space="0" w:color="auto"/>
            </w:tcBorders>
            <w:noWrap/>
            <w:vAlign w:val="bottom"/>
          </w:tcPr>
          <w:p w:rsidR="008A7C05" w:rsidRPr="007351D0" w:rsidRDefault="008A7C05" w:rsidP="008A7C05">
            <w:pPr>
              <w:jc w:val="right"/>
              <w:rPr>
                <w:rFonts w:cs="Lucida Sans Unicode"/>
                <w:szCs w:val="20"/>
              </w:rPr>
            </w:pPr>
          </w:p>
        </w:tc>
      </w:tr>
      <w:tr w:rsidR="008A7C05" w:rsidRPr="007351D0" w:rsidTr="008A7C05">
        <w:trPr>
          <w:trHeight w:val="300"/>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bCs/>
                <w:szCs w:val="20"/>
              </w:rPr>
            </w:pPr>
            <w:r w:rsidRPr="007351D0">
              <w:rPr>
                <w:rFonts w:cs="Lucida Sans Unicode"/>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3.</w:t>
            </w:r>
            <w:r>
              <w:rPr>
                <w:rFonts w:cs="Lucida Sans Unicode"/>
                <w:bCs/>
                <w:szCs w:val="20"/>
              </w:rPr>
              <w:t>239</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3.3</w:t>
            </w:r>
            <w:r>
              <w:rPr>
                <w:rFonts w:cs="Lucida Sans Unicode"/>
                <w:bCs/>
                <w:szCs w:val="20"/>
              </w:rPr>
              <w:t>59</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w:t>
            </w:r>
            <w:r>
              <w:rPr>
                <w:rFonts w:cs="Lucida Sans Unicode"/>
                <w:bCs/>
                <w:szCs w:val="20"/>
              </w:rPr>
              <w:t>4</w:t>
            </w:r>
          </w:p>
        </w:tc>
        <w:tc>
          <w:tcPr>
            <w:tcW w:w="11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5</w:t>
            </w:r>
            <w:r>
              <w:rPr>
                <w:rFonts w:cs="Lucida Sans Unicode"/>
                <w:bCs/>
                <w:szCs w:val="20"/>
              </w:rPr>
              <w:t>18</w:t>
            </w:r>
          </w:p>
        </w:tc>
        <w:tc>
          <w:tcPr>
            <w:tcW w:w="1243" w:type="dxa"/>
            <w:gridSpan w:val="2"/>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7</w:t>
            </w:r>
            <w:r>
              <w:rPr>
                <w:rFonts w:cs="Lucida Sans Unicode"/>
                <w:bCs/>
                <w:szCs w:val="20"/>
              </w:rPr>
              <w:t>01</w:t>
            </w:r>
          </w:p>
        </w:tc>
        <w:tc>
          <w:tcPr>
            <w:tcW w:w="1077"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-2</w:t>
            </w:r>
            <w:r>
              <w:rPr>
                <w:rFonts w:cs="Lucida Sans Unicode"/>
                <w:bCs/>
                <w:szCs w:val="20"/>
              </w:rPr>
              <w:t>6</w:t>
            </w:r>
          </w:p>
        </w:tc>
      </w:tr>
      <w:tr w:rsidR="008A7C05" w:rsidRPr="007351D0" w:rsidTr="008A7C05">
        <w:trPr>
          <w:trHeight w:val="255"/>
        </w:trPr>
        <w:tc>
          <w:tcPr>
            <w:tcW w:w="3134" w:type="dxa"/>
            <w:tcBorders>
              <w:top w:val="single" w:sz="4" w:space="0" w:color="auto"/>
              <w:left w:val="single" w:sz="4" w:space="0" w:color="auto"/>
              <w:bottom w:val="nil"/>
              <w:right w:val="single" w:sz="4" w:space="0" w:color="auto"/>
            </w:tcBorders>
            <w:noWrap/>
            <w:vAlign w:val="center"/>
            <w:hideMark/>
          </w:tcPr>
          <w:p w:rsidR="008A7C05" w:rsidRPr="007351D0" w:rsidRDefault="008A7C05" w:rsidP="008A7C05">
            <w:pPr>
              <w:jc w:val="right"/>
              <w:rPr>
                <w:rFonts w:cs="Lucida Sans Unicode"/>
                <w:b/>
                <w:bCs/>
                <w:szCs w:val="20"/>
              </w:rPr>
            </w:pPr>
            <w:r w:rsidRPr="007351D0">
              <w:rPr>
                <w:rFonts w:cs="Lucida Sans Unicode"/>
                <w:b/>
                <w:bCs/>
                <w:szCs w:val="20"/>
              </w:rPr>
              <w:t> </w:t>
            </w:r>
          </w:p>
        </w:tc>
        <w:tc>
          <w:tcPr>
            <w:tcW w:w="3568" w:type="dxa"/>
            <w:gridSpan w:val="3"/>
            <w:tcBorders>
              <w:top w:val="single" w:sz="4" w:space="0" w:color="auto"/>
              <w:left w:val="nil"/>
              <w:bottom w:val="single" w:sz="4" w:space="0" w:color="auto"/>
              <w:right w:val="single" w:sz="4" w:space="0" w:color="auto"/>
            </w:tcBorders>
            <w:noWrap/>
            <w:vAlign w:val="bottom"/>
            <w:hideMark/>
          </w:tcPr>
          <w:p w:rsidR="008A7C05" w:rsidRPr="007351D0" w:rsidRDefault="008A7C05" w:rsidP="008A7C05">
            <w:pPr>
              <w:jc w:val="center"/>
              <w:rPr>
                <w:rFonts w:cs="Lucida Sans Unicode"/>
                <w:b/>
                <w:bCs/>
                <w:szCs w:val="20"/>
              </w:rPr>
            </w:pPr>
            <w:r w:rsidRPr="007351D0">
              <w:rPr>
                <w:rFonts w:cs="Lucida Sans Unicode"/>
                <w:b/>
                <w:bCs/>
                <w:szCs w:val="20"/>
              </w:rPr>
              <w:t>Umsatz</w:t>
            </w:r>
          </w:p>
        </w:tc>
        <w:tc>
          <w:tcPr>
            <w:tcW w:w="3434" w:type="dxa"/>
            <w:gridSpan w:val="4"/>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center"/>
              <w:rPr>
                <w:rFonts w:cs="Lucida Sans Unicode"/>
                <w:b/>
                <w:bCs/>
                <w:szCs w:val="20"/>
              </w:rPr>
            </w:pPr>
            <w:r w:rsidRPr="007351D0">
              <w:rPr>
                <w:rFonts w:cs="Lucida Sans Unicode"/>
                <w:b/>
                <w:bCs/>
                <w:szCs w:val="20"/>
              </w:rPr>
              <w:t>Bereinigtes EBITDA</w:t>
            </w:r>
          </w:p>
        </w:tc>
      </w:tr>
      <w:tr w:rsidR="008A7C05" w:rsidRPr="007351D0" w:rsidTr="008A7C05">
        <w:trPr>
          <w:trHeight w:val="255"/>
        </w:trPr>
        <w:tc>
          <w:tcPr>
            <w:tcW w:w="3134" w:type="dxa"/>
            <w:tcBorders>
              <w:top w:val="nil"/>
              <w:left w:val="single" w:sz="4" w:space="0" w:color="auto"/>
              <w:bottom w:val="nil"/>
              <w:right w:val="single" w:sz="4" w:space="0" w:color="auto"/>
            </w:tcBorders>
            <w:noWrap/>
            <w:vAlign w:val="center"/>
          </w:tcPr>
          <w:p w:rsidR="008A7C05" w:rsidRPr="007351D0" w:rsidRDefault="008A7C05" w:rsidP="008A7C05">
            <w:pPr>
              <w:rPr>
                <w:rFonts w:cs="Lucida Sans Unicode"/>
                <w:b/>
                <w:bCs/>
                <w:szCs w:val="20"/>
              </w:rPr>
            </w:pPr>
          </w:p>
        </w:tc>
        <w:tc>
          <w:tcPr>
            <w:tcW w:w="1214" w:type="dxa"/>
            <w:tcBorders>
              <w:top w:val="single" w:sz="4" w:space="0" w:color="auto"/>
              <w:left w:val="nil"/>
              <w:bottom w:val="nil"/>
              <w:right w:val="single" w:sz="4" w:space="0" w:color="auto"/>
            </w:tcBorders>
            <w:shd w:val="clear" w:color="auto" w:fill="C0C0C0"/>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9 M 2013</w:t>
            </w:r>
          </w:p>
        </w:tc>
        <w:tc>
          <w:tcPr>
            <w:tcW w:w="1229" w:type="dxa"/>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9 M 2012</w:t>
            </w:r>
          </w:p>
        </w:tc>
        <w:tc>
          <w:tcPr>
            <w:tcW w:w="1125" w:type="dxa"/>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c>
          <w:tcPr>
            <w:tcW w:w="1114" w:type="dxa"/>
            <w:tcBorders>
              <w:top w:val="single" w:sz="4" w:space="0" w:color="auto"/>
              <w:left w:val="nil"/>
              <w:bottom w:val="nil"/>
              <w:right w:val="single" w:sz="4" w:space="0" w:color="auto"/>
            </w:tcBorders>
            <w:shd w:val="clear" w:color="auto" w:fill="C0C0C0"/>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9 M 2013</w:t>
            </w:r>
          </w:p>
        </w:tc>
        <w:tc>
          <w:tcPr>
            <w:tcW w:w="1198" w:type="dxa"/>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9 M 2012</w:t>
            </w:r>
          </w:p>
        </w:tc>
        <w:tc>
          <w:tcPr>
            <w:tcW w:w="1122" w:type="dxa"/>
            <w:gridSpan w:val="2"/>
            <w:tcBorders>
              <w:top w:val="single" w:sz="4" w:space="0" w:color="auto"/>
              <w:left w:val="single" w:sz="4" w:space="0" w:color="auto"/>
              <w:bottom w:val="nil"/>
              <w:right w:val="single" w:sz="4" w:space="0" w:color="auto"/>
            </w:tcBorders>
            <w:noWrap/>
            <w:vAlign w:val="bottom"/>
            <w:hideMark/>
          </w:tcPr>
          <w:p w:rsidR="008A7C05" w:rsidRPr="007351D0" w:rsidRDefault="008A7C05" w:rsidP="008A7C05">
            <w:pPr>
              <w:jc w:val="center"/>
              <w:rPr>
                <w:rFonts w:cs="Lucida Sans Unicode"/>
                <w:b/>
                <w:bCs/>
                <w:spacing w:val="-6"/>
                <w:szCs w:val="20"/>
              </w:rPr>
            </w:pPr>
            <w:proofErr w:type="spellStart"/>
            <w:r w:rsidRPr="007351D0">
              <w:rPr>
                <w:rFonts w:cs="Lucida Sans Unicode"/>
                <w:b/>
                <w:bCs/>
                <w:spacing w:val="-6"/>
                <w:szCs w:val="20"/>
              </w:rPr>
              <w:t>Veränd</w:t>
            </w:r>
            <w:proofErr w:type="spellEnd"/>
            <w:r w:rsidRPr="007351D0">
              <w:rPr>
                <w:rFonts w:cs="Lucida Sans Unicode"/>
                <w:b/>
                <w:bCs/>
                <w:spacing w:val="-6"/>
                <w:szCs w:val="20"/>
              </w:rPr>
              <w:t>.</w:t>
            </w:r>
          </w:p>
        </w:tc>
      </w:tr>
      <w:tr w:rsidR="008A7C05" w:rsidRPr="007351D0" w:rsidTr="008A7C05">
        <w:trPr>
          <w:trHeight w:val="255"/>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b/>
                <w:bCs/>
                <w:szCs w:val="20"/>
              </w:rPr>
            </w:pPr>
            <w:r w:rsidRPr="007351D0">
              <w:rPr>
                <w:rFonts w:cs="Lucida Sans Unicode"/>
                <w:b/>
                <w:bCs/>
                <w:szCs w:val="20"/>
              </w:rPr>
              <w:t> </w:t>
            </w:r>
          </w:p>
        </w:tc>
        <w:tc>
          <w:tcPr>
            <w:tcW w:w="1214" w:type="dxa"/>
            <w:tcBorders>
              <w:top w:val="nil"/>
              <w:left w:val="nil"/>
              <w:bottom w:val="single" w:sz="4" w:space="0" w:color="auto"/>
              <w:right w:val="single" w:sz="4" w:space="0" w:color="auto"/>
            </w:tcBorders>
            <w:shd w:val="clear" w:color="auto" w:fill="C0C0C0"/>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229" w:type="dxa"/>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125" w:type="dxa"/>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in %</w:t>
            </w:r>
          </w:p>
        </w:tc>
        <w:tc>
          <w:tcPr>
            <w:tcW w:w="1114" w:type="dxa"/>
            <w:tcBorders>
              <w:top w:val="nil"/>
              <w:left w:val="nil"/>
              <w:bottom w:val="single" w:sz="4" w:space="0" w:color="auto"/>
              <w:right w:val="single" w:sz="4" w:space="0" w:color="auto"/>
            </w:tcBorders>
            <w:shd w:val="clear" w:color="auto" w:fill="C0C0C0"/>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198" w:type="dxa"/>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Mio. Euro</w:t>
            </w:r>
          </w:p>
        </w:tc>
        <w:tc>
          <w:tcPr>
            <w:tcW w:w="1122" w:type="dxa"/>
            <w:gridSpan w:val="2"/>
            <w:tcBorders>
              <w:top w:val="nil"/>
              <w:left w:val="single" w:sz="4" w:space="0" w:color="auto"/>
              <w:bottom w:val="single" w:sz="4" w:space="0" w:color="auto"/>
              <w:right w:val="single" w:sz="4" w:space="0" w:color="auto"/>
            </w:tcBorders>
            <w:vAlign w:val="center"/>
            <w:hideMark/>
          </w:tcPr>
          <w:p w:rsidR="008A7C05" w:rsidRPr="007351D0" w:rsidRDefault="008A7C05" w:rsidP="008A7C05">
            <w:pPr>
              <w:jc w:val="center"/>
              <w:rPr>
                <w:rFonts w:cs="Lucida Sans Unicode"/>
                <w:b/>
                <w:bCs/>
                <w:spacing w:val="-6"/>
                <w:szCs w:val="20"/>
              </w:rPr>
            </w:pPr>
            <w:r w:rsidRPr="007351D0">
              <w:rPr>
                <w:rFonts w:cs="Lucida Sans Unicode"/>
                <w:b/>
                <w:bCs/>
                <w:spacing w:val="-6"/>
                <w:szCs w:val="20"/>
              </w:rPr>
              <w:t>in %</w:t>
            </w:r>
          </w:p>
        </w:tc>
      </w:tr>
      <w:tr w:rsidR="008A7C05" w:rsidRPr="007351D0" w:rsidTr="008A7C05">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 xml:space="preserve">Consumer, </w:t>
            </w:r>
            <w:proofErr w:type="spellStart"/>
            <w:r w:rsidRPr="007351D0">
              <w:rPr>
                <w:rFonts w:cs="Lucida Sans Unicode"/>
                <w:szCs w:val="20"/>
              </w:rPr>
              <w:t>Health</w:t>
            </w:r>
            <w:proofErr w:type="spellEnd"/>
            <w:r w:rsidRPr="007351D0">
              <w:rPr>
                <w:rFonts w:cs="Lucida Sans Unicode"/>
                <w:szCs w:val="20"/>
              </w:rPr>
              <w:t xml:space="preserve"> &amp; Nutrition</w:t>
            </w:r>
          </w:p>
        </w:tc>
        <w:tc>
          <w:tcPr>
            <w:tcW w:w="12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3.135</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3.165</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w:t>
            </w:r>
          </w:p>
        </w:tc>
        <w:tc>
          <w:tcPr>
            <w:tcW w:w="11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706</w:t>
            </w:r>
          </w:p>
        </w:tc>
        <w:tc>
          <w:tcPr>
            <w:tcW w:w="1198"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826</w:t>
            </w:r>
          </w:p>
        </w:tc>
        <w:tc>
          <w:tcPr>
            <w:tcW w:w="1122" w:type="dxa"/>
            <w:gridSpan w:val="2"/>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-15</w:t>
            </w:r>
          </w:p>
        </w:tc>
      </w:tr>
      <w:tr w:rsidR="008A7C05" w:rsidRPr="007351D0" w:rsidTr="008A7C05">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Resource Efficiency</w:t>
            </w:r>
          </w:p>
        </w:tc>
        <w:tc>
          <w:tcPr>
            <w:tcW w:w="12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2.367</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2.440</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-3</w:t>
            </w:r>
          </w:p>
        </w:tc>
        <w:tc>
          <w:tcPr>
            <w:tcW w:w="11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516</w:t>
            </w:r>
          </w:p>
        </w:tc>
        <w:tc>
          <w:tcPr>
            <w:tcW w:w="1198"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546</w:t>
            </w:r>
          </w:p>
        </w:tc>
        <w:tc>
          <w:tcPr>
            <w:tcW w:w="1122" w:type="dxa"/>
            <w:gridSpan w:val="2"/>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-5</w:t>
            </w:r>
          </w:p>
        </w:tc>
      </w:tr>
      <w:tr w:rsidR="008A7C05" w:rsidRPr="007351D0" w:rsidTr="008A7C05">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Specialty Materials</w:t>
            </w:r>
          </w:p>
        </w:tc>
        <w:tc>
          <w:tcPr>
            <w:tcW w:w="12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3.430</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3.720</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-8</w:t>
            </w:r>
          </w:p>
        </w:tc>
        <w:tc>
          <w:tcPr>
            <w:tcW w:w="11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457</w:t>
            </w:r>
          </w:p>
        </w:tc>
        <w:tc>
          <w:tcPr>
            <w:tcW w:w="1198"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679</w:t>
            </w:r>
          </w:p>
        </w:tc>
        <w:tc>
          <w:tcPr>
            <w:tcW w:w="1122" w:type="dxa"/>
            <w:gridSpan w:val="2"/>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-33</w:t>
            </w:r>
          </w:p>
        </w:tc>
      </w:tr>
      <w:tr w:rsidR="008A7C05" w:rsidRPr="007351D0" w:rsidTr="008A7C05">
        <w:trPr>
          <w:trHeight w:val="255"/>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351D0">
              <w:rPr>
                <w:rFonts w:cs="Lucida Sans Unicode"/>
                <w:szCs w:val="20"/>
              </w:rPr>
              <w:t>Services</w:t>
            </w:r>
          </w:p>
        </w:tc>
        <w:tc>
          <w:tcPr>
            <w:tcW w:w="12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678</w:t>
            </w:r>
          </w:p>
        </w:tc>
        <w:tc>
          <w:tcPr>
            <w:tcW w:w="1229"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729</w:t>
            </w:r>
          </w:p>
        </w:tc>
        <w:tc>
          <w:tcPr>
            <w:tcW w:w="1125" w:type="dxa"/>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-7</w:t>
            </w:r>
          </w:p>
        </w:tc>
        <w:tc>
          <w:tcPr>
            <w:tcW w:w="1114" w:type="dxa"/>
            <w:tcBorders>
              <w:top w:val="nil"/>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szCs w:val="20"/>
              </w:rPr>
            </w:pPr>
            <w:r w:rsidRPr="007351D0">
              <w:rPr>
                <w:rFonts w:cs="Lucida Sans Unicode"/>
                <w:szCs w:val="20"/>
              </w:rPr>
              <w:t>157</w:t>
            </w:r>
          </w:p>
        </w:tc>
        <w:tc>
          <w:tcPr>
            <w:tcW w:w="1198"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szCs w:val="20"/>
              </w:rPr>
            </w:pPr>
            <w:r w:rsidRPr="007351D0">
              <w:rPr>
                <w:rFonts w:cs="Lucida Sans Unicode"/>
                <w:szCs w:val="20"/>
              </w:rPr>
              <w:t>152</w:t>
            </w:r>
          </w:p>
        </w:tc>
        <w:tc>
          <w:tcPr>
            <w:tcW w:w="1122" w:type="dxa"/>
            <w:gridSpan w:val="2"/>
            <w:tcBorders>
              <w:top w:val="nil"/>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szCs w:val="20"/>
              </w:rPr>
            </w:pPr>
            <w:r w:rsidRPr="007351D0">
              <w:rPr>
                <w:rFonts w:cs="Lucida Sans Unicode"/>
                <w:szCs w:val="20"/>
              </w:rPr>
              <w:t>3</w:t>
            </w:r>
          </w:p>
        </w:tc>
      </w:tr>
      <w:tr w:rsidR="008A7C05" w:rsidRPr="007351D0" w:rsidTr="008A7C05">
        <w:trPr>
          <w:trHeight w:val="255"/>
        </w:trPr>
        <w:tc>
          <w:tcPr>
            <w:tcW w:w="3134" w:type="dxa"/>
            <w:tcBorders>
              <w:top w:val="nil"/>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szCs w:val="20"/>
              </w:rPr>
            </w:pPr>
            <w:r w:rsidRPr="00725E7B">
              <w:rPr>
                <w:rFonts w:cs="Lucida Sans Unicode"/>
                <w:szCs w:val="20"/>
              </w:rPr>
              <w:t>Sonstige Aktivitäten</w:t>
            </w:r>
          </w:p>
        </w:tc>
        <w:tc>
          <w:tcPr>
            <w:tcW w:w="1214" w:type="dxa"/>
            <w:tcBorders>
              <w:top w:val="nil"/>
              <w:left w:val="nil"/>
              <w:bottom w:val="single" w:sz="4" w:space="0" w:color="auto"/>
              <w:right w:val="single" w:sz="4" w:space="0" w:color="auto"/>
            </w:tcBorders>
            <w:shd w:val="clear" w:color="auto" w:fill="C0C0C0"/>
            <w:noWrap/>
            <w:vAlign w:val="center"/>
          </w:tcPr>
          <w:p w:rsidR="008A7C05" w:rsidRPr="007351D0" w:rsidRDefault="008A7C05" w:rsidP="008A7C05">
            <w:pPr>
              <w:jc w:val="right"/>
              <w:rPr>
                <w:rFonts w:cs="Lucida Sans Unicode"/>
                <w:szCs w:val="20"/>
              </w:rPr>
            </w:pPr>
            <w:r>
              <w:rPr>
                <w:rFonts w:cs="Lucida Sans Unicode"/>
                <w:szCs w:val="20"/>
              </w:rPr>
              <w:t>129</w:t>
            </w:r>
          </w:p>
        </w:tc>
        <w:tc>
          <w:tcPr>
            <w:tcW w:w="1229" w:type="dxa"/>
            <w:tcBorders>
              <w:top w:val="nil"/>
              <w:left w:val="single" w:sz="4" w:space="0" w:color="auto"/>
              <w:bottom w:val="single" w:sz="4" w:space="0" w:color="auto"/>
              <w:right w:val="single" w:sz="4" w:space="0" w:color="auto"/>
            </w:tcBorders>
            <w:noWrap/>
            <w:vAlign w:val="center"/>
          </w:tcPr>
          <w:p w:rsidR="008A7C05" w:rsidRPr="007351D0" w:rsidRDefault="008A7C05" w:rsidP="008A7C05">
            <w:pPr>
              <w:jc w:val="right"/>
              <w:rPr>
                <w:rFonts w:cs="Lucida Sans Unicode"/>
                <w:szCs w:val="20"/>
              </w:rPr>
            </w:pPr>
            <w:r>
              <w:rPr>
                <w:rFonts w:cs="Lucida Sans Unicode"/>
                <w:szCs w:val="20"/>
              </w:rPr>
              <w:t>132</w:t>
            </w:r>
          </w:p>
        </w:tc>
        <w:tc>
          <w:tcPr>
            <w:tcW w:w="1125" w:type="dxa"/>
            <w:tcBorders>
              <w:top w:val="nil"/>
              <w:left w:val="single" w:sz="4" w:space="0" w:color="auto"/>
              <w:bottom w:val="single" w:sz="4" w:space="0" w:color="auto"/>
              <w:right w:val="single" w:sz="4" w:space="0" w:color="auto"/>
            </w:tcBorders>
            <w:noWrap/>
            <w:vAlign w:val="bottom"/>
          </w:tcPr>
          <w:p w:rsidR="008A7C05" w:rsidRPr="007351D0" w:rsidRDefault="008A7C05" w:rsidP="008A7C05">
            <w:pPr>
              <w:jc w:val="right"/>
              <w:rPr>
                <w:rFonts w:cs="Lucida Sans Unicode"/>
                <w:szCs w:val="20"/>
              </w:rPr>
            </w:pPr>
            <w:r>
              <w:rPr>
                <w:rFonts w:cs="Lucida Sans Unicode"/>
                <w:szCs w:val="20"/>
              </w:rPr>
              <w:t>-2</w:t>
            </w:r>
          </w:p>
        </w:tc>
        <w:tc>
          <w:tcPr>
            <w:tcW w:w="1114" w:type="dxa"/>
            <w:tcBorders>
              <w:top w:val="nil"/>
              <w:left w:val="nil"/>
              <w:bottom w:val="single" w:sz="4" w:space="0" w:color="auto"/>
              <w:right w:val="single" w:sz="4" w:space="0" w:color="auto"/>
            </w:tcBorders>
            <w:shd w:val="clear" w:color="auto" w:fill="C0C0C0"/>
            <w:noWrap/>
            <w:vAlign w:val="center"/>
          </w:tcPr>
          <w:p w:rsidR="008A7C05" w:rsidRPr="007351D0" w:rsidRDefault="008A7C05" w:rsidP="008A7C05">
            <w:pPr>
              <w:jc w:val="right"/>
              <w:rPr>
                <w:rFonts w:cs="Lucida Sans Unicode"/>
                <w:szCs w:val="20"/>
              </w:rPr>
            </w:pPr>
            <w:r>
              <w:rPr>
                <w:rFonts w:cs="Lucida Sans Unicode"/>
                <w:szCs w:val="20"/>
              </w:rPr>
              <w:t>-214</w:t>
            </w:r>
          </w:p>
        </w:tc>
        <w:tc>
          <w:tcPr>
            <w:tcW w:w="1198" w:type="dxa"/>
            <w:tcBorders>
              <w:top w:val="nil"/>
              <w:left w:val="single" w:sz="4" w:space="0" w:color="auto"/>
              <w:bottom w:val="single" w:sz="4" w:space="0" w:color="auto"/>
              <w:right w:val="single" w:sz="4" w:space="0" w:color="auto"/>
            </w:tcBorders>
            <w:noWrap/>
            <w:vAlign w:val="center"/>
          </w:tcPr>
          <w:p w:rsidR="008A7C05" w:rsidRPr="007351D0" w:rsidRDefault="008A7C05" w:rsidP="008A7C05">
            <w:pPr>
              <w:jc w:val="right"/>
              <w:rPr>
                <w:rFonts w:cs="Lucida Sans Unicode"/>
                <w:szCs w:val="20"/>
              </w:rPr>
            </w:pPr>
            <w:r>
              <w:rPr>
                <w:rFonts w:cs="Lucida Sans Unicode"/>
                <w:szCs w:val="20"/>
              </w:rPr>
              <w:t>-189</w:t>
            </w:r>
          </w:p>
        </w:tc>
        <w:tc>
          <w:tcPr>
            <w:tcW w:w="1122" w:type="dxa"/>
            <w:gridSpan w:val="2"/>
            <w:tcBorders>
              <w:top w:val="nil"/>
              <w:left w:val="single" w:sz="4" w:space="0" w:color="auto"/>
              <w:bottom w:val="single" w:sz="4" w:space="0" w:color="auto"/>
              <w:right w:val="single" w:sz="4" w:space="0" w:color="auto"/>
            </w:tcBorders>
            <w:noWrap/>
            <w:vAlign w:val="bottom"/>
          </w:tcPr>
          <w:p w:rsidR="008A7C05" w:rsidRPr="007351D0" w:rsidRDefault="008A7C05" w:rsidP="008A7C05">
            <w:pPr>
              <w:jc w:val="right"/>
              <w:rPr>
                <w:rFonts w:cs="Lucida Sans Unicode"/>
                <w:szCs w:val="20"/>
              </w:rPr>
            </w:pPr>
          </w:p>
        </w:tc>
      </w:tr>
      <w:tr w:rsidR="008A7C05" w:rsidRPr="007351D0" w:rsidTr="008A7C05">
        <w:trPr>
          <w:trHeight w:val="255"/>
        </w:trPr>
        <w:tc>
          <w:tcPr>
            <w:tcW w:w="3134"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rPr>
                <w:rFonts w:cs="Lucida Sans Unicode"/>
                <w:bCs/>
                <w:szCs w:val="20"/>
              </w:rPr>
            </w:pPr>
            <w:r w:rsidRPr="007351D0">
              <w:rPr>
                <w:rFonts w:cs="Lucida Sans Unicode"/>
                <w:bCs/>
                <w:szCs w:val="20"/>
              </w:rPr>
              <w:t>Konzern</w:t>
            </w:r>
          </w:p>
        </w:tc>
        <w:tc>
          <w:tcPr>
            <w:tcW w:w="12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9.</w:t>
            </w:r>
            <w:r>
              <w:rPr>
                <w:rFonts w:cs="Lucida Sans Unicode"/>
                <w:bCs/>
                <w:szCs w:val="20"/>
              </w:rPr>
              <w:t>739</w:t>
            </w:r>
          </w:p>
        </w:tc>
        <w:tc>
          <w:tcPr>
            <w:tcW w:w="1229"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10.</w:t>
            </w:r>
            <w:r>
              <w:rPr>
                <w:rFonts w:cs="Lucida Sans Unicode"/>
                <w:bCs/>
                <w:szCs w:val="20"/>
              </w:rPr>
              <w:t>186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-4</w:t>
            </w:r>
          </w:p>
        </w:tc>
        <w:tc>
          <w:tcPr>
            <w:tcW w:w="1114" w:type="dxa"/>
            <w:tcBorders>
              <w:top w:val="single" w:sz="4" w:space="0" w:color="auto"/>
              <w:left w:val="nil"/>
              <w:bottom w:val="single" w:sz="4" w:space="0" w:color="auto"/>
              <w:right w:val="single" w:sz="4" w:space="0" w:color="auto"/>
            </w:tcBorders>
            <w:shd w:val="clear" w:color="auto" w:fill="C0C0C0"/>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1.</w:t>
            </w:r>
            <w:r>
              <w:rPr>
                <w:rFonts w:cs="Lucida Sans Unicode"/>
                <w:bCs/>
                <w:szCs w:val="20"/>
              </w:rPr>
              <w:t>622</w:t>
            </w:r>
          </w:p>
        </w:tc>
        <w:tc>
          <w:tcPr>
            <w:tcW w:w="1198" w:type="dxa"/>
            <w:tcBorders>
              <w:top w:val="single" w:sz="4" w:space="0" w:color="auto"/>
              <w:left w:val="single" w:sz="4" w:space="0" w:color="auto"/>
              <w:bottom w:val="single" w:sz="4" w:space="0" w:color="auto"/>
              <w:right w:val="single" w:sz="4" w:space="0" w:color="auto"/>
            </w:tcBorders>
            <w:noWrap/>
            <w:vAlign w:val="center"/>
            <w:hideMark/>
          </w:tcPr>
          <w:p w:rsidR="008A7C05" w:rsidRPr="007351D0" w:rsidRDefault="008A7C05" w:rsidP="008A7C05">
            <w:pPr>
              <w:jc w:val="right"/>
              <w:rPr>
                <w:rFonts w:cs="Lucida Sans Unicode"/>
                <w:bCs/>
                <w:szCs w:val="20"/>
              </w:rPr>
            </w:pPr>
            <w:r w:rsidRPr="007351D0">
              <w:rPr>
                <w:rFonts w:cs="Lucida Sans Unicode"/>
                <w:bCs/>
                <w:szCs w:val="20"/>
              </w:rPr>
              <w:t>2.</w:t>
            </w:r>
            <w:r>
              <w:rPr>
                <w:rFonts w:cs="Lucida Sans Unicode"/>
                <w:bCs/>
                <w:szCs w:val="20"/>
              </w:rPr>
              <w:t>014</w:t>
            </w:r>
          </w:p>
        </w:tc>
        <w:tc>
          <w:tcPr>
            <w:tcW w:w="1122" w:type="dxa"/>
            <w:gridSpan w:val="2"/>
            <w:tcBorders>
              <w:top w:val="single" w:sz="4" w:space="0" w:color="auto"/>
              <w:left w:val="single" w:sz="4" w:space="0" w:color="auto"/>
              <w:bottom w:val="single" w:sz="4" w:space="0" w:color="auto"/>
              <w:right w:val="single" w:sz="4" w:space="0" w:color="auto"/>
            </w:tcBorders>
            <w:noWrap/>
            <w:vAlign w:val="bottom"/>
            <w:hideMark/>
          </w:tcPr>
          <w:p w:rsidR="008A7C05" w:rsidRPr="007351D0" w:rsidRDefault="008A7C05" w:rsidP="008A7C05">
            <w:pPr>
              <w:jc w:val="right"/>
              <w:rPr>
                <w:rFonts w:cs="Lucida Sans Unicode"/>
                <w:bCs/>
                <w:szCs w:val="20"/>
              </w:rPr>
            </w:pPr>
            <w:r w:rsidRPr="007351D0">
              <w:rPr>
                <w:rFonts w:cs="Lucida Sans Unicode"/>
                <w:bCs/>
                <w:szCs w:val="20"/>
              </w:rPr>
              <w:t>-1</w:t>
            </w:r>
            <w:r>
              <w:rPr>
                <w:rFonts w:cs="Lucida Sans Unicode"/>
                <w:bCs/>
                <w:szCs w:val="20"/>
              </w:rPr>
              <w:t>9</w:t>
            </w:r>
          </w:p>
        </w:tc>
      </w:tr>
    </w:tbl>
    <w:p w:rsidR="008A7C05" w:rsidRPr="00725E7B" w:rsidRDefault="008A7C05" w:rsidP="008A7C05">
      <w:pPr>
        <w:jc w:val="both"/>
        <w:rPr>
          <w:rFonts w:cs="Lucida Sans Unicode"/>
          <w:sz w:val="16"/>
          <w:szCs w:val="16"/>
        </w:rPr>
      </w:pPr>
      <w:r w:rsidRPr="00725E7B">
        <w:rPr>
          <w:rFonts w:cs="Lucida Sans Unicode"/>
          <w:sz w:val="16"/>
          <w:szCs w:val="16"/>
        </w:rPr>
        <w:t>Fortgeführte Aktivitäten; Vorjahreszahlen angepasst</w:t>
      </w:r>
    </w:p>
    <w:p w:rsidR="008A7C05" w:rsidRPr="007351D0" w:rsidRDefault="008A7C05" w:rsidP="008A7C05">
      <w:pPr>
        <w:jc w:val="both"/>
        <w:outlineLvl w:val="0"/>
        <w:rPr>
          <w:rFonts w:cs="Lucida Sans Unicode"/>
          <w:b/>
          <w:sz w:val="20"/>
          <w:szCs w:val="20"/>
        </w:rPr>
      </w:pPr>
    </w:p>
    <w:p w:rsidR="008A7C05" w:rsidRPr="007351D0" w:rsidRDefault="008A7C05" w:rsidP="008A7C05">
      <w:pPr>
        <w:jc w:val="both"/>
        <w:outlineLvl w:val="0"/>
        <w:rPr>
          <w:rFonts w:cs="Lucida Sans Unicode"/>
          <w:b/>
          <w:sz w:val="20"/>
          <w:szCs w:val="20"/>
        </w:rPr>
      </w:pPr>
    </w:p>
    <w:p w:rsidR="008A7C05" w:rsidRPr="007351D0" w:rsidRDefault="008A7C05" w:rsidP="008A7C05">
      <w:pPr>
        <w:spacing w:line="240" w:lineRule="auto"/>
        <w:rPr>
          <w:rFonts w:cs="Lucida Sans Unicode"/>
          <w:b/>
          <w:sz w:val="20"/>
          <w:szCs w:val="20"/>
        </w:rPr>
      </w:pPr>
      <w:r w:rsidRPr="007351D0">
        <w:rPr>
          <w:rFonts w:cs="Lucida Sans Unicode"/>
          <w:b/>
          <w:sz w:val="20"/>
          <w:szCs w:val="20"/>
        </w:rPr>
        <w:br w:type="page"/>
      </w:r>
    </w:p>
    <w:p w:rsidR="008A7C05" w:rsidRPr="007351D0" w:rsidRDefault="008A7C05" w:rsidP="008A7C05">
      <w:pPr>
        <w:jc w:val="both"/>
        <w:outlineLvl w:val="0"/>
        <w:rPr>
          <w:rFonts w:cs="Lucida Sans Unicode"/>
          <w:b/>
          <w:sz w:val="20"/>
          <w:szCs w:val="20"/>
        </w:rPr>
      </w:pPr>
      <w:r w:rsidRPr="007351D0">
        <w:rPr>
          <w:rFonts w:cs="Lucida Sans Unicode"/>
          <w:b/>
          <w:sz w:val="20"/>
          <w:szCs w:val="20"/>
        </w:rPr>
        <w:lastRenderedPageBreak/>
        <w:t>Mitarbeiter nach Segmenten</w:t>
      </w:r>
    </w:p>
    <w:p w:rsidR="008A7C05" w:rsidRPr="007351D0" w:rsidRDefault="008A7C05" w:rsidP="008A7C05">
      <w:pPr>
        <w:spacing w:line="100" w:lineRule="exact"/>
        <w:jc w:val="both"/>
        <w:outlineLvl w:val="0"/>
        <w:rPr>
          <w:sz w:val="20"/>
          <w:szCs w:val="20"/>
        </w:rPr>
      </w:pPr>
    </w:p>
    <w:tbl>
      <w:tblPr>
        <w:tblStyle w:val="Tabellenraster"/>
        <w:tblW w:w="8123" w:type="dxa"/>
        <w:tblInd w:w="108" w:type="dxa"/>
        <w:tblLook w:val="01E0" w:firstRow="1" w:lastRow="1" w:firstColumn="1" w:lastColumn="1" w:noHBand="0" w:noVBand="0"/>
      </w:tblPr>
      <w:tblGrid>
        <w:gridCol w:w="4594"/>
        <w:gridCol w:w="1722"/>
        <w:gridCol w:w="1807"/>
      </w:tblGrid>
      <w:tr w:rsidR="008A7C05" w:rsidRPr="007351D0" w:rsidTr="008A7C05">
        <w:tc>
          <w:tcPr>
            <w:tcW w:w="4594" w:type="dxa"/>
            <w:tcBorders>
              <w:top w:val="single" w:sz="4" w:space="0" w:color="auto"/>
              <w:left w:val="single" w:sz="4" w:space="0" w:color="auto"/>
              <w:bottom w:val="single" w:sz="4" w:space="0" w:color="auto"/>
              <w:right w:val="single" w:sz="4" w:space="0" w:color="auto"/>
            </w:tcBorders>
          </w:tcPr>
          <w:p w:rsidR="008A7C05" w:rsidRPr="007351D0" w:rsidRDefault="008A7C05" w:rsidP="008A7C05">
            <w:pPr>
              <w:jc w:val="both"/>
              <w:rPr>
                <w:rFonts w:cs="Lucida Sans Unicode"/>
              </w:rPr>
            </w:pP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center"/>
              <w:rPr>
                <w:rFonts w:cs="Lucida Sans Unicode"/>
                <w:b/>
              </w:rPr>
            </w:pPr>
            <w:r w:rsidRPr="007351D0">
              <w:rPr>
                <w:rFonts w:cs="Lucida Sans Unicode"/>
                <w:b/>
              </w:rPr>
              <w:t>30.09.2013</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center"/>
              <w:rPr>
                <w:rFonts w:cs="Lucida Sans Unicode"/>
                <w:b/>
                <w:lang w:val="en-GB"/>
              </w:rPr>
            </w:pPr>
            <w:r w:rsidRPr="007351D0">
              <w:rPr>
                <w:rFonts w:cs="Lucida Sans Unicode"/>
                <w:b/>
                <w:lang w:val="en-GB"/>
              </w:rPr>
              <w:t>31.12.2012</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lang w:val="en-GB"/>
              </w:rPr>
            </w:pPr>
            <w:r w:rsidRPr="007351D0">
              <w:rPr>
                <w:rFonts w:cs="Lucida Sans Unicode"/>
                <w:lang w:val="en-GB"/>
              </w:rPr>
              <w:t>Consumer, Health &amp; Nutrition</w:t>
            </w: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lang w:val="en-GB"/>
              </w:rPr>
            </w:pPr>
            <w:r w:rsidRPr="007351D0">
              <w:rPr>
                <w:rFonts w:cs="Lucida Sans Unicode"/>
                <w:szCs w:val="16"/>
              </w:rPr>
              <w:t>7.116</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lang w:val="en-GB"/>
              </w:rPr>
            </w:pPr>
            <w:r w:rsidRPr="007351D0">
              <w:rPr>
                <w:rFonts w:cs="Lucida Sans Unicode"/>
                <w:szCs w:val="16"/>
              </w:rPr>
              <w:t>6.821</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lang w:val="en-GB"/>
              </w:rPr>
            </w:pPr>
            <w:r w:rsidRPr="007351D0">
              <w:rPr>
                <w:rFonts w:cs="Lucida Sans Unicode"/>
                <w:lang w:val="en-GB"/>
              </w:rPr>
              <w:t>Resource Efficiency</w:t>
            </w: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lang w:val="en-GB"/>
              </w:rPr>
            </w:pPr>
            <w:r w:rsidRPr="007351D0">
              <w:rPr>
                <w:rFonts w:cs="Lucida Sans Unicode"/>
                <w:szCs w:val="16"/>
              </w:rPr>
              <w:t>5.873</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lang w:val="en-GB"/>
              </w:rPr>
            </w:pPr>
            <w:r w:rsidRPr="007351D0">
              <w:rPr>
                <w:rFonts w:cs="Lucida Sans Unicode"/>
                <w:szCs w:val="16"/>
              </w:rPr>
              <w:t>5.755</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lang w:val="en-GB"/>
              </w:rPr>
            </w:pPr>
            <w:r w:rsidRPr="007351D0">
              <w:rPr>
                <w:rFonts w:cs="Lucida Sans Unicode"/>
                <w:lang w:val="en-GB"/>
              </w:rPr>
              <w:t>Specialty Materials</w:t>
            </w: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lang w:val="en-GB"/>
              </w:rPr>
            </w:pPr>
            <w:r w:rsidRPr="007351D0">
              <w:rPr>
                <w:rFonts w:cs="Lucida Sans Unicode"/>
                <w:szCs w:val="16"/>
              </w:rPr>
              <w:t>6.305</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lang w:val="en-GB"/>
              </w:rPr>
            </w:pPr>
            <w:r w:rsidRPr="007351D0">
              <w:rPr>
                <w:rFonts w:cs="Lucida Sans Unicode"/>
                <w:szCs w:val="16"/>
              </w:rPr>
              <w:t>6.134</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lang w:val="en-GB"/>
              </w:rPr>
            </w:pPr>
            <w:r w:rsidRPr="007351D0">
              <w:rPr>
                <w:rFonts w:cs="Lucida Sans Unicode"/>
                <w:lang w:val="en-GB"/>
              </w:rPr>
              <w:t>Services</w:t>
            </w: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lang w:val="en-GB"/>
              </w:rPr>
            </w:pPr>
            <w:r w:rsidRPr="007351D0">
              <w:rPr>
                <w:rFonts w:cs="Lucida Sans Unicode"/>
                <w:szCs w:val="16"/>
              </w:rPr>
              <w:t>12.108</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lang w:val="en-GB"/>
              </w:rPr>
            </w:pPr>
            <w:r w:rsidRPr="007351D0">
              <w:rPr>
                <w:rFonts w:cs="Lucida Sans Unicode"/>
                <w:szCs w:val="16"/>
              </w:rPr>
              <w:t>11.900</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lang w:val="en-GB"/>
              </w:rPr>
            </w:pPr>
            <w:proofErr w:type="spellStart"/>
            <w:r w:rsidRPr="007351D0">
              <w:rPr>
                <w:rFonts w:cs="Lucida Sans Unicode"/>
                <w:lang w:val="en-GB"/>
              </w:rPr>
              <w:t>Sonstige</w:t>
            </w:r>
            <w:proofErr w:type="spellEnd"/>
            <w:r w:rsidRPr="007351D0">
              <w:rPr>
                <w:rFonts w:cs="Lucida Sans Unicode"/>
                <w:lang w:val="en-GB"/>
              </w:rPr>
              <w:t xml:space="preserve"> </w:t>
            </w:r>
            <w:proofErr w:type="spellStart"/>
            <w:r w:rsidRPr="007351D0">
              <w:rPr>
                <w:rFonts w:cs="Lucida Sans Unicode"/>
                <w:lang w:val="en-GB"/>
              </w:rPr>
              <w:t>Aktivitäten</w:t>
            </w:r>
            <w:proofErr w:type="spellEnd"/>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lang w:val="en-GB"/>
              </w:rPr>
            </w:pPr>
            <w:r w:rsidRPr="007351D0">
              <w:rPr>
                <w:rFonts w:cs="Lucida Sans Unicode"/>
                <w:szCs w:val="16"/>
              </w:rPr>
              <w:t>1.546</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lang w:val="en-GB"/>
              </w:rPr>
            </w:pPr>
            <w:r w:rsidRPr="007351D0">
              <w:rPr>
                <w:rFonts w:cs="Lucida Sans Unicode"/>
                <w:szCs w:val="16"/>
              </w:rPr>
              <w:t>1.424</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b/>
                <w:lang w:val="en-GB"/>
              </w:rPr>
            </w:pPr>
            <w:proofErr w:type="spellStart"/>
            <w:r w:rsidRPr="007351D0">
              <w:rPr>
                <w:rFonts w:cs="Lucida Sans Unicode"/>
                <w:b/>
                <w:lang w:val="en-GB"/>
              </w:rPr>
              <w:t>Fortgeführte</w:t>
            </w:r>
            <w:proofErr w:type="spellEnd"/>
            <w:r w:rsidRPr="007351D0">
              <w:rPr>
                <w:rFonts w:cs="Lucida Sans Unicode"/>
                <w:b/>
                <w:lang w:val="en-GB"/>
              </w:rPr>
              <w:t xml:space="preserve"> </w:t>
            </w:r>
            <w:proofErr w:type="spellStart"/>
            <w:r w:rsidRPr="007351D0">
              <w:rPr>
                <w:rFonts w:cs="Lucida Sans Unicode"/>
                <w:b/>
                <w:lang w:val="en-GB"/>
              </w:rPr>
              <w:t>Aktivitäten</w:t>
            </w:r>
            <w:proofErr w:type="spellEnd"/>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b/>
                <w:lang w:val="en-GB"/>
              </w:rPr>
            </w:pPr>
            <w:r w:rsidRPr="007351D0">
              <w:rPr>
                <w:rFonts w:cs="Lucida Sans Unicode"/>
                <w:b/>
                <w:bCs/>
                <w:szCs w:val="16"/>
              </w:rPr>
              <w:t>32.948</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b/>
                <w:lang w:val="en-GB"/>
              </w:rPr>
            </w:pPr>
            <w:r w:rsidRPr="007351D0">
              <w:rPr>
                <w:rFonts w:cs="Lucida Sans Unicode"/>
                <w:b/>
                <w:bCs/>
                <w:szCs w:val="16"/>
              </w:rPr>
              <w:t>32.034</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rPr>
            </w:pPr>
            <w:r w:rsidRPr="007351D0">
              <w:rPr>
                <w:rFonts w:cs="Lucida Sans Unicode"/>
              </w:rPr>
              <w:t xml:space="preserve">Nicht fortgeführte Aktivitäten </w:t>
            </w: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rPr>
            </w:pPr>
            <w:r w:rsidRPr="007351D0">
              <w:rPr>
                <w:rFonts w:cs="Lucida Sans Unicode"/>
                <w:szCs w:val="16"/>
              </w:rPr>
              <w:t>664</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rPr>
            </w:pPr>
            <w:r w:rsidRPr="007351D0">
              <w:rPr>
                <w:rFonts w:cs="Lucida Sans Unicode"/>
              </w:rPr>
              <w:t>1.264</w:t>
            </w:r>
          </w:p>
        </w:tc>
      </w:tr>
      <w:tr w:rsidR="008A7C05" w:rsidRPr="007351D0" w:rsidTr="008A7C05">
        <w:tc>
          <w:tcPr>
            <w:tcW w:w="4594"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both"/>
              <w:rPr>
                <w:rFonts w:cs="Lucida Sans Unicode"/>
                <w:b/>
              </w:rPr>
            </w:pPr>
            <w:r w:rsidRPr="007351D0">
              <w:rPr>
                <w:rFonts w:cs="Lucida Sans Unicode"/>
                <w:b/>
              </w:rPr>
              <w:t>Evonik</w:t>
            </w:r>
          </w:p>
        </w:tc>
        <w:tc>
          <w:tcPr>
            <w:tcW w:w="1722" w:type="dxa"/>
            <w:tcBorders>
              <w:top w:val="single" w:sz="4" w:space="0" w:color="auto"/>
              <w:left w:val="single" w:sz="4" w:space="0" w:color="auto"/>
              <w:bottom w:val="single" w:sz="4" w:space="0" w:color="auto"/>
              <w:right w:val="single" w:sz="4" w:space="0" w:color="auto"/>
            </w:tcBorders>
            <w:shd w:val="clear" w:color="auto" w:fill="C0C0C0"/>
            <w:hideMark/>
          </w:tcPr>
          <w:p w:rsidR="008A7C05" w:rsidRPr="007351D0" w:rsidRDefault="008A7C05" w:rsidP="008A7C05">
            <w:pPr>
              <w:jc w:val="right"/>
              <w:rPr>
                <w:rFonts w:cs="Lucida Sans Unicode"/>
                <w:b/>
              </w:rPr>
            </w:pPr>
            <w:r w:rsidRPr="007351D0">
              <w:rPr>
                <w:rFonts w:cs="Lucida Sans Unicode"/>
                <w:b/>
                <w:bCs/>
                <w:szCs w:val="16"/>
              </w:rPr>
              <w:t>33.612</w:t>
            </w:r>
          </w:p>
        </w:tc>
        <w:tc>
          <w:tcPr>
            <w:tcW w:w="1807" w:type="dxa"/>
            <w:tcBorders>
              <w:top w:val="single" w:sz="4" w:space="0" w:color="auto"/>
              <w:left w:val="single" w:sz="4" w:space="0" w:color="auto"/>
              <w:bottom w:val="single" w:sz="4" w:space="0" w:color="auto"/>
              <w:right w:val="single" w:sz="4" w:space="0" w:color="auto"/>
            </w:tcBorders>
            <w:hideMark/>
          </w:tcPr>
          <w:p w:rsidR="008A7C05" w:rsidRPr="007351D0" w:rsidRDefault="008A7C05" w:rsidP="008A7C05">
            <w:pPr>
              <w:jc w:val="right"/>
              <w:rPr>
                <w:rFonts w:cs="Lucida Sans Unicode"/>
                <w:b/>
              </w:rPr>
            </w:pPr>
            <w:r w:rsidRPr="007351D0">
              <w:rPr>
                <w:rFonts w:cs="Lucida Sans Unicode"/>
                <w:b/>
              </w:rPr>
              <w:t>33.298</w:t>
            </w:r>
          </w:p>
        </w:tc>
      </w:tr>
    </w:tbl>
    <w:p w:rsidR="008A7C05" w:rsidRDefault="008A7C05" w:rsidP="008A7C05">
      <w:pPr>
        <w:spacing w:line="300" w:lineRule="exact"/>
        <w:outlineLvl w:val="0"/>
        <w:rPr>
          <w:rFonts w:cs="Lucida Sans Unicode"/>
          <w:b/>
          <w:bCs/>
          <w:sz w:val="20"/>
          <w:szCs w:val="20"/>
        </w:rPr>
      </w:pPr>
    </w:p>
    <w:p w:rsidR="008A7C05" w:rsidRDefault="008A7C05" w:rsidP="008A7C05">
      <w:pPr>
        <w:spacing w:line="300" w:lineRule="exact"/>
        <w:outlineLvl w:val="0"/>
        <w:rPr>
          <w:rFonts w:cs="Lucida Sans Unicode"/>
          <w:b/>
          <w:bCs/>
          <w:sz w:val="20"/>
          <w:szCs w:val="20"/>
        </w:rPr>
      </w:pPr>
    </w:p>
    <w:p w:rsidR="008A7C05" w:rsidRDefault="008A7C05" w:rsidP="008A7C0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8A7C05" w:rsidRPr="009D734A" w:rsidRDefault="008A7C05" w:rsidP="008A7C0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7C05" w:rsidRPr="009D734A" w:rsidRDefault="008A7C05" w:rsidP="008A7C05">
      <w:pPr>
        <w:autoSpaceDE w:val="0"/>
        <w:autoSpaceDN w:val="0"/>
        <w:adjustRightInd w:val="0"/>
        <w:spacing w:line="220" w:lineRule="exact"/>
        <w:ind w:left="0" w:right="0"/>
        <w:rPr>
          <w:rFonts w:cs="Lucida Sans Unicode"/>
          <w:position w:val="0"/>
          <w:szCs w:val="18"/>
        </w:rPr>
      </w:pPr>
    </w:p>
    <w:p w:rsidR="008A7C05" w:rsidRPr="009D734A" w:rsidRDefault="008A7C05" w:rsidP="008A7C0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w:t>
      </w:r>
      <w:r>
        <w:rPr>
          <w:rFonts w:cs="Lucida Sans Unicode"/>
          <w:position w:val="0"/>
          <w:szCs w:val="18"/>
        </w:rPr>
        <w:t xml:space="preserve"> – ohne Real Estate - einen Umsatz von rund 13,4</w:t>
      </w:r>
      <w:r w:rsidRPr="009D734A">
        <w:rPr>
          <w:rFonts w:cs="Lucida Sans Unicode"/>
          <w:position w:val="0"/>
          <w:szCs w:val="18"/>
        </w:rPr>
        <w:t xml:space="preserve"> Milliarden € und ein operatives Ergebnis (</w:t>
      </w:r>
      <w:r>
        <w:rPr>
          <w:rFonts w:cs="Lucida Sans Unicode"/>
          <w:position w:val="0"/>
          <w:szCs w:val="18"/>
        </w:rPr>
        <w:t>bereinigtes EBITDA) von rund 2,</w:t>
      </w:r>
      <w:r w:rsidR="003A5B34">
        <w:rPr>
          <w:rFonts w:cs="Lucida Sans Unicode"/>
          <w:position w:val="0"/>
          <w:szCs w:val="18"/>
        </w:rPr>
        <w:t>4</w:t>
      </w:r>
      <w:r w:rsidRPr="009D734A">
        <w:rPr>
          <w:rFonts w:cs="Lucida Sans Unicode"/>
          <w:position w:val="0"/>
          <w:szCs w:val="18"/>
        </w:rPr>
        <w:t xml:space="preserve"> Milliarden €.</w:t>
      </w:r>
    </w:p>
    <w:p w:rsidR="008A7C05" w:rsidRDefault="008A7C05" w:rsidP="008A7C05"/>
    <w:p w:rsidR="008A7C05" w:rsidRDefault="008A7C05" w:rsidP="008A7C05">
      <w:pPr>
        <w:autoSpaceDE w:val="0"/>
        <w:autoSpaceDN w:val="0"/>
        <w:adjustRightInd w:val="0"/>
        <w:spacing w:line="220" w:lineRule="exact"/>
        <w:ind w:left="0" w:right="0"/>
        <w:rPr>
          <w:rFonts w:cs="Lucida Sans Unicode"/>
          <w:b/>
          <w:position w:val="0"/>
          <w:szCs w:val="18"/>
        </w:rPr>
      </w:pPr>
    </w:p>
    <w:p w:rsidR="008A7C05" w:rsidRPr="00856B95" w:rsidRDefault="008A7C05" w:rsidP="008A7C05">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8A7C05" w:rsidRPr="00856B95" w:rsidRDefault="008A7C05" w:rsidP="008A7C05">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A7C05" w:rsidRPr="007351D0" w:rsidRDefault="008A7C05" w:rsidP="008A7C05">
      <w:pPr>
        <w:spacing w:line="300" w:lineRule="exact"/>
        <w:outlineLvl w:val="0"/>
        <w:rPr>
          <w:rFonts w:cs="Lucida Sans Unicode"/>
          <w:b/>
          <w:bCs/>
          <w:sz w:val="20"/>
          <w:szCs w:val="20"/>
        </w:rPr>
      </w:pPr>
    </w:p>
    <w:sectPr w:rsidR="008A7C05" w:rsidRPr="007351D0">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BE" w:rsidRDefault="006D20BE">
      <w:r>
        <w:separator/>
      </w:r>
    </w:p>
    <w:p w:rsidR="006D20BE" w:rsidRDefault="006D20BE"/>
  </w:endnote>
  <w:endnote w:type="continuationSeparator" w:id="0">
    <w:p w:rsidR="006D20BE" w:rsidRDefault="006D20BE">
      <w:r>
        <w:continuationSeparator/>
      </w:r>
    </w:p>
    <w:p w:rsidR="006D20BE" w:rsidRDefault="006D2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8A7C05">
      <w:trPr>
        <w:trHeight w:val="5348"/>
      </w:trPr>
      <w:tc>
        <w:tcPr>
          <w:tcW w:w="2562" w:type="dxa"/>
          <w:tcBorders>
            <w:top w:val="nil"/>
          </w:tcBorders>
          <w:vAlign w:val="bottom"/>
        </w:tcPr>
        <w:p w:rsidR="008A7C05" w:rsidRDefault="008A7C05">
          <w:pPr>
            <w:pStyle w:val="Fuzeile"/>
            <w:spacing w:line="180" w:lineRule="exact"/>
            <w:ind w:left="0" w:right="0"/>
            <w:rPr>
              <w:sz w:val="13"/>
              <w:szCs w:val="13"/>
            </w:rPr>
          </w:pPr>
        </w:p>
      </w:tc>
    </w:tr>
  </w:tbl>
  <w:p w:rsidR="008A7C05" w:rsidRDefault="008A7C0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19B1">
      <w:rPr>
        <w:rStyle w:val="Seitenzahl"/>
        <w:noProof/>
      </w:rPr>
      <w:t>10</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19B1">
      <w:rPr>
        <w:rStyle w:val="Seitenzahl"/>
        <w:noProof/>
      </w:rPr>
      <w:t>10</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05" w:rsidRDefault="008A7C0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819B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819B1">
      <w:rPr>
        <w:rStyle w:val="Seitenzahl"/>
        <w:noProof/>
      </w:rPr>
      <w:t>10</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BE" w:rsidRDefault="006D20BE">
      <w:r>
        <w:separator/>
      </w:r>
    </w:p>
    <w:p w:rsidR="006D20BE" w:rsidRDefault="006D20BE"/>
  </w:footnote>
  <w:footnote w:type="continuationSeparator" w:id="0">
    <w:p w:rsidR="006D20BE" w:rsidRDefault="006D20BE">
      <w:r>
        <w:continuationSeparator/>
      </w:r>
    </w:p>
    <w:p w:rsidR="006D20BE" w:rsidRDefault="006D20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8A7C05">
      <w:trPr>
        <w:trHeight w:hRule="exact" w:val="227"/>
      </w:trPr>
      <w:tc>
        <w:tcPr>
          <w:tcW w:w="2552" w:type="dxa"/>
          <w:shd w:val="clear" w:color="auto" w:fill="auto"/>
        </w:tcPr>
        <w:p w:rsidR="008A7C05" w:rsidRDefault="008A7C05">
          <w:pPr>
            <w:pStyle w:val="E-Datum"/>
            <w:framePr w:wrap="auto" w:vAnchor="margin" w:hAnchor="text" w:xAlign="left" w:yAlign="inline"/>
            <w:suppressOverlap w:val="0"/>
          </w:pPr>
        </w:p>
      </w:tc>
    </w:tr>
    <w:tr w:rsidR="008A7C05">
      <w:trPr>
        <w:trHeight w:hRule="exact" w:val="397"/>
      </w:trPr>
      <w:tc>
        <w:tcPr>
          <w:tcW w:w="2552" w:type="dxa"/>
          <w:shd w:val="clear" w:color="auto" w:fill="auto"/>
        </w:tcPr>
        <w:p w:rsidR="008A7C05" w:rsidRDefault="008A7C05">
          <w:pPr>
            <w:spacing w:line="180" w:lineRule="exact"/>
            <w:ind w:left="0"/>
            <w:rPr>
              <w:sz w:val="13"/>
              <w:szCs w:val="13"/>
            </w:rPr>
          </w:pPr>
        </w:p>
      </w:tc>
    </w:tr>
    <w:tr w:rsidR="008A7C05">
      <w:trPr>
        <w:trHeight w:hRule="exact" w:val="1304"/>
      </w:trPr>
      <w:tc>
        <w:tcPr>
          <w:tcW w:w="2552" w:type="dxa"/>
          <w:shd w:val="clear" w:color="auto" w:fill="auto"/>
        </w:tcPr>
        <w:p w:rsidR="008A7C05" w:rsidRDefault="008A7C05">
          <w:pPr>
            <w:spacing w:line="180" w:lineRule="exact"/>
            <w:ind w:left="0"/>
            <w:rPr>
              <w:sz w:val="13"/>
              <w:szCs w:val="13"/>
            </w:rPr>
          </w:pPr>
        </w:p>
      </w:tc>
    </w:tr>
    <w:tr w:rsidR="008A7C05">
      <w:trPr>
        <w:trHeight w:val="1374"/>
      </w:trPr>
      <w:tc>
        <w:tcPr>
          <w:tcW w:w="2552" w:type="dxa"/>
          <w:shd w:val="clear" w:color="auto" w:fill="auto"/>
        </w:tcPr>
        <w:p w:rsidR="008A7C05" w:rsidRDefault="008A7C05">
          <w:pPr>
            <w:spacing w:line="180" w:lineRule="exact"/>
            <w:ind w:left="0"/>
            <w:rPr>
              <w:sz w:val="13"/>
              <w:szCs w:val="13"/>
            </w:rPr>
          </w:pPr>
        </w:p>
      </w:tc>
    </w:tr>
  </w:tbl>
  <w:p w:rsidR="008A7C05" w:rsidRDefault="008A7C05">
    <w:pPr>
      <w:pStyle w:val="Kopfzeile"/>
      <w:ind w:left="0"/>
    </w:pPr>
    <w:r>
      <w:rPr>
        <w:noProof/>
      </w:rPr>
      <w:drawing>
        <wp:anchor distT="0" distB="0" distL="114300" distR="114300" simplePos="0" relativeHeight="251659264" behindDoc="0" locked="0" layoutInCell="1" allowOverlap="1" wp14:anchorId="218FFEC6" wp14:editId="2C2DA69B">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E5D5662" wp14:editId="0DC7D1C9">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05" w:rsidRDefault="008A7C05">
    <w:pPr>
      <w:pStyle w:val="Kopfzeile"/>
      <w:ind w:left="0"/>
    </w:pPr>
  </w:p>
  <w:p w:rsidR="008A7C05" w:rsidRDefault="008A7C05">
    <w:pPr>
      <w:pStyle w:val="Kopfzeile"/>
      <w:ind w:left="0"/>
    </w:pPr>
  </w:p>
  <w:p w:rsidR="008A7C05" w:rsidRDefault="008A7C05">
    <w:pPr>
      <w:pStyle w:val="Kopfzeile"/>
      <w:ind w:left="0"/>
    </w:pPr>
  </w:p>
  <w:p w:rsidR="008A7C05" w:rsidRDefault="008A7C05">
    <w:pPr>
      <w:pStyle w:val="Kopfzeile"/>
      <w:ind w:left="0"/>
    </w:pPr>
  </w:p>
  <w:p w:rsidR="00363CC3" w:rsidRDefault="00363CC3">
    <w:pPr>
      <w:pStyle w:val="Kopfzeile"/>
      <w:ind w:left="0"/>
      <w:rPr>
        <w:b/>
      </w:rPr>
    </w:pPr>
  </w:p>
  <w:p w:rsidR="00363CC3" w:rsidRDefault="00363CC3">
    <w:pPr>
      <w:pStyle w:val="Kopfzeile"/>
      <w:ind w:left="0"/>
      <w:rPr>
        <w:b/>
      </w:rPr>
    </w:pPr>
  </w:p>
  <w:p w:rsidR="008A7C05" w:rsidRPr="008A7C05" w:rsidRDefault="008A7C05">
    <w:pPr>
      <w:pStyle w:val="Kopfzeile"/>
      <w:ind w:left="0"/>
      <w:rPr>
        <w:u w:val="single"/>
      </w:rPr>
    </w:pPr>
    <w:r w:rsidRPr="008A7C05">
      <w:rPr>
        <w:b/>
      </w:rPr>
      <w:br/>
    </w:r>
    <w:r w:rsidRPr="008A7C05">
      <w:rPr>
        <w:u w:val="single"/>
      </w:rPr>
      <w:t>Sendesperrfrist: Donnerstag, 31. Oktober 2013, 7.00 Uhr</w:t>
    </w:r>
    <w:r w:rsidRPr="008A7C05">
      <w:rPr>
        <w:noProof/>
        <w:u w:val="single"/>
      </w:rPr>
      <w:drawing>
        <wp:anchor distT="0" distB="0" distL="114300" distR="114300" simplePos="0" relativeHeight="251658240" behindDoc="0" locked="0" layoutInCell="1" allowOverlap="1" wp14:anchorId="1E55FD03" wp14:editId="63D80EE4">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C05">
      <w:rPr>
        <w:noProof/>
        <w:u w:val="single"/>
      </w:rPr>
      <mc:AlternateContent>
        <mc:Choice Requires="wpg">
          <w:drawing>
            <wp:anchor distT="0" distB="0" distL="114300" distR="114300" simplePos="0" relativeHeight="251656192" behindDoc="1" locked="0" layoutInCell="1" allowOverlap="1" wp14:anchorId="72C02082" wp14:editId="4FAC19B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C05" w:rsidRDefault="008A7C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64C1EC9"/>
    <w:multiLevelType w:val="hybridMultilevel"/>
    <w:tmpl w:val="96862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64E74C8"/>
    <w:multiLevelType w:val="hybridMultilevel"/>
    <w:tmpl w:val="0010D7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B20564A"/>
    <w:multiLevelType w:val="hybridMultilevel"/>
    <w:tmpl w:val="E892AEF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9805F70"/>
    <w:multiLevelType w:val="hybridMultilevel"/>
    <w:tmpl w:val="1604F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500035D"/>
    <w:multiLevelType w:val="hybridMultilevel"/>
    <w:tmpl w:val="744E2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ADF39CB"/>
    <w:multiLevelType w:val="hybridMultilevel"/>
    <w:tmpl w:val="D0A4B6C6"/>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num w:numId="1">
    <w:abstractNumId w:val="16"/>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5"/>
  </w:num>
  <w:num w:numId="17">
    <w:abstractNumId w:val="14"/>
  </w:num>
  <w:num w:numId="18">
    <w:abstractNumId w:val="17"/>
  </w:num>
  <w:num w:numId="19">
    <w:abstractNumId w:val="13"/>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FC"/>
    <w:rsid w:val="00047736"/>
    <w:rsid w:val="000552CE"/>
    <w:rsid w:val="00066F8B"/>
    <w:rsid w:val="0013308B"/>
    <w:rsid w:val="001A5356"/>
    <w:rsid w:val="001C3BD0"/>
    <w:rsid w:val="001F00F3"/>
    <w:rsid w:val="00216438"/>
    <w:rsid w:val="002E2BFB"/>
    <w:rsid w:val="002E7C7F"/>
    <w:rsid w:val="00330314"/>
    <w:rsid w:val="00363CC3"/>
    <w:rsid w:val="0039607D"/>
    <w:rsid w:val="003A5B34"/>
    <w:rsid w:val="004345D4"/>
    <w:rsid w:val="004C1B1C"/>
    <w:rsid w:val="00512199"/>
    <w:rsid w:val="005521AB"/>
    <w:rsid w:val="00573BFD"/>
    <w:rsid w:val="005856F9"/>
    <w:rsid w:val="00654814"/>
    <w:rsid w:val="006915FC"/>
    <w:rsid w:val="006D20BE"/>
    <w:rsid w:val="007D5CFF"/>
    <w:rsid w:val="00806ADB"/>
    <w:rsid w:val="008136C4"/>
    <w:rsid w:val="00856B95"/>
    <w:rsid w:val="008A7C05"/>
    <w:rsid w:val="008D6E83"/>
    <w:rsid w:val="008F4AF3"/>
    <w:rsid w:val="0090340D"/>
    <w:rsid w:val="00955E43"/>
    <w:rsid w:val="009708D9"/>
    <w:rsid w:val="009D2976"/>
    <w:rsid w:val="009F1385"/>
    <w:rsid w:val="00A04CA6"/>
    <w:rsid w:val="00A50AF0"/>
    <w:rsid w:val="00AD7F34"/>
    <w:rsid w:val="00AE2E04"/>
    <w:rsid w:val="00B14022"/>
    <w:rsid w:val="00B6136F"/>
    <w:rsid w:val="00B819B1"/>
    <w:rsid w:val="00C213A2"/>
    <w:rsid w:val="00C3418E"/>
    <w:rsid w:val="00C73805"/>
    <w:rsid w:val="00CB40B9"/>
    <w:rsid w:val="00D323A3"/>
    <w:rsid w:val="00DE0D07"/>
    <w:rsid w:val="00E80EB1"/>
    <w:rsid w:val="00EF0679"/>
    <w:rsid w:val="00EF153D"/>
    <w:rsid w:val="00F46DE5"/>
    <w:rsid w:val="00FA2585"/>
    <w:rsid w:val="00FE3E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ormatvorlage9ptBenutzerdefinierteFarbeRGB150">
    <w:name w:val="Formatvorlage 9 pt Benutzerdefinierte Farbe(RGB(150"/>
    <w:aliases w:val="143,136))"/>
    <w:basedOn w:val="Standard"/>
    <w:rsid w:val="00955E43"/>
    <w:pPr>
      <w:spacing w:line="300" w:lineRule="atLeast"/>
      <w:ind w:left="0" w:right="0"/>
    </w:pPr>
    <w:rPr>
      <w:position w:val="0"/>
    </w:rPr>
  </w:style>
  <w:style w:type="paragraph" w:styleId="Listenabsatz">
    <w:name w:val="List Paragraph"/>
    <w:basedOn w:val="Standard"/>
    <w:uiPriority w:val="34"/>
    <w:qFormat/>
    <w:rsid w:val="008A7C05"/>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ormatvorlage9ptBenutzerdefinierteFarbeRGB150">
    <w:name w:val="Formatvorlage 9 pt Benutzerdefinierte Farbe(RGB(150"/>
    <w:aliases w:val="143,136))"/>
    <w:basedOn w:val="Standard"/>
    <w:rsid w:val="00955E43"/>
    <w:pPr>
      <w:spacing w:line="300" w:lineRule="atLeast"/>
      <w:ind w:left="0" w:right="0"/>
    </w:pPr>
    <w:rPr>
      <w:position w:val="0"/>
    </w:rPr>
  </w:style>
  <w:style w:type="paragraph" w:styleId="Listenabsatz">
    <w:name w:val="List Paragraph"/>
    <w:basedOn w:val="Standard"/>
    <w:uiPriority w:val="34"/>
    <w:qFormat/>
    <w:rsid w:val="008A7C05"/>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3043-074C-45F3-BC9C-8C3B424D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6D5B54F6</Template>
  <TotalTime>0</TotalTime>
  <Pages>10</Pages>
  <Words>2669</Words>
  <Characters>17895</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7</cp:revision>
  <cp:lastPrinted>2013-10-30T14:34:00Z</cp:lastPrinted>
  <dcterms:created xsi:type="dcterms:W3CDTF">2013-10-30T07:49:00Z</dcterms:created>
  <dcterms:modified xsi:type="dcterms:W3CDTF">2013-10-30T14:35:00Z</dcterms:modified>
</cp:coreProperties>
</file>