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463" w:rsidRPr="00407B10" w:rsidRDefault="00F00F5D">
      <w:pPr>
        <w:spacing w:line="300" w:lineRule="exact"/>
        <w:ind w:left="0"/>
        <w:rPr>
          <w:szCs w:val="18"/>
          <w:u w:val="single"/>
        </w:rPr>
      </w:pPr>
      <w:bookmarkStart w:id="0" w:name="_GoBack"/>
      <w:bookmarkEnd w:id="0"/>
      <w:r w:rsidRPr="00407B10">
        <w:rPr>
          <w:szCs w:val="18"/>
          <w:u w:val="single"/>
        </w:rPr>
        <w:t xml:space="preserve">Sendesperrfrist: </w:t>
      </w:r>
      <w:r w:rsidR="001B7F18">
        <w:rPr>
          <w:szCs w:val="18"/>
          <w:u w:val="single"/>
        </w:rPr>
        <w:t>7</w:t>
      </w:r>
      <w:r w:rsidRPr="00407B10">
        <w:rPr>
          <w:szCs w:val="18"/>
          <w:u w:val="single"/>
        </w:rPr>
        <w:t>. März 201</w:t>
      </w:r>
      <w:r w:rsidR="00581E65">
        <w:rPr>
          <w:szCs w:val="18"/>
          <w:u w:val="single"/>
        </w:rPr>
        <w:t>4</w:t>
      </w:r>
      <w:r w:rsidRPr="00407B10">
        <w:rPr>
          <w:szCs w:val="18"/>
          <w:u w:val="single"/>
        </w:rPr>
        <w:t xml:space="preserve">, </w:t>
      </w:r>
      <w:r w:rsidR="005B100E">
        <w:rPr>
          <w:szCs w:val="18"/>
          <w:u w:val="single"/>
        </w:rPr>
        <w:t>7</w:t>
      </w:r>
      <w:r w:rsidRPr="00407B10">
        <w:rPr>
          <w:szCs w:val="18"/>
          <w:u w:val="single"/>
        </w:rPr>
        <w:t>.30 Uhr</w:t>
      </w:r>
    </w:p>
    <w:p w:rsidR="00B6136F" w:rsidRPr="00F00F5D" w:rsidRDefault="00B6136F">
      <w:pPr>
        <w:spacing w:line="300" w:lineRule="exact"/>
        <w:ind w:left="0"/>
        <w:rPr>
          <w:sz w:val="20"/>
          <w:szCs w:val="20"/>
          <w:u w:val="single"/>
        </w:rPr>
        <w:sectPr w:rsidR="00B6136F" w:rsidRPr="00F00F5D">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B14022">
        <w:trPr>
          <w:trHeight w:hRule="exact" w:val="174"/>
        </w:trPr>
        <w:tc>
          <w:tcPr>
            <w:tcW w:w="2271" w:type="dxa"/>
            <w:shd w:val="clear" w:color="auto" w:fill="auto"/>
          </w:tcPr>
          <w:p w:rsidR="00B6136F" w:rsidRDefault="005B100E" w:rsidP="005B100E">
            <w:pPr>
              <w:pStyle w:val="E-Datum"/>
              <w:framePr w:wrap="auto" w:vAnchor="margin" w:hAnchor="text" w:xAlign="left" w:yAlign="inline"/>
              <w:suppressOverlap w:val="0"/>
            </w:pPr>
            <w:r>
              <w:t>7.</w:t>
            </w:r>
            <w:r w:rsidR="009D5463">
              <w:t xml:space="preserve"> März 201</w:t>
            </w:r>
            <w:r>
              <w:t>4</w:t>
            </w:r>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Tr="00B14022">
        <w:trPr>
          <w:trHeight w:hRule="exact" w:val="1222"/>
        </w:trPr>
        <w:tc>
          <w:tcPr>
            <w:tcW w:w="2271" w:type="dxa"/>
            <w:shd w:val="clear" w:color="auto" w:fill="auto"/>
          </w:tcPr>
          <w:p w:rsidR="00B6136F" w:rsidRDefault="00AD7F34">
            <w:pPr>
              <w:pStyle w:val="M7"/>
              <w:framePr w:wrap="auto" w:vAnchor="margin" w:hAnchor="text" w:xAlign="left" w:yAlign="inline"/>
              <w:suppressOverlap w:val="0"/>
            </w:pPr>
            <w:r>
              <w:t>Barbara Müller</w:t>
            </w:r>
          </w:p>
          <w:p w:rsidR="00B6136F" w:rsidRDefault="00AD7F34">
            <w:pPr>
              <w:pStyle w:val="M8"/>
              <w:framePr w:wrap="auto" w:vAnchor="margin" w:hAnchor="text" w:xAlign="left" w:yAlign="inline"/>
              <w:suppressOverlap w:val="0"/>
            </w:pPr>
            <w:r>
              <w:t xml:space="preserve">Leiterin </w:t>
            </w:r>
            <w:r w:rsidR="00B14022">
              <w:t xml:space="preserve">Konzernpresse </w:t>
            </w:r>
          </w:p>
          <w:p w:rsidR="00B6136F" w:rsidRDefault="00AD7F34">
            <w:pPr>
              <w:pStyle w:val="M9"/>
              <w:framePr w:wrap="auto" w:vAnchor="margin" w:hAnchor="text" w:xAlign="left" w:yAlign="inline"/>
              <w:suppressOverlap w:val="0"/>
            </w:pPr>
            <w:r>
              <w:t>Telefon +49</w:t>
            </w:r>
            <w:r>
              <w:tab/>
              <w:t>201 177-3423</w:t>
            </w:r>
          </w:p>
          <w:p w:rsidR="00B6136F" w:rsidRDefault="00B14022">
            <w:pPr>
              <w:pStyle w:val="M10"/>
              <w:framePr w:wrap="auto" w:vAnchor="margin" w:hAnchor="text" w:xAlign="left" w:yAlign="inline"/>
              <w:suppressOverlap w:val="0"/>
            </w:pPr>
            <w:r>
              <w:t>Telefax +49</w:t>
            </w:r>
            <w:r>
              <w:tab/>
              <w:t>201 177-3030</w:t>
            </w:r>
          </w:p>
          <w:p w:rsidR="00B6136F" w:rsidRDefault="00AD7F34" w:rsidP="00AD7F34">
            <w:pPr>
              <w:pStyle w:val="M10"/>
              <w:framePr w:wrap="auto" w:vAnchor="margin" w:hAnchor="text" w:xAlign="left" w:yAlign="inline"/>
              <w:suppressOverlap w:val="0"/>
            </w:pPr>
            <w:r>
              <w:t>barbara.mueller</w:t>
            </w:r>
            <w:r w:rsidR="00B14022">
              <w:t>@evonik.com</w:t>
            </w:r>
            <w:r w:rsidR="00B14022">
              <w:rPr>
                <w:lang w:val="sv-SE"/>
              </w:rPr>
              <w:t xml:space="preserve"> </w:t>
            </w:r>
          </w:p>
        </w:tc>
      </w:tr>
      <w:tr w:rsidR="00B6136F" w:rsidTr="00B14022">
        <w:trPr>
          <w:trHeight w:val="2609"/>
        </w:trPr>
        <w:tc>
          <w:tcPr>
            <w:tcW w:w="2271" w:type="dxa"/>
            <w:shd w:val="clear" w:color="auto" w:fill="auto"/>
          </w:tcPr>
          <w:p w:rsidR="00B6136F" w:rsidRDefault="00846F61">
            <w:pPr>
              <w:pStyle w:val="M12"/>
              <w:framePr w:wrap="auto" w:vAnchor="margin" w:hAnchor="text" w:xAlign="left" w:yAlign="inline"/>
              <w:suppressOverlap w:val="0"/>
            </w:pPr>
            <w:r w:rsidRPr="00080CD7">
              <w:rPr>
                <w:b/>
              </w:rPr>
              <w:t>Alexandra Boy</w:t>
            </w:r>
            <w:r w:rsidRPr="00080CD7">
              <w:t xml:space="preserve"> </w:t>
            </w:r>
            <w:r w:rsidR="00C156F6" w:rsidRPr="00080CD7">
              <w:br/>
              <w:t>Stellvertr. Leiterin Konzernpresse</w:t>
            </w:r>
            <w:r w:rsidR="00C156F6" w:rsidRPr="00080CD7">
              <w:br/>
              <w:t>Telefon +49</w:t>
            </w:r>
            <w:r w:rsidR="006167D7">
              <w:t xml:space="preserve"> </w:t>
            </w:r>
            <w:r w:rsidR="00C156F6" w:rsidRPr="00080CD7">
              <w:t>201 177-3167</w:t>
            </w:r>
            <w:r w:rsidR="00C156F6" w:rsidRPr="00080CD7">
              <w:br/>
              <w:t>Telefax +49</w:t>
            </w:r>
            <w:r w:rsidR="006167D7">
              <w:t xml:space="preserve"> </w:t>
            </w:r>
            <w:r w:rsidR="00C156F6" w:rsidRPr="00080CD7">
              <w:t>201 177-3030</w:t>
            </w:r>
            <w:r w:rsidR="00C156F6" w:rsidRPr="00080CD7">
              <w:br/>
              <w:t>alexandra.boy@evonik.com</w:t>
            </w:r>
          </w:p>
          <w:p w:rsidR="00B6136F" w:rsidRDefault="00B14022" w:rsidP="009D5463">
            <w:pPr>
              <w:pStyle w:val="M1"/>
              <w:framePr w:wrap="auto" w:vAnchor="margin" w:hAnchor="text" w:xAlign="left" w:yAlign="inline"/>
              <w:suppressOverlap w:val="0"/>
            </w:pPr>
            <w:r>
              <w:br/>
            </w:r>
            <w:r>
              <w:br/>
            </w:r>
            <w:r>
              <w:br/>
            </w:r>
          </w:p>
        </w:tc>
      </w:tr>
      <w:tr w:rsidR="00B6136F" w:rsidTr="00B14022">
        <w:trPr>
          <w:trHeight w:hRule="exact" w:val="7880"/>
        </w:trPr>
        <w:tc>
          <w:tcPr>
            <w:tcW w:w="2271" w:type="dxa"/>
            <w:shd w:val="clear" w:color="auto" w:fill="auto"/>
            <w:vAlign w:val="bottom"/>
          </w:tcPr>
          <w:p w:rsidR="00B6136F" w:rsidRDefault="00B6136F">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456B31">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56B31">
              <w:rPr>
                <w:noProof/>
              </w:rPr>
              <w:t>Rellinghauser Straße 1-11</w:t>
            </w:r>
            <w:r>
              <w:fldChar w:fldCharType="end"/>
            </w:r>
          </w:p>
          <w:p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456B31">
              <w:rPr>
                <w:noProof/>
              </w:rPr>
              <w:t>45128 Essen</w:t>
            </w:r>
            <w:r>
              <w:fldChar w:fldCharType="end"/>
            </w:r>
          </w:p>
          <w:p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456B31">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456B31">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456B31">
              <w:rPr>
                <w:noProof/>
              </w:rPr>
              <w:t>-</w:t>
            </w:r>
            <w:r>
              <w:fldChar w:fldCharType="end"/>
            </w:r>
            <w:r>
              <w:t>01</w:t>
            </w:r>
          </w:p>
          <w:p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456B31">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456B31">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456B31">
              <w:rPr>
                <w:noProof/>
              </w:rPr>
              <w:t>-</w:t>
            </w:r>
            <w:r>
              <w:fldChar w:fldCharType="end"/>
            </w:r>
            <w:r>
              <w:t>3475</w:t>
            </w:r>
          </w:p>
          <w:p w:rsidR="00B6136F" w:rsidRDefault="00B14022">
            <w:pPr>
              <w:pStyle w:val="V6"/>
              <w:framePr w:wrap="auto" w:vAnchor="margin" w:hAnchor="text" w:xAlign="left" w:yAlign="inline"/>
              <w:suppressOverlap w:val="0"/>
            </w:pPr>
            <w:r>
              <w:t>www.evonik.de</w:t>
            </w:r>
          </w:p>
          <w:p w:rsidR="00B6136F" w:rsidRDefault="00B6136F">
            <w:pPr>
              <w:pStyle w:val="Marginalie"/>
              <w:framePr w:w="0" w:hSpace="0" w:wrap="auto" w:vAnchor="margin" w:hAnchor="text" w:xAlign="left" w:yAlign="inline"/>
            </w:pPr>
          </w:p>
          <w:p w:rsidR="00B6136F" w:rsidRDefault="00B14022">
            <w:pPr>
              <w:pStyle w:val="Marginalie"/>
              <w:framePr w:w="0" w:hSpace="0" w:wrap="auto" w:vAnchor="margin" w:hAnchor="text" w:xAlign="left" w:yAlign="inline"/>
              <w:rPr>
                <w:b/>
                <w:bCs/>
              </w:rPr>
            </w:pPr>
            <w:r>
              <w:rPr>
                <w:b/>
                <w:bCs/>
              </w:rPr>
              <w:t>Aufsichtsrat</w:t>
            </w:r>
          </w:p>
          <w:p w:rsidR="00B6136F" w:rsidRDefault="00B14022">
            <w:pPr>
              <w:pStyle w:val="Marginalie"/>
              <w:framePr w:w="0" w:hSpace="0" w:wrap="auto" w:vAnchor="margin" w:hAnchor="text" w:xAlign="left" w:yAlign="inline"/>
            </w:pPr>
            <w:r>
              <w:t>Dr. Werner Müller, Vorsitzender</w:t>
            </w:r>
          </w:p>
          <w:p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456B31">
              <w:rPr>
                <w:noProof/>
              </w:rPr>
              <w:t>Vorstand</w:t>
            </w:r>
            <w:r>
              <w:fldChar w:fldCharType="end"/>
            </w:r>
          </w:p>
          <w:p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456B31">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456B31">
              <w:rPr>
                <w:noProof/>
              </w:rPr>
              <w:t>Vorsitzender</w:t>
            </w:r>
            <w:r>
              <w:fldChar w:fldCharType="end"/>
            </w:r>
          </w:p>
          <w:p w:rsidR="007C4237" w:rsidRDefault="00E15F00" w:rsidP="007C4237">
            <w:pPr>
              <w:pStyle w:val="V11"/>
              <w:framePr w:wrap="auto" w:vAnchor="margin" w:hAnchor="text" w:xAlign="left" w:yAlign="inline"/>
              <w:suppressOverlap w:val="0"/>
            </w:pPr>
            <w:r>
              <w:t>Thomas Wessel</w:t>
            </w:r>
            <w:r w:rsidR="000B1542">
              <w:t xml:space="preserve"> </w:t>
            </w:r>
            <w:r w:rsidR="002B50C0">
              <w:br/>
            </w:r>
            <w:r w:rsidR="00B14022">
              <w:fldChar w:fldCharType="begin">
                <w:ffData>
                  <w:name w:val=""/>
                  <w:enabled/>
                  <w:calcOnExit w:val="0"/>
                  <w:textInput>
                    <w:default w:val="Patrik Wohlhauser"/>
                  </w:textInput>
                </w:ffData>
              </w:fldChar>
            </w:r>
            <w:r w:rsidR="00B14022">
              <w:instrText xml:space="preserve"> FORMTEXT </w:instrText>
            </w:r>
            <w:r w:rsidR="00B14022">
              <w:fldChar w:fldCharType="separate"/>
            </w:r>
            <w:r w:rsidR="00456B31">
              <w:rPr>
                <w:noProof/>
              </w:rPr>
              <w:t>Patrik Wohlhauser</w:t>
            </w:r>
            <w:r w:rsidR="00B14022">
              <w:fldChar w:fldCharType="end"/>
            </w:r>
            <w:r w:rsidR="002B50C0">
              <w:br/>
              <w:t>Ute Wolf</w:t>
            </w:r>
            <w:r w:rsidR="002B50C0">
              <w:br/>
            </w:r>
          </w:p>
          <w:p w:rsidR="00B6136F" w:rsidRDefault="00B14022" w:rsidP="007C4237">
            <w:pPr>
              <w:pStyle w:val="V11"/>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456B31">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56B31">
              <w:rPr>
                <w:noProof/>
              </w:rPr>
              <w:t>Essen</w:t>
            </w:r>
            <w:r>
              <w:fldChar w:fldCharType="end"/>
            </w:r>
          </w:p>
          <w:p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456B31">
              <w:rPr>
                <w:noProof/>
              </w:rPr>
              <w:t>Registergericht</w:t>
            </w:r>
            <w:r>
              <w:fldChar w:fldCharType="end"/>
            </w:r>
          </w:p>
          <w:p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456B31">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56B31">
              <w:rPr>
                <w:noProof/>
              </w:rPr>
              <w:t>Essen</w:t>
            </w:r>
            <w:r>
              <w:fldChar w:fldCharType="end"/>
            </w:r>
          </w:p>
          <w:p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456B31">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456B31">
              <w:rPr>
                <w:noProof/>
              </w:rPr>
              <w:t>B 19474</w:t>
            </w:r>
            <w:r>
              <w:fldChar w:fldCharType="end"/>
            </w:r>
          </w:p>
          <w:p w:rsidR="00B6136F" w:rsidRDefault="00B14022">
            <w:pPr>
              <w:pStyle w:val="V17"/>
              <w:framePr w:wrap="auto" w:vAnchor="margin" w:hAnchor="text" w:xAlign="left" w:yAlign="inline"/>
              <w:suppressOverlap w:val="0"/>
            </w:pPr>
            <w:r>
              <w:t>UST-IdNr. DE 811160003</w:t>
            </w:r>
          </w:p>
          <w:p w:rsidR="00B6136F" w:rsidRDefault="00B6136F">
            <w:pPr>
              <w:pStyle w:val="V18"/>
              <w:framePr w:wrap="auto" w:vAnchor="margin" w:hAnchor="text" w:xAlign="left" w:yAlign="inline"/>
              <w:suppressOverlap w:val="0"/>
            </w:pPr>
          </w:p>
        </w:tc>
      </w:tr>
    </w:tbl>
    <w:p w:rsidR="00F00F5D" w:rsidRDefault="00F00F5D" w:rsidP="009D5463">
      <w:pPr>
        <w:ind w:left="0"/>
        <w:rPr>
          <w:u w:val="single"/>
        </w:rPr>
      </w:pPr>
    </w:p>
    <w:p w:rsidR="00395AF0" w:rsidRDefault="00395AF0" w:rsidP="009D5463">
      <w:pPr>
        <w:ind w:left="0"/>
        <w:rPr>
          <w:u w:val="single"/>
        </w:rPr>
      </w:pPr>
    </w:p>
    <w:p w:rsidR="009D734A" w:rsidRPr="00080CD7" w:rsidRDefault="009D734A" w:rsidP="009D734A">
      <w:pPr>
        <w:rPr>
          <w:u w:val="single"/>
        </w:rPr>
      </w:pPr>
      <w:r w:rsidRPr="00080CD7">
        <w:rPr>
          <w:u w:val="single"/>
        </w:rPr>
        <w:t>Wirtschaftliche Eckdaten:</w:t>
      </w:r>
    </w:p>
    <w:p w:rsidR="009D734A" w:rsidRPr="00080CD7" w:rsidRDefault="009D734A" w:rsidP="009D734A">
      <w:pPr>
        <w:rPr>
          <w:u w:val="single"/>
        </w:rPr>
      </w:pPr>
      <w:r w:rsidRPr="00080CD7">
        <w:rPr>
          <w:u w:val="single"/>
        </w:rPr>
        <w:t>1. Januar – 31. Dezember 201</w:t>
      </w:r>
      <w:r w:rsidR="005B100E" w:rsidRPr="00080CD7">
        <w:rPr>
          <w:u w:val="single"/>
        </w:rPr>
        <w:t>3</w:t>
      </w:r>
      <w:r w:rsidRPr="00080CD7">
        <w:rPr>
          <w:u w:val="single"/>
        </w:rPr>
        <w:t xml:space="preserve"> / 4. Quartal 201</w:t>
      </w:r>
      <w:r w:rsidR="005B100E" w:rsidRPr="00080CD7">
        <w:rPr>
          <w:u w:val="single"/>
        </w:rPr>
        <w:t>3</w:t>
      </w:r>
    </w:p>
    <w:p w:rsidR="009D734A" w:rsidRDefault="009D734A" w:rsidP="009D734A">
      <w:pPr>
        <w:spacing w:line="300" w:lineRule="exact"/>
        <w:rPr>
          <w:u w:val="single"/>
        </w:rPr>
      </w:pPr>
    </w:p>
    <w:p w:rsidR="00044C1C" w:rsidRPr="00080CD7" w:rsidRDefault="00044C1C" w:rsidP="009D734A">
      <w:pPr>
        <w:spacing w:line="300" w:lineRule="exact"/>
        <w:rPr>
          <w:u w:val="single"/>
        </w:rPr>
      </w:pPr>
    </w:p>
    <w:p w:rsidR="00D233FC" w:rsidRPr="00080CD7" w:rsidRDefault="00D233FC" w:rsidP="009D734A">
      <w:pPr>
        <w:spacing w:line="300" w:lineRule="exact"/>
        <w:rPr>
          <w:b/>
          <w:bCs/>
          <w:sz w:val="22"/>
          <w:szCs w:val="22"/>
        </w:rPr>
      </w:pPr>
      <w:r w:rsidRPr="00080CD7">
        <w:rPr>
          <w:b/>
          <w:bCs/>
          <w:sz w:val="22"/>
          <w:szCs w:val="22"/>
        </w:rPr>
        <w:t>Geschäftsjahr 2013 strategisch erfolgreich</w:t>
      </w:r>
      <w:r w:rsidR="00424167" w:rsidRPr="00080CD7">
        <w:rPr>
          <w:b/>
          <w:bCs/>
          <w:sz w:val="22"/>
          <w:szCs w:val="22"/>
        </w:rPr>
        <w:t xml:space="preserve"> –</w:t>
      </w:r>
    </w:p>
    <w:p w:rsidR="009D734A" w:rsidRPr="00080CD7" w:rsidRDefault="00424167" w:rsidP="00424167">
      <w:pPr>
        <w:spacing w:line="300" w:lineRule="exact"/>
        <w:rPr>
          <w:b/>
          <w:bCs/>
          <w:sz w:val="22"/>
          <w:szCs w:val="22"/>
        </w:rPr>
      </w:pPr>
      <w:r w:rsidRPr="00080CD7">
        <w:rPr>
          <w:b/>
          <w:bCs/>
          <w:sz w:val="22"/>
          <w:szCs w:val="22"/>
        </w:rPr>
        <w:t xml:space="preserve">Solide operative </w:t>
      </w:r>
      <w:r w:rsidR="004C14DE">
        <w:rPr>
          <w:b/>
          <w:bCs/>
          <w:sz w:val="22"/>
          <w:szCs w:val="22"/>
        </w:rPr>
        <w:t>E</w:t>
      </w:r>
      <w:r w:rsidRPr="00080CD7">
        <w:rPr>
          <w:b/>
          <w:bCs/>
          <w:sz w:val="22"/>
          <w:szCs w:val="22"/>
        </w:rPr>
        <w:t xml:space="preserve">ntwicklung in schwierigem Marktumfeld </w:t>
      </w:r>
    </w:p>
    <w:p w:rsidR="00424167" w:rsidRPr="00080CD7" w:rsidRDefault="00424167" w:rsidP="00424167">
      <w:pPr>
        <w:spacing w:line="300" w:lineRule="exact"/>
        <w:rPr>
          <w:b/>
          <w:bCs/>
          <w:sz w:val="22"/>
          <w:szCs w:val="22"/>
        </w:rPr>
      </w:pPr>
    </w:p>
    <w:p w:rsidR="009D734A" w:rsidRPr="00080CD7" w:rsidRDefault="009D734A" w:rsidP="009D734A">
      <w:pPr>
        <w:numPr>
          <w:ilvl w:val="0"/>
          <w:numId w:val="14"/>
        </w:numPr>
        <w:tabs>
          <w:tab w:val="clear" w:pos="1425"/>
          <w:tab w:val="num" w:pos="340"/>
        </w:tabs>
        <w:spacing w:line="300" w:lineRule="exact"/>
        <w:ind w:left="340" w:hanging="340"/>
        <w:rPr>
          <w:rFonts w:cs="Lucida Sans Unicode"/>
          <w:b/>
          <w:bCs/>
          <w:position w:val="0"/>
          <w:sz w:val="20"/>
          <w:szCs w:val="20"/>
        </w:rPr>
      </w:pPr>
      <w:r w:rsidRPr="00080CD7">
        <w:rPr>
          <w:rFonts w:cs="Lucida Sans Unicode"/>
          <w:b/>
          <w:bCs/>
          <w:position w:val="0"/>
          <w:sz w:val="20"/>
          <w:szCs w:val="20"/>
        </w:rPr>
        <w:t>Vorstandsvorsitzender Klaus Engel: „</w:t>
      </w:r>
      <w:r w:rsidR="00D233FC" w:rsidRPr="00080CD7">
        <w:rPr>
          <w:rFonts w:cs="Lucida Sans Unicode"/>
          <w:b/>
          <w:bCs/>
          <w:position w:val="0"/>
          <w:sz w:val="20"/>
          <w:szCs w:val="20"/>
        </w:rPr>
        <w:t>Wir haben unsere strategischen Ziel</w:t>
      </w:r>
      <w:r w:rsidR="00695628" w:rsidRPr="00080CD7">
        <w:rPr>
          <w:rFonts w:cs="Lucida Sans Unicode"/>
          <w:b/>
          <w:bCs/>
          <w:position w:val="0"/>
          <w:sz w:val="20"/>
          <w:szCs w:val="20"/>
        </w:rPr>
        <w:t>e</w:t>
      </w:r>
      <w:r w:rsidR="00D233FC" w:rsidRPr="00080CD7">
        <w:rPr>
          <w:rFonts w:cs="Lucida Sans Unicode"/>
          <w:b/>
          <w:bCs/>
          <w:position w:val="0"/>
          <w:sz w:val="20"/>
          <w:szCs w:val="20"/>
        </w:rPr>
        <w:t xml:space="preserve"> </w:t>
      </w:r>
      <w:r w:rsidR="00C61C0C" w:rsidRPr="00080CD7">
        <w:rPr>
          <w:rFonts w:cs="Lucida Sans Unicode"/>
          <w:b/>
          <w:bCs/>
          <w:position w:val="0"/>
          <w:sz w:val="20"/>
          <w:szCs w:val="20"/>
        </w:rPr>
        <w:t>umgesetzt</w:t>
      </w:r>
      <w:r w:rsidR="00D233FC" w:rsidRPr="00080CD7">
        <w:rPr>
          <w:rFonts w:cs="Lucida Sans Unicode"/>
          <w:b/>
          <w:bCs/>
          <w:position w:val="0"/>
          <w:sz w:val="20"/>
          <w:szCs w:val="20"/>
        </w:rPr>
        <w:t>: Evonik ist ein börsennotiertes Spezialchemie</w:t>
      </w:r>
      <w:r w:rsidR="00F313D0">
        <w:rPr>
          <w:rFonts w:cs="Lucida Sans Unicode"/>
          <w:b/>
          <w:bCs/>
          <w:position w:val="0"/>
          <w:sz w:val="20"/>
          <w:szCs w:val="20"/>
        </w:rPr>
        <w:t>-</w:t>
      </w:r>
      <w:r w:rsidR="00D233FC" w:rsidRPr="00080CD7">
        <w:rPr>
          <w:rFonts w:cs="Lucida Sans Unicode"/>
          <w:b/>
          <w:bCs/>
          <w:position w:val="0"/>
          <w:sz w:val="20"/>
          <w:szCs w:val="20"/>
        </w:rPr>
        <w:t>unternehmen.</w:t>
      </w:r>
      <w:r w:rsidR="00695628" w:rsidRPr="00080CD7">
        <w:rPr>
          <w:rFonts w:cs="Lucida Sans Unicode"/>
          <w:b/>
          <w:bCs/>
          <w:position w:val="0"/>
          <w:sz w:val="20"/>
          <w:szCs w:val="20"/>
        </w:rPr>
        <w:t xml:space="preserve"> Operativ haben wir in einem schwierigen Marktumfeld </w:t>
      </w:r>
      <w:r w:rsidR="0097690B">
        <w:rPr>
          <w:rFonts w:cs="Lucida Sans Unicode"/>
          <w:b/>
          <w:bCs/>
          <w:position w:val="0"/>
          <w:sz w:val="20"/>
          <w:szCs w:val="20"/>
        </w:rPr>
        <w:t>solide Ergebnisse erzielt</w:t>
      </w:r>
      <w:r w:rsidR="00F9261C">
        <w:rPr>
          <w:rFonts w:cs="Lucida Sans Unicode"/>
          <w:b/>
          <w:bCs/>
          <w:position w:val="0"/>
          <w:sz w:val="20"/>
          <w:szCs w:val="20"/>
        </w:rPr>
        <w:t>.“</w:t>
      </w:r>
      <w:r w:rsidR="00596FFB">
        <w:rPr>
          <w:rFonts w:cs="Lucida Sans Unicode"/>
          <w:b/>
          <w:bCs/>
          <w:position w:val="0"/>
          <w:sz w:val="20"/>
          <w:szCs w:val="20"/>
        </w:rPr>
        <w:t xml:space="preserve"> </w:t>
      </w:r>
    </w:p>
    <w:p w:rsidR="009D734A" w:rsidRPr="00080CD7" w:rsidRDefault="00695628" w:rsidP="009D734A">
      <w:pPr>
        <w:numPr>
          <w:ilvl w:val="0"/>
          <w:numId w:val="14"/>
        </w:numPr>
        <w:tabs>
          <w:tab w:val="clear" w:pos="1425"/>
          <w:tab w:val="num" w:pos="340"/>
        </w:tabs>
        <w:spacing w:line="300" w:lineRule="exact"/>
        <w:ind w:left="340" w:hanging="340"/>
        <w:rPr>
          <w:rFonts w:cs="Lucida Sans Unicode"/>
          <w:b/>
          <w:bCs/>
          <w:position w:val="0"/>
          <w:sz w:val="20"/>
          <w:szCs w:val="20"/>
        </w:rPr>
      </w:pPr>
      <w:r w:rsidRPr="00080CD7">
        <w:rPr>
          <w:rFonts w:cs="Lucida Sans Unicode"/>
          <w:b/>
          <w:bCs/>
          <w:position w:val="0"/>
          <w:sz w:val="20"/>
          <w:szCs w:val="20"/>
        </w:rPr>
        <w:t>O</w:t>
      </w:r>
      <w:r w:rsidR="009D734A" w:rsidRPr="00080CD7">
        <w:rPr>
          <w:rFonts w:cs="Lucida Sans Unicode"/>
          <w:b/>
          <w:bCs/>
          <w:position w:val="0"/>
          <w:sz w:val="20"/>
          <w:szCs w:val="20"/>
        </w:rPr>
        <w:t>perative Geschäftsentwicklung im Jahr 201</w:t>
      </w:r>
      <w:r w:rsidRPr="00080CD7">
        <w:rPr>
          <w:rFonts w:cs="Lucida Sans Unicode"/>
          <w:b/>
          <w:bCs/>
          <w:position w:val="0"/>
          <w:sz w:val="20"/>
          <w:szCs w:val="20"/>
        </w:rPr>
        <w:t>3</w:t>
      </w:r>
      <w:r w:rsidR="009D734A" w:rsidRPr="00080CD7">
        <w:rPr>
          <w:rFonts w:cs="Lucida Sans Unicode"/>
          <w:b/>
          <w:bCs/>
          <w:position w:val="0"/>
          <w:sz w:val="20"/>
          <w:szCs w:val="20"/>
        </w:rPr>
        <w:t>:</w:t>
      </w:r>
    </w:p>
    <w:p w:rsidR="009D734A" w:rsidRPr="00080CD7" w:rsidRDefault="009D734A" w:rsidP="009D734A">
      <w:pPr>
        <w:numPr>
          <w:ilvl w:val="0"/>
          <w:numId w:val="14"/>
        </w:numPr>
        <w:tabs>
          <w:tab w:val="clear" w:pos="1425"/>
          <w:tab w:val="num" w:pos="851"/>
        </w:tabs>
        <w:spacing w:line="300" w:lineRule="exact"/>
        <w:ind w:left="851" w:hanging="425"/>
        <w:rPr>
          <w:rFonts w:cs="Lucida Sans Unicode"/>
          <w:b/>
          <w:bCs/>
          <w:position w:val="0"/>
          <w:sz w:val="20"/>
          <w:szCs w:val="20"/>
        </w:rPr>
      </w:pPr>
      <w:r w:rsidRPr="00080CD7">
        <w:rPr>
          <w:rFonts w:cs="Lucida Sans Unicode"/>
          <w:b/>
          <w:bCs/>
          <w:position w:val="0"/>
          <w:sz w:val="20"/>
          <w:szCs w:val="20"/>
        </w:rPr>
        <w:t xml:space="preserve">Konzernumsatz mit </w:t>
      </w:r>
      <w:r w:rsidR="00695628" w:rsidRPr="00080CD7">
        <w:rPr>
          <w:rFonts w:cs="Lucida Sans Unicode"/>
          <w:b/>
          <w:bCs/>
          <w:position w:val="0"/>
          <w:sz w:val="20"/>
          <w:szCs w:val="20"/>
        </w:rPr>
        <w:t>12,9</w:t>
      </w:r>
      <w:r w:rsidRPr="00080CD7">
        <w:rPr>
          <w:rFonts w:cs="Lucida Sans Unicode"/>
          <w:b/>
          <w:bCs/>
          <w:position w:val="0"/>
          <w:sz w:val="20"/>
          <w:szCs w:val="20"/>
        </w:rPr>
        <w:t xml:space="preserve"> Milliarden € organisch </w:t>
      </w:r>
      <w:r w:rsidR="00A57660" w:rsidRPr="00080CD7">
        <w:rPr>
          <w:rFonts w:cs="Lucida Sans Unicode"/>
          <w:b/>
          <w:bCs/>
          <w:position w:val="0"/>
          <w:sz w:val="20"/>
          <w:szCs w:val="20"/>
        </w:rPr>
        <w:t>nahezu stabil</w:t>
      </w:r>
      <w:r w:rsidR="00695628" w:rsidRPr="00080CD7">
        <w:rPr>
          <w:rFonts w:cs="Lucida Sans Unicode"/>
          <w:b/>
          <w:bCs/>
          <w:position w:val="0"/>
          <w:sz w:val="20"/>
          <w:szCs w:val="20"/>
        </w:rPr>
        <w:t xml:space="preserve"> </w:t>
      </w:r>
    </w:p>
    <w:p w:rsidR="009D734A" w:rsidRPr="00080CD7" w:rsidRDefault="009D734A" w:rsidP="009D734A">
      <w:pPr>
        <w:numPr>
          <w:ilvl w:val="0"/>
          <w:numId w:val="14"/>
        </w:numPr>
        <w:tabs>
          <w:tab w:val="clear" w:pos="1425"/>
          <w:tab w:val="num" w:pos="851"/>
        </w:tabs>
        <w:spacing w:line="300" w:lineRule="exact"/>
        <w:ind w:left="851" w:hanging="425"/>
        <w:rPr>
          <w:rFonts w:cs="Lucida Sans Unicode"/>
          <w:b/>
          <w:bCs/>
          <w:position w:val="0"/>
          <w:sz w:val="20"/>
          <w:szCs w:val="20"/>
        </w:rPr>
      </w:pPr>
      <w:r w:rsidRPr="00080CD7">
        <w:rPr>
          <w:rFonts w:cs="Lucida Sans Unicode"/>
          <w:b/>
          <w:bCs/>
          <w:position w:val="0"/>
          <w:sz w:val="20"/>
          <w:szCs w:val="20"/>
        </w:rPr>
        <w:t>Bereinigtes EBITDA mit 2</w:t>
      </w:r>
      <w:r w:rsidR="002D21B7">
        <w:rPr>
          <w:rFonts w:cs="Lucida Sans Unicode"/>
          <w:b/>
          <w:bCs/>
          <w:position w:val="0"/>
          <w:sz w:val="20"/>
          <w:szCs w:val="20"/>
        </w:rPr>
        <w:t>,0</w:t>
      </w:r>
      <w:r w:rsidRPr="00080CD7">
        <w:rPr>
          <w:rFonts w:cs="Lucida Sans Unicode"/>
          <w:b/>
          <w:bCs/>
          <w:position w:val="0"/>
          <w:sz w:val="20"/>
          <w:szCs w:val="20"/>
        </w:rPr>
        <w:t xml:space="preserve"> Milli</w:t>
      </w:r>
      <w:r w:rsidR="002D21B7">
        <w:rPr>
          <w:rFonts w:cs="Lucida Sans Unicode"/>
          <w:b/>
          <w:bCs/>
          <w:position w:val="0"/>
          <w:sz w:val="20"/>
          <w:szCs w:val="20"/>
        </w:rPr>
        <w:t>arden</w:t>
      </w:r>
      <w:r w:rsidRPr="00080CD7">
        <w:rPr>
          <w:rFonts w:cs="Lucida Sans Unicode"/>
          <w:b/>
          <w:bCs/>
          <w:position w:val="0"/>
          <w:sz w:val="20"/>
          <w:szCs w:val="20"/>
        </w:rPr>
        <w:t xml:space="preserve"> € </w:t>
      </w:r>
      <w:r w:rsidR="005757FD">
        <w:rPr>
          <w:rFonts w:cs="Lucida Sans Unicode"/>
          <w:b/>
          <w:bCs/>
          <w:position w:val="0"/>
          <w:sz w:val="20"/>
          <w:szCs w:val="20"/>
        </w:rPr>
        <w:t xml:space="preserve">vor allem preisbedingt </w:t>
      </w:r>
      <w:r w:rsidR="00695628" w:rsidRPr="00080CD7">
        <w:rPr>
          <w:rFonts w:cs="Lucida Sans Unicode"/>
          <w:b/>
          <w:bCs/>
          <w:position w:val="0"/>
          <w:sz w:val="20"/>
          <w:szCs w:val="20"/>
        </w:rPr>
        <w:t xml:space="preserve">unter </w:t>
      </w:r>
      <w:r w:rsidR="00C647C9" w:rsidRPr="00080CD7">
        <w:rPr>
          <w:rFonts w:cs="Lucida Sans Unicode"/>
          <w:b/>
          <w:bCs/>
          <w:position w:val="0"/>
          <w:sz w:val="20"/>
          <w:szCs w:val="20"/>
        </w:rPr>
        <w:t xml:space="preserve">sehr </w:t>
      </w:r>
      <w:r w:rsidR="00695628" w:rsidRPr="00080CD7">
        <w:rPr>
          <w:rFonts w:cs="Lucida Sans Unicode"/>
          <w:b/>
          <w:bCs/>
          <w:position w:val="0"/>
          <w:sz w:val="20"/>
          <w:szCs w:val="20"/>
        </w:rPr>
        <w:t>hohe</w:t>
      </w:r>
      <w:r w:rsidR="00265028">
        <w:rPr>
          <w:rFonts w:cs="Lucida Sans Unicode"/>
          <w:b/>
          <w:bCs/>
          <w:position w:val="0"/>
          <w:sz w:val="20"/>
          <w:szCs w:val="20"/>
        </w:rPr>
        <w:t>m</w:t>
      </w:r>
      <w:r w:rsidR="00695628" w:rsidRPr="00080CD7">
        <w:rPr>
          <w:rFonts w:cs="Lucida Sans Unicode"/>
          <w:b/>
          <w:bCs/>
          <w:position w:val="0"/>
          <w:sz w:val="20"/>
          <w:szCs w:val="20"/>
        </w:rPr>
        <w:t xml:space="preserve"> Vorjahreswert</w:t>
      </w:r>
      <w:r w:rsidR="00F9261C">
        <w:rPr>
          <w:rFonts w:cs="Lucida Sans Unicode"/>
          <w:b/>
          <w:bCs/>
          <w:position w:val="0"/>
          <w:sz w:val="20"/>
          <w:szCs w:val="20"/>
        </w:rPr>
        <w:t xml:space="preserve"> </w:t>
      </w:r>
    </w:p>
    <w:p w:rsidR="009D734A" w:rsidRPr="004C14DE" w:rsidRDefault="009D734A" w:rsidP="009D734A">
      <w:pPr>
        <w:numPr>
          <w:ilvl w:val="0"/>
          <w:numId w:val="14"/>
        </w:numPr>
        <w:tabs>
          <w:tab w:val="clear" w:pos="1425"/>
          <w:tab w:val="num" w:pos="851"/>
        </w:tabs>
        <w:spacing w:line="300" w:lineRule="exact"/>
        <w:ind w:left="851" w:hanging="425"/>
        <w:rPr>
          <w:rFonts w:cs="Lucida Sans Unicode"/>
          <w:b/>
          <w:bCs/>
          <w:position w:val="0"/>
          <w:sz w:val="20"/>
          <w:szCs w:val="20"/>
        </w:rPr>
      </w:pPr>
      <w:r w:rsidRPr="004C14DE">
        <w:rPr>
          <w:rFonts w:cs="Lucida Sans Unicode"/>
          <w:b/>
          <w:bCs/>
          <w:position w:val="0"/>
          <w:sz w:val="20"/>
          <w:szCs w:val="20"/>
        </w:rPr>
        <w:t>Bereinigte EBITDA-Marge mit 1</w:t>
      </w:r>
      <w:r w:rsidR="00C647C9" w:rsidRPr="004C14DE">
        <w:rPr>
          <w:rFonts w:cs="Lucida Sans Unicode"/>
          <w:b/>
          <w:bCs/>
          <w:position w:val="0"/>
          <w:sz w:val="20"/>
          <w:szCs w:val="20"/>
        </w:rPr>
        <w:t>5,6</w:t>
      </w:r>
      <w:r w:rsidRPr="004C14DE">
        <w:rPr>
          <w:rFonts w:cs="Lucida Sans Unicode"/>
          <w:b/>
          <w:bCs/>
          <w:position w:val="0"/>
          <w:sz w:val="20"/>
          <w:szCs w:val="20"/>
        </w:rPr>
        <w:t xml:space="preserve"> Prozent </w:t>
      </w:r>
      <w:r w:rsidR="00C647C9" w:rsidRPr="004C14DE">
        <w:rPr>
          <w:rFonts w:cs="Lucida Sans Unicode"/>
          <w:b/>
          <w:bCs/>
          <w:position w:val="0"/>
          <w:sz w:val="20"/>
          <w:szCs w:val="20"/>
        </w:rPr>
        <w:t xml:space="preserve">auf </w:t>
      </w:r>
      <w:r w:rsidR="004944D0" w:rsidRPr="004C14DE">
        <w:rPr>
          <w:rFonts w:cs="Lucida Sans Unicode"/>
          <w:b/>
          <w:bCs/>
          <w:position w:val="0"/>
          <w:sz w:val="20"/>
          <w:szCs w:val="20"/>
        </w:rPr>
        <w:t xml:space="preserve">ansprechendem </w:t>
      </w:r>
      <w:r w:rsidR="00C647C9" w:rsidRPr="004C14DE">
        <w:rPr>
          <w:rFonts w:cs="Lucida Sans Unicode"/>
          <w:b/>
          <w:bCs/>
          <w:position w:val="0"/>
          <w:sz w:val="20"/>
          <w:szCs w:val="20"/>
        </w:rPr>
        <w:t>Niveau</w:t>
      </w:r>
      <w:r w:rsidR="00F9261C">
        <w:rPr>
          <w:rFonts w:cs="Lucida Sans Unicode"/>
          <w:b/>
          <w:bCs/>
          <w:position w:val="0"/>
          <w:sz w:val="20"/>
          <w:szCs w:val="20"/>
        </w:rPr>
        <w:t xml:space="preserve"> </w:t>
      </w:r>
    </w:p>
    <w:p w:rsidR="0097690B" w:rsidRPr="00F9261C" w:rsidRDefault="009D734A" w:rsidP="009D734A">
      <w:pPr>
        <w:numPr>
          <w:ilvl w:val="0"/>
          <w:numId w:val="14"/>
        </w:numPr>
        <w:tabs>
          <w:tab w:val="clear" w:pos="1425"/>
          <w:tab w:val="num" w:pos="340"/>
        </w:tabs>
        <w:spacing w:line="300" w:lineRule="exact"/>
        <w:ind w:left="340" w:hanging="340"/>
        <w:rPr>
          <w:rFonts w:cs="Lucida Sans Unicode"/>
          <w:b/>
          <w:bCs/>
          <w:position w:val="0"/>
          <w:sz w:val="20"/>
          <w:szCs w:val="20"/>
        </w:rPr>
      </w:pPr>
      <w:r w:rsidRPr="00F9261C">
        <w:rPr>
          <w:rFonts w:cs="Lucida Sans Unicode"/>
          <w:b/>
          <w:bCs/>
          <w:position w:val="0"/>
          <w:sz w:val="20"/>
          <w:szCs w:val="20"/>
        </w:rPr>
        <w:t xml:space="preserve">Konzernergebnis </w:t>
      </w:r>
      <w:r w:rsidR="00C647C9" w:rsidRPr="00F9261C">
        <w:rPr>
          <w:rFonts w:cs="Lucida Sans Unicode"/>
          <w:b/>
          <w:bCs/>
          <w:position w:val="0"/>
          <w:sz w:val="20"/>
          <w:szCs w:val="20"/>
        </w:rPr>
        <w:t>dank Veräußerungs</w:t>
      </w:r>
      <w:r w:rsidR="005757FD" w:rsidRPr="00F9261C">
        <w:rPr>
          <w:rFonts w:cs="Lucida Sans Unicode"/>
          <w:b/>
          <w:bCs/>
          <w:position w:val="0"/>
          <w:sz w:val="20"/>
          <w:szCs w:val="20"/>
        </w:rPr>
        <w:t>gewinn</w:t>
      </w:r>
      <w:r w:rsidR="00C647C9" w:rsidRPr="00F9261C">
        <w:rPr>
          <w:rFonts w:cs="Lucida Sans Unicode"/>
          <w:b/>
          <w:bCs/>
          <w:position w:val="0"/>
          <w:sz w:val="20"/>
          <w:szCs w:val="20"/>
        </w:rPr>
        <w:t xml:space="preserve"> de</w:t>
      </w:r>
      <w:r w:rsidR="005757FD" w:rsidRPr="00F9261C">
        <w:rPr>
          <w:rFonts w:cs="Lucida Sans Unicode"/>
          <w:b/>
          <w:bCs/>
          <w:position w:val="0"/>
          <w:sz w:val="20"/>
          <w:szCs w:val="20"/>
        </w:rPr>
        <w:t>r</w:t>
      </w:r>
      <w:r w:rsidR="00C647C9" w:rsidRPr="00F9261C">
        <w:rPr>
          <w:rFonts w:cs="Lucida Sans Unicode"/>
          <w:b/>
          <w:bCs/>
          <w:position w:val="0"/>
          <w:sz w:val="20"/>
          <w:szCs w:val="20"/>
        </w:rPr>
        <w:t xml:space="preserve"> Immobilien</w:t>
      </w:r>
      <w:r w:rsidR="005757FD" w:rsidRPr="00F9261C">
        <w:rPr>
          <w:rFonts w:cs="Lucida Sans Unicode"/>
          <w:b/>
          <w:bCs/>
          <w:position w:val="0"/>
          <w:sz w:val="20"/>
          <w:szCs w:val="20"/>
        </w:rPr>
        <w:t>aktivitäten</w:t>
      </w:r>
      <w:r w:rsidR="00C647C9" w:rsidRPr="00F9261C">
        <w:rPr>
          <w:rFonts w:cs="Lucida Sans Unicode"/>
          <w:b/>
          <w:bCs/>
          <w:position w:val="0"/>
          <w:sz w:val="20"/>
          <w:szCs w:val="20"/>
        </w:rPr>
        <w:t xml:space="preserve"> um 7</w:t>
      </w:r>
      <w:r w:rsidR="00596FFB" w:rsidRPr="00F9261C">
        <w:rPr>
          <w:rFonts w:cs="Lucida Sans Unicode"/>
          <w:b/>
          <w:bCs/>
          <w:position w:val="0"/>
          <w:sz w:val="20"/>
          <w:szCs w:val="20"/>
        </w:rPr>
        <w:t>6</w:t>
      </w:r>
      <w:r w:rsidR="00C647C9" w:rsidRPr="00F9261C">
        <w:rPr>
          <w:rFonts w:cs="Lucida Sans Unicode"/>
          <w:b/>
          <w:bCs/>
          <w:position w:val="0"/>
          <w:sz w:val="20"/>
          <w:szCs w:val="20"/>
        </w:rPr>
        <w:t xml:space="preserve"> Prozent auf </w:t>
      </w:r>
      <w:r w:rsidR="00052E5F" w:rsidRPr="00F9261C">
        <w:rPr>
          <w:rFonts w:cs="Lucida Sans Unicode"/>
          <w:b/>
          <w:bCs/>
          <w:position w:val="0"/>
          <w:sz w:val="20"/>
          <w:szCs w:val="20"/>
        </w:rPr>
        <w:t xml:space="preserve">2,1 Milliarden € </w:t>
      </w:r>
      <w:r w:rsidRPr="00F9261C">
        <w:rPr>
          <w:rFonts w:cs="Lucida Sans Unicode"/>
          <w:b/>
          <w:bCs/>
          <w:position w:val="0"/>
          <w:sz w:val="20"/>
          <w:szCs w:val="20"/>
        </w:rPr>
        <w:t>gesteigert</w:t>
      </w:r>
    </w:p>
    <w:p w:rsidR="009D734A" w:rsidRDefault="009D734A" w:rsidP="009D734A">
      <w:pPr>
        <w:numPr>
          <w:ilvl w:val="0"/>
          <w:numId w:val="14"/>
        </w:numPr>
        <w:tabs>
          <w:tab w:val="clear" w:pos="1425"/>
          <w:tab w:val="num" w:pos="340"/>
        </w:tabs>
        <w:spacing w:line="300" w:lineRule="exact"/>
        <w:ind w:left="340" w:hanging="340"/>
        <w:rPr>
          <w:rFonts w:cs="Lucida Sans Unicode"/>
          <w:b/>
          <w:bCs/>
          <w:position w:val="0"/>
          <w:sz w:val="20"/>
          <w:szCs w:val="20"/>
        </w:rPr>
      </w:pPr>
      <w:r w:rsidRPr="002B7173">
        <w:rPr>
          <w:rFonts w:cs="Lucida Sans Unicode"/>
          <w:b/>
          <w:bCs/>
          <w:position w:val="0"/>
          <w:sz w:val="20"/>
          <w:szCs w:val="20"/>
        </w:rPr>
        <w:t xml:space="preserve">Sachinvestitionen </w:t>
      </w:r>
      <w:r w:rsidR="00F9261C">
        <w:rPr>
          <w:rFonts w:cs="Lucida Sans Unicode"/>
          <w:b/>
          <w:bCs/>
          <w:position w:val="0"/>
          <w:sz w:val="20"/>
          <w:szCs w:val="20"/>
        </w:rPr>
        <w:t>um 18 Prozent auf 1,1</w:t>
      </w:r>
      <w:r w:rsidRPr="002B7173">
        <w:rPr>
          <w:rFonts w:cs="Lucida Sans Unicode"/>
          <w:b/>
          <w:bCs/>
          <w:position w:val="0"/>
          <w:sz w:val="20"/>
          <w:szCs w:val="20"/>
        </w:rPr>
        <w:t xml:space="preserve"> Milli</w:t>
      </w:r>
      <w:r w:rsidR="00052E5F">
        <w:rPr>
          <w:rFonts w:cs="Lucida Sans Unicode"/>
          <w:b/>
          <w:bCs/>
          <w:position w:val="0"/>
          <w:sz w:val="20"/>
          <w:szCs w:val="20"/>
        </w:rPr>
        <w:t>arden</w:t>
      </w:r>
      <w:r w:rsidRPr="002B7173">
        <w:rPr>
          <w:rFonts w:cs="Lucida Sans Unicode"/>
          <w:b/>
          <w:bCs/>
          <w:position w:val="0"/>
          <w:sz w:val="20"/>
          <w:szCs w:val="20"/>
        </w:rPr>
        <w:t xml:space="preserve"> € erhöht</w:t>
      </w:r>
    </w:p>
    <w:p w:rsidR="009D734A" w:rsidRPr="00A8556D" w:rsidRDefault="004C495B" w:rsidP="00A8556D">
      <w:pPr>
        <w:numPr>
          <w:ilvl w:val="0"/>
          <w:numId w:val="14"/>
        </w:numPr>
        <w:tabs>
          <w:tab w:val="clear" w:pos="1425"/>
          <w:tab w:val="num" w:pos="340"/>
        </w:tabs>
        <w:spacing w:line="300" w:lineRule="exact"/>
        <w:ind w:left="340" w:hanging="340"/>
        <w:rPr>
          <w:rFonts w:cs="Lucida Sans Unicode"/>
          <w:b/>
          <w:bCs/>
          <w:position w:val="0"/>
          <w:sz w:val="20"/>
          <w:szCs w:val="20"/>
        </w:rPr>
      </w:pPr>
      <w:r w:rsidRPr="00A8556D">
        <w:rPr>
          <w:rFonts w:cs="Lucida Sans Unicode"/>
          <w:b/>
          <w:bCs/>
          <w:position w:val="0"/>
          <w:sz w:val="20"/>
          <w:szCs w:val="20"/>
        </w:rPr>
        <w:t xml:space="preserve">F&amp;E-Aufwendungen mit 394 Millionen € auf hohem Niveau - </w:t>
      </w:r>
      <w:r w:rsidRPr="00A8556D">
        <w:rPr>
          <w:rFonts w:cs="Lucida Sans Unicode"/>
          <w:b/>
          <w:bCs/>
          <w:position w:val="0"/>
          <w:sz w:val="20"/>
          <w:szCs w:val="20"/>
        </w:rPr>
        <w:br/>
        <w:t>F&amp;E-Quote 3,1 Prozent</w:t>
      </w:r>
    </w:p>
    <w:p w:rsidR="00CE6324" w:rsidRPr="00080CD7" w:rsidRDefault="00CE6324" w:rsidP="009D734A">
      <w:pPr>
        <w:numPr>
          <w:ilvl w:val="0"/>
          <w:numId w:val="14"/>
        </w:numPr>
        <w:tabs>
          <w:tab w:val="clear" w:pos="1425"/>
          <w:tab w:val="num" w:pos="340"/>
        </w:tabs>
        <w:spacing w:line="300" w:lineRule="exact"/>
        <w:ind w:left="340" w:hanging="340"/>
        <w:rPr>
          <w:rFonts w:cs="Lucida Sans Unicode"/>
          <w:b/>
          <w:bCs/>
          <w:position w:val="0"/>
          <w:sz w:val="20"/>
          <w:szCs w:val="20"/>
        </w:rPr>
      </w:pPr>
      <w:r w:rsidRPr="00080CD7">
        <w:rPr>
          <w:rFonts w:cs="Lucida Sans Unicode"/>
          <w:b/>
          <w:bCs/>
          <w:position w:val="0"/>
          <w:sz w:val="20"/>
          <w:szCs w:val="20"/>
        </w:rPr>
        <w:t>Dividendenvorschlag</w:t>
      </w:r>
      <w:r w:rsidR="00454C8B">
        <w:rPr>
          <w:rFonts w:cs="Lucida Sans Unicode"/>
          <w:b/>
          <w:bCs/>
          <w:position w:val="0"/>
          <w:sz w:val="20"/>
          <w:szCs w:val="20"/>
        </w:rPr>
        <w:t xml:space="preserve"> für 2013</w:t>
      </w:r>
      <w:r w:rsidR="002624EE">
        <w:rPr>
          <w:rFonts w:cs="Lucida Sans Unicode"/>
          <w:b/>
          <w:bCs/>
          <w:position w:val="0"/>
          <w:sz w:val="20"/>
          <w:szCs w:val="20"/>
        </w:rPr>
        <w:t>:</w:t>
      </w:r>
      <w:r w:rsidR="00454C8B">
        <w:rPr>
          <w:rFonts w:cs="Lucida Sans Unicode"/>
          <w:b/>
          <w:bCs/>
          <w:position w:val="0"/>
          <w:sz w:val="20"/>
          <w:szCs w:val="20"/>
        </w:rPr>
        <w:t xml:space="preserve"> </w:t>
      </w:r>
      <w:r w:rsidRPr="00080CD7">
        <w:rPr>
          <w:rFonts w:cs="Lucida Sans Unicode"/>
          <w:b/>
          <w:bCs/>
          <w:position w:val="0"/>
          <w:sz w:val="20"/>
          <w:szCs w:val="20"/>
        </w:rPr>
        <w:t>1,00 €</w:t>
      </w:r>
      <w:r w:rsidR="002E65CA">
        <w:rPr>
          <w:rFonts w:cs="Lucida Sans Unicode"/>
          <w:b/>
          <w:bCs/>
          <w:position w:val="0"/>
          <w:sz w:val="20"/>
          <w:szCs w:val="20"/>
        </w:rPr>
        <w:t xml:space="preserve"> je Stückaktie</w:t>
      </w:r>
      <w:r w:rsidRPr="00080CD7">
        <w:rPr>
          <w:rFonts w:cs="Lucida Sans Unicode"/>
          <w:b/>
          <w:bCs/>
          <w:position w:val="0"/>
          <w:sz w:val="20"/>
          <w:szCs w:val="20"/>
        </w:rPr>
        <w:t xml:space="preserve"> (2012: </w:t>
      </w:r>
      <w:r w:rsidR="00596FFB">
        <w:rPr>
          <w:rFonts w:cs="Lucida Sans Unicode"/>
          <w:b/>
          <w:bCs/>
          <w:position w:val="0"/>
          <w:sz w:val="20"/>
          <w:szCs w:val="20"/>
        </w:rPr>
        <w:t>0,92</w:t>
      </w:r>
      <w:r w:rsidRPr="00080CD7">
        <w:rPr>
          <w:rFonts w:cs="Lucida Sans Unicode"/>
          <w:b/>
          <w:bCs/>
          <w:position w:val="0"/>
          <w:sz w:val="20"/>
          <w:szCs w:val="20"/>
        </w:rPr>
        <w:t xml:space="preserve"> €)  </w:t>
      </w:r>
    </w:p>
    <w:p w:rsidR="009D734A" w:rsidRPr="00080CD7" w:rsidRDefault="009D734A" w:rsidP="009D734A">
      <w:pPr>
        <w:numPr>
          <w:ilvl w:val="0"/>
          <w:numId w:val="14"/>
        </w:numPr>
        <w:tabs>
          <w:tab w:val="clear" w:pos="1425"/>
          <w:tab w:val="num" w:pos="340"/>
        </w:tabs>
        <w:spacing w:line="300" w:lineRule="exact"/>
        <w:ind w:left="340" w:hanging="340"/>
        <w:rPr>
          <w:bCs/>
          <w:sz w:val="20"/>
          <w:szCs w:val="20"/>
        </w:rPr>
      </w:pPr>
      <w:r w:rsidRPr="00080CD7">
        <w:rPr>
          <w:rFonts w:cs="Lucida Sans Unicode"/>
          <w:b/>
          <w:bCs/>
          <w:position w:val="0"/>
          <w:sz w:val="20"/>
          <w:szCs w:val="20"/>
        </w:rPr>
        <w:t>Ausblick Gesamtjahr 201</w:t>
      </w:r>
      <w:r w:rsidR="006369CB" w:rsidRPr="00080CD7">
        <w:rPr>
          <w:rFonts w:cs="Lucida Sans Unicode"/>
          <w:b/>
          <w:bCs/>
          <w:position w:val="0"/>
          <w:sz w:val="20"/>
          <w:szCs w:val="20"/>
        </w:rPr>
        <w:t>4</w:t>
      </w:r>
      <w:r w:rsidRPr="00080CD7">
        <w:rPr>
          <w:rFonts w:cs="Lucida Sans Unicode"/>
          <w:b/>
          <w:bCs/>
          <w:position w:val="0"/>
          <w:sz w:val="20"/>
          <w:szCs w:val="20"/>
        </w:rPr>
        <w:t xml:space="preserve">: </w:t>
      </w:r>
      <w:r w:rsidR="00454C8B">
        <w:rPr>
          <w:rFonts w:cs="Lucida Sans Unicode"/>
          <w:b/>
          <w:bCs/>
          <w:position w:val="0"/>
          <w:sz w:val="20"/>
          <w:szCs w:val="20"/>
        </w:rPr>
        <w:t xml:space="preserve">Umsatz leicht über Vorjahreshöhe </w:t>
      </w:r>
      <w:r w:rsidR="00695728">
        <w:rPr>
          <w:rFonts w:cs="Lucida Sans Unicode"/>
          <w:b/>
          <w:bCs/>
          <w:position w:val="0"/>
          <w:sz w:val="20"/>
          <w:szCs w:val="20"/>
        </w:rPr>
        <w:br/>
      </w:r>
      <w:r w:rsidR="00472150">
        <w:rPr>
          <w:rFonts w:cs="Lucida Sans Unicode"/>
          <w:b/>
          <w:bCs/>
          <w:position w:val="0"/>
          <w:sz w:val="20"/>
          <w:szCs w:val="20"/>
        </w:rPr>
        <w:t>(2013: 12,9 Milliarden €)</w:t>
      </w:r>
      <w:r w:rsidR="00454C8B">
        <w:rPr>
          <w:rFonts w:cs="Lucida Sans Unicode"/>
          <w:b/>
          <w:bCs/>
          <w:position w:val="0"/>
          <w:sz w:val="20"/>
          <w:szCs w:val="20"/>
        </w:rPr>
        <w:t xml:space="preserve"> und bereinigtes EBITDA zwischen 1,8 und 2,1 Milliarden € (2013: 2,0 Milliarden €) erwartet </w:t>
      </w:r>
      <w:r w:rsidRPr="00080CD7">
        <w:rPr>
          <w:rFonts w:cs="Lucida Sans Unicode"/>
          <w:b/>
          <w:bCs/>
          <w:position w:val="0"/>
          <w:sz w:val="20"/>
          <w:szCs w:val="20"/>
        </w:rPr>
        <w:br/>
      </w:r>
    </w:p>
    <w:p w:rsidR="00CF5D09" w:rsidRPr="00080CD7" w:rsidRDefault="007A01E6" w:rsidP="009D734A">
      <w:pPr>
        <w:spacing w:line="300" w:lineRule="atLeast"/>
        <w:rPr>
          <w:sz w:val="20"/>
          <w:szCs w:val="20"/>
        </w:rPr>
      </w:pPr>
      <w:r w:rsidRPr="00080CD7">
        <w:rPr>
          <w:sz w:val="20"/>
          <w:szCs w:val="20"/>
        </w:rPr>
        <w:t>Essen.</w:t>
      </w:r>
      <w:r w:rsidR="006369CB" w:rsidRPr="00080CD7">
        <w:rPr>
          <w:sz w:val="20"/>
          <w:szCs w:val="20"/>
        </w:rPr>
        <w:t xml:space="preserve"> „</w:t>
      </w:r>
      <w:r w:rsidR="004C14DE">
        <w:rPr>
          <w:sz w:val="20"/>
          <w:szCs w:val="20"/>
        </w:rPr>
        <w:t>Evonik ist da</w:t>
      </w:r>
      <w:r w:rsidR="006369CB" w:rsidRPr="00080CD7">
        <w:rPr>
          <w:sz w:val="20"/>
          <w:szCs w:val="20"/>
        </w:rPr>
        <w:t xml:space="preserve">: </w:t>
      </w:r>
      <w:r w:rsidR="002E65CA">
        <w:rPr>
          <w:sz w:val="20"/>
          <w:szCs w:val="20"/>
        </w:rPr>
        <w:t>Wir sind</w:t>
      </w:r>
      <w:r w:rsidR="006369CB" w:rsidRPr="00080CD7">
        <w:rPr>
          <w:sz w:val="20"/>
          <w:szCs w:val="20"/>
        </w:rPr>
        <w:t xml:space="preserve"> an der Börse </w:t>
      </w:r>
      <w:r w:rsidR="007212FD" w:rsidRPr="00080CD7">
        <w:rPr>
          <w:sz w:val="20"/>
          <w:szCs w:val="20"/>
        </w:rPr>
        <w:t xml:space="preserve">angekommen </w:t>
      </w:r>
      <w:r w:rsidR="008C0C6D">
        <w:rPr>
          <w:sz w:val="20"/>
          <w:szCs w:val="20"/>
        </w:rPr>
        <w:t xml:space="preserve">und seit vergangenem Sommer aufgrund des </w:t>
      </w:r>
      <w:r w:rsidR="002E65CA">
        <w:rPr>
          <w:sz w:val="20"/>
          <w:szCs w:val="20"/>
        </w:rPr>
        <w:t>mehrheitlichen Verkauf</w:t>
      </w:r>
      <w:r w:rsidR="008C0C6D">
        <w:rPr>
          <w:sz w:val="20"/>
          <w:szCs w:val="20"/>
        </w:rPr>
        <w:t>s</w:t>
      </w:r>
      <w:r w:rsidR="002E65CA">
        <w:rPr>
          <w:sz w:val="20"/>
          <w:szCs w:val="20"/>
        </w:rPr>
        <w:t xml:space="preserve"> unserer Immobilienaktivitäten ein </w:t>
      </w:r>
      <w:r w:rsidR="00F313D0">
        <w:rPr>
          <w:sz w:val="20"/>
          <w:szCs w:val="20"/>
        </w:rPr>
        <w:t>gut aufgestelltes</w:t>
      </w:r>
      <w:r w:rsidR="006564DF">
        <w:rPr>
          <w:sz w:val="20"/>
          <w:szCs w:val="20"/>
        </w:rPr>
        <w:t xml:space="preserve">, fokussiertes </w:t>
      </w:r>
      <w:r w:rsidR="002E65CA">
        <w:rPr>
          <w:sz w:val="20"/>
          <w:szCs w:val="20"/>
        </w:rPr>
        <w:t>Spezialchemie</w:t>
      </w:r>
      <w:r w:rsidR="006564DF">
        <w:rPr>
          <w:sz w:val="20"/>
          <w:szCs w:val="20"/>
        </w:rPr>
        <w:t>-</w:t>
      </w:r>
      <w:r w:rsidR="002E65CA">
        <w:rPr>
          <w:sz w:val="20"/>
          <w:szCs w:val="20"/>
        </w:rPr>
        <w:t xml:space="preserve">unternehmen. </w:t>
      </w:r>
      <w:r w:rsidR="001A5161">
        <w:rPr>
          <w:sz w:val="20"/>
          <w:szCs w:val="20"/>
        </w:rPr>
        <w:t>Die Umsetzung unserer Wachstumsstrategie hat 2013 deutliche Fortschritte gemacht:</w:t>
      </w:r>
      <w:r w:rsidR="006A7D89">
        <w:rPr>
          <w:sz w:val="20"/>
          <w:szCs w:val="20"/>
        </w:rPr>
        <w:t xml:space="preserve"> </w:t>
      </w:r>
      <w:r w:rsidR="001A5161">
        <w:rPr>
          <w:sz w:val="20"/>
          <w:szCs w:val="20"/>
        </w:rPr>
        <w:t>E</w:t>
      </w:r>
      <w:r w:rsidR="002E65CA">
        <w:rPr>
          <w:sz w:val="20"/>
          <w:szCs w:val="20"/>
        </w:rPr>
        <w:t>rste große</w:t>
      </w:r>
      <w:r w:rsidR="00C96091">
        <w:rPr>
          <w:sz w:val="20"/>
          <w:szCs w:val="20"/>
        </w:rPr>
        <w:t xml:space="preserve"> Projekte </w:t>
      </w:r>
      <w:r w:rsidR="002E65CA">
        <w:rPr>
          <w:sz w:val="20"/>
          <w:szCs w:val="20"/>
        </w:rPr>
        <w:t xml:space="preserve">unseres ehrgeizigen Investitionsprogramms </w:t>
      </w:r>
      <w:r w:rsidR="001A5161">
        <w:rPr>
          <w:sz w:val="20"/>
          <w:szCs w:val="20"/>
        </w:rPr>
        <w:t xml:space="preserve">wurden bereits </w:t>
      </w:r>
      <w:r w:rsidR="00C96091">
        <w:rPr>
          <w:sz w:val="20"/>
          <w:szCs w:val="20"/>
        </w:rPr>
        <w:t>fertiggestellt</w:t>
      </w:r>
      <w:r w:rsidR="00C2424B" w:rsidRPr="00080CD7">
        <w:rPr>
          <w:sz w:val="20"/>
          <w:szCs w:val="20"/>
        </w:rPr>
        <w:t>“</w:t>
      </w:r>
      <w:r w:rsidR="00424167" w:rsidRPr="00080CD7">
        <w:rPr>
          <w:sz w:val="20"/>
          <w:szCs w:val="20"/>
        </w:rPr>
        <w:t>,</w:t>
      </w:r>
      <w:r w:rsidRPr="00080CD7">
        <w:rPr>
          <w:sz w:val="20"/>
          <w:szCs w:val="20"/>
        </w:rPr>
        <w:t xml:space="preserve"> </w:t>
      </w:r>
      <w:r w:rsidR="00424167" w:rsidRPr="00080CD7">
        <w:rPr>
          <w:sz w:val="20"/>
          <w:szCs w:val="20"/>
        </w:rPr>
        <w:t xml:space="preserve">erklärte Klaus Engel, Vorsitzender des Vorstandes der Evonik Industries AG, heute </w:t>
      </w:r>
      <w:r w:rsidR="00F1056D">
        <w:rPr>
          <w:sz w:val="20"/>
          <w:szCs w:val="20"/>
        </w:rPr>
        <w:t>anlässlich</w:t>
      </w:r>
      <w:r w:rsidR="00424167" w:rsidRPr="00080CD7">
        <w:rPr>
          <w:sz w:val="20"/>
          <w:szCs w:val="20"/>
        </w:rPr>
        <w:t xml:space="preserve"> der Bilanzpressekonferenz des Konzerns. </w:t>
      </w:r>
    </w:p>
    <w:p w:rsidR="007D4F0E" w:rsidRPr="00080CD7" w:rsidRDefault="007D4F0E" w:rsidP="009D734A">
      <w:pPr>
        <w:spacing w:line="300" w:lineRule="atLeast"/>
        <w:rPr>
          <w:sz w:val="20"/>
          <w:szCs w:val="20"/>
        </w:rPr>
      </w:pPr>
    </w:p>
    <w:p w:rsidR="00A57660" w:rsidRPr="00080CD7" w:rsidRDefault="00424167" w:rsidP="009D734A">
      <w:pPr>
        <w:spacing w:line="300" w:lineRule="atLeast"/>
        <w:rPr>
          <w:sz w:val="20"/>
          <w:szCs w:val="20"/>
        </w:rPr>
      </w:pPr>
      <w:r w:rsidRPr="00080CD7">
        <w:rPr>
          <w:sz w:val="20"/>
          <w:szCs w:val="20"/>
        </w:rPr>
        <w:t>2013</w:t>
      </w:r>
      <w:r w:rsidR="007212FD" w:rsidRPr="00080CD7">
        <w:rPr>
          <w:sz w:val="20"/>
          <w:szCs w:val="20"/>
        </w:rPr>
        <w:t xml:space="preserve"> war</w:t>
      </w:r>
      <w:r w:rsidRPr="00080CD7">
        <w:rPr>
          <w:sz w:val="20"/>
          <w:szCs w:val="20"/>
        </w:rPr>
        <w:t xml:space="preserve"> das gesamtwirtschaftliche Umfeld für Evonik schwieriger als </w:t>
      </w:r>
      <w:r w:rsidR="007212FD" w:rsidRPr="00080CD7">
        <w:rPr>
          <w:sz w:val="20"/>
          <w:szCs w:val="20"/>
        </w:rPr>
        <w:t>e</w:t>
      </w:r>
      <w:r w:rsidRPr="00080CD7">
        <w:rPr>
          <w:sz w:val="20"/>
          <w:szCs w:val="20"/>
        </w:rPr>
        <w:t>rwartet</w:t>
      </w:r>
      <w:r w:rsidR="007212FD" w:rsidRPr="00080CD7">
        <w:rPr>
          <w:sz w:val="20"/>
          <w:szCs w:val="20"/>
        </w:rPr>
        <w:t xml:space="preserve">. </w:t>
      </w:r>
      <w:r w:rsidR="00C96091">
        <w:rPr>
          <w:sz w:val="20"/>
          <w:szCs w:val="20"/>
        </w:rPr>
        <w:t xml:space="preserve">Bei </w:t>
      </w:r>
      <w:r w:rsidR="00052E5F">
        <w:rPr>
          <w:sz w:val="20"/>
          <w:szCs w:val="20"/>
        </w:rPr>
        <w:t>gestiegener</w:t>
      </w:r>
      <w:r w:rsidR="00C96091">
        <w:rPr>
          <w:sz w:val="20"/>
          <w:szCs w:val="20"/>
        </w:rPr>
        <w:t xml:space="preserve"> Mengenentwicklung </w:t>
      </w:r>
      <w:r w:rsidR="00D30F02">
        <w:rPr>
          <w:sz w:val="20"/>
          <w:szCs w:val="20"/>
        </w:rPr>
        <w:t>führten</w:t>
      </w:r>
      <w:r w:rsidR="00C96091">
        <w:rPr>
          <w:sz w:val="20"/>
          <w:szCs w:val="20"/>
        </w:rPr>
        <w:t xml:space="preserve"> insbesondere sinkende Verkaufspreise zu rückläufigen operativen Ergebnissen. „Trotz </w:t>
      </w:r>
      <w:r w:rsidR="00E15F00">
        <w:rPr>
          <w:sz w:val="20"/>
          <w:szCs w:val="20"/>
        </w:rPr>
        <w:lastRenderedPageBreak/>
        <w:t>des schwierigen Marktumfeld</w:t>
      </w:r>
      <w:r w:rsidR="00C96091">
        <w:rPr>
          <w:sz w:val="20"/>
          <w:szCs w:val="20"/>
        </w:rPr>
        <w:t xml:space="preserve">s hat sich unser Geschäft solide entwickelt“, sagte Engel. </w:t>
      </w:r>
      <w:r w:rsidR="00A57660" w:rsidRPr="00080CD7">
        <w:rPr>
          <w:sz w:val="20"/>
          <w:szCs w:val="20"/>
        </w:rPr>
        <w:t xml:space="preserve">„Wir werden </w:t>
      </w:r>
      <w:r w:rsidR="005E5FEA" w:rsidRPr="00080CD7">
        <w:rPr>
          <w:sz w:val="20"/>
          <w:szCs w:val="20"/>
        </w:rPr>
        <w:t>unsere Effizienz in den operativen und administrativen Bereichen weiter steigern</w:t>
      </w:r>
      <w:r w:rsidR="00686144" w:rsidRPr="00080CD7">
        <w:rPr>
          <w:sz w:val="20"/>
          <w:szCs w:val="20"/>
        </w:rPr>
        <w:t xml:space="preserve"> und konsequent unsere Kostenpositionen verbessern</w:t>
      </w:r>
      <w:r w:rsidR="005E5FEA" w:rsidRPr="00080CD7">
        <w:rPr>
          <w:sz w:val="20"/>
          <w:szCs w:val="20"/>
        </w:rPr>
        <w:t xml:space="preserve">. Damit unterstützen wir unsere Wettbewerbsfähigkeit und zugleich unseren profitablen Wachstumskurs“, betonte </w:t>
      </w:r>
      <w:r w:rsidR="00C96091">
        <w:rPr>
          <w:sz w:val="20"/>
          <w:szCs w:val="20"/>
        </w:rPr>
        <w:t>er</w:t>
      </w:r>
      <w:r w:rsidR="005E5FEA" w:rsidRPr="00080CD7">
        <w:rPr>
          <w:sz w:val="20"/>
          <w:szCs w:val="20"/>
        </w:rPr>
        <w:t xml:space="preserve">. </w:t>
      </w:r>
    </w:p>
    <w:p w:rsidR="00910AD0" w:rsidRPr="00080CD7" w:rsidRDefault="00910AD0" w:rsidP="009D734A">
      <w:pPr>
        <w:spacing w:line="300" w:lineRule="atLeast"/>
        <w:rPr>
          <w:sz w:val="20"/>
          <w:szCs w:val="20"/>
        </w:rPr>
      </w:pPr>
    </w:p>
    <w:p w:rsidR="00446957" w:rsidRPr="00080CD7" w:rsidRDefault="00C96280" w:rsidP="00B777B9">
      <w:pPr>
        <w:spacing w:line="300" w:lineRule="atLeast"/>
        <w:rPr>
          <w:sz w:val="20"/>
          <w:szCs w:val="20"/>
        </w:rPr>
      </w:pPr>
      <w:r w:rsidRPr="00B777B9">
        <w:rPr>
          <w:sz w:val="20"/>
          <w:szCs w:val="20"/>
        </w:rPr>
        <w:t xml:space="preserve">Evonik erwartet für das Geschäftsjahr 2014 einen leicht über Vorjahreshöhe liegenden </w:t>
      </w:r>
      <w:r w:rsidRPr="00B777B9">
        <w:rPr>
          <w:b/>
          <w:sz w:val="20"/>
          <w:szCs w:val="20"/>
        </w:rPr>
        <w:t>Umsatz</w:t>
      </w:r>
      <w:r w:rsidRPr="00B777B9">
        <w:rPr>
          <w:sz w:val="20"/>
          <w:szCs w:val="20"/>
        </w:rPr>
        <w:t xml:space="preserve"> (2013: 12,9 Milliarden €) und </w:t>
      </w:r>
      <w:r w:rsidR="00D42457">
        <w:rPr>
          <w:sz w:val="20"/>
          <w:szCs w:val="20"/>
        </w:rPr>
        <w:t xml:space="preserve">ein </w:t>
      </w:r>
      <w:r w:rsidR="00D42457" w:rsidRPr="006F37D2">
        <w:rPr>
          <w:sz w:val="20"/>
          <w:szCs w:val="20"/>
        </w:rPr>
        <w:t>bereinigtes</w:t>
      </w:r>
      <w:r w:rsidR="00D42457" w:rsidRPr="00E559D0">
        <w:rPr>
          <w:b/>
          <w:sz w:val="20"/>
          <w:szCs w:val="20"/>
        </w:rPr>
        <w:t xml:space="preserve"> EBITDA</w:t>
      </w:r>
      <w:r w:rsidR="00D42457">
        <w:rPr>
          <w:sz w:val="20"/>
          <w:szCs w:val="20"/>
        </w:rPr>
        <w:t xml:space="preserve"> zwischen 1,8 und 2,1 Milliarden € (2013: 2,0 Milliarden €)</w:t>
      </w:r>
      <w:r w:rsidRPr="00B777B9">
        <w:rPr>
          <w:sz w:val="20"/>
          <w:szCs w:val="20"/>
        </w:rPr>
        <w:t>.</w:t>
      </w:r>
    </w:p>
    <w:p w:rsidR="00C156F6" w:rsidRDefault="00C156F6" w:rsidP="009D734A">
      <w:pPr>
        <w:rPr>
          <w:sz w:val="20"/>
          <w:szCs w:val="20"/>
        </w:rPr>
      </w:pPr>
    </w:p>
    <w:p w:rsidR="000938A7" w:rsidRPr="00080CD7" w:rsidRDefault="000938A7" w:rsidP="009D734A">
      <w:pPr>
        <w:rPr>
          <w:sz w:val="20"/>
          <w:szCs w:val="20"/>
        </w:rPr>
      </w:pPr>
    </w:p>
    <w:p w:rsidR="0011685B" w:rsidRPr="00080CD7" w:rsidRDefault="0011685B" w:rsidP="009D734A">
      <w:pPr>
        <w:rPr>
          <w:b/>
          <w:sz w:val="20"/>
          <w:szCs w:val="20"/>
        </w:rPr>
      </w:pPr>
      <w:r w:rsidRPr="00080CD7">
        <w:rPr>
          <w:b/>
          <w:sz w:val="20"/>
          <w:szCs w:val="20"/>
        </w:rPr>
        <w:t>Geschäftsentwicklung im Jahr 2013:</w:t>
      </w:r>
    </w:p>
    <w:p w:rsidR="0011685B" w:rsidRPr="00080CD7" w:rsidRDefault="0011685B" w:rsidP="009D734A">
      <w:pPr>
        <w:rPr>
          <w:sz w:val="20"/>
          <w:szCs w:val="20"/>
        </w:rPr>
      </w:pPr>
    </w:p>
    <w:p w:rsidR="009D734A" w:rsidRPr="00080CD7" w:rsidRDefault="00446957" w:rsidP="009D734A">
      <w:pPr>
        <w:spacing w:line="300" w:lineRule="atLeast"/>
        <w:rPr>
          <w:b/>
          <w:sz w:val="20"/>
          <w:szCs w:val="20"/>
        </w:rPr>
      </w:pPr>
      <w:r w:rsidRPr="00080CD7">
        <w:rPr>
          <w:b/>
          <w:sz w:val="20"/>
          <w:szCs w:val="20"/>
        </w:rPr>
        <w:t>Konzernu</w:t>
      </w:r>
      <w:r w:rsidR="009D734A" w:rsidRPr="00080CD7">
        <w:rPr>
          <w:b/>
          <w:sz w:val="20"/>
          <w:szCs w:val="20"/>
        </w:rPr>
        <w:t xml:space="preserve">msatz organisch nahezu stabil </w:t>
      </w:r>
      <w:r w:rsidR="005E5FEA" w:rsidRPr="00080CD7">
        <w:rPr>
          <w:b/>
          <w:sz w:val="20"/>
          <w:szCs w:val="20"/>
        </w:rPr>
        <w:t>–</w:t>
      </w:r>
      <w:r w:rsidR="009D734A" w:rsidRPr="00080CD7">
        <w:rPr>
          <w:b/>
          <w:sz w:val="20"/>
          <w:szCs w:val="20"/>
        </w:rPr>
        <w:t xml:space="preserve"> </w:t>
      </w:r>
      <w:r w:rsidR="00E15F00">
        <w:rPr>
          <w:b/>
          <w:sz w:val="20"/>
          <w:szCs w:val="20"/>
        </w:rPr>
        <w:t>S</w:t>
      </w:r>
      <w:r w:rsidR="005E5FEA" w:rsidRPr="00080CD7">
        <w:rPr>
          <w:b/>
          <w:sz w:val="20"/>
          <w:szCs w:val="20"/>
        </w:rPr>
        <w:t>olide operative Ergebnisse</w:t>
      </w:r>
    </w:p>
    <w:p w:rsidR="00446957" w:rsidRPr="00080CD7" w:rsidRDefault="00446957" w:rsidP="009D734A">
      <w:pPr>
        <w:spacing w:line="300" w:lineRule="atLeast"/>
        <w:rPr>
          <w:b/>
          <w:sz w:val="20"/>
          <w:szCs w:val="20"/>
        </w:rPr>
      </w:pPr>
    </w:p>
    <w:p w:rsidR="00446957" w:rsidRPr="00080CD7" w:rsidRDefault="00446957" w:rsidP="009D734A">
      <w:pPr>
        <w:spacing w:line="300" w:lineRule="atLeast"/>
        <w:rPr>
          <w:sz w:val="20"/>
          <w:szCs w:val="20"/>
        </w:rPr>
      </w:pPr>
      <w:r w:rsidRPr="00080CD7">
        <w:rPr>
          <w:sz w:val="20"/>
          <w:szCs w:val="20"/>
        </w:rPr>
        <w:t xml:space="preserve">Das geringere Wirtschaftswachstum in den für Evonik wichtigen Regionen Asien-Pazifik und Nordamerika sowie die anhaltend schwache Entwicklung in Europa haben sich </w:t>
      </w:r>
      <w:r w:rsidR="0011685B" w:rsidRPr="00080CD7">
        <w:rPr>
          <w:sz w:val="20"/>
          <w:szCs w:val="20"/>
        </w:rPr>
        <w:t xml:space="preserve">im Jahr 2013 </w:t>
      </w:r>
      <w:r w:rsidRPr="00080CD7">
        <w:rPr>
          <w:sz w:val="20"/>
          <w:szCs w:val="20"/>
        </w:rPr>
        <w:t xml:space="preserve">auf die Endkundenindustrien </w:t>
      </w:r>
      <w:r w:rsidR="00FD7B4E">
        <w:rPr>
          <w:sz w:val="20"/>
          <w:szCs w:val="20"/>
        </w:rPr>
        <w:t>und damit</w:t>
      </w:r>
      <w:r w:rsidRPr="00080CD7">
        <w:rPr>
          <w:sz w:val="20"/>
          <w:szCs w:val="20"/>
        </w:rPr>
        <w:t xml:space="preserve"> auch auf die Geschäftsentwicklung von Evonik ausgewirkt. Das schwierige Marktumfeld führte </w:t>
      </w:r>
      <w:r w:rsidR="00E6412C" w:rsidRPr="00080CD7">
        <w:rPr>
          <w:sz w:val="20"/>
          <w:szCs w:val="20"/>
        </w:rPr>
        <w:t xml:space="preserve">insgesamt zu einem spürbaren Druck auf die Verkaufspreise, </w:t>
      </w:r>
      <w:r w:rsidR="002827A1">
        <w:rPr>
          <w:sz w:val="20"/>
          <w:szCs w:val="20"/>
        </w:rPr>
        <w:t>in</w:t>
      </w:r>
      <w:r w:rsidRPr="00080CD7">
        <w:rPr>
          <w:sz w:val="20"/>
          <w:szCs w:val="20"/>
        </w:rPr>
        <w:t xml:space="preserve"> einigen wichtigen </w:t>
      </w:r>
      <w:r w:rsidR="002827A1">
        <w:rPr>
          <w:sz w:val="20"/>
          <w:szCs w:val="20"/>
        </w:rPr>
        <w:t>Geschäften</w:t>
      </w:r>
      <w:r w:rsidRPr="00080CD7">
        <w:rPr>
          <w:sz w:val="20"/>
          <w:szCs w:val="20"/>
        </w:rPr>
        <w:t xml:space="preserve"> </w:t>
      </w:r>
      <w:r w:rsidR="00B43ECD" w:rsidRPr="00080CD7">
        <w:rPr>
          <w:sz w:val="20"/>
          <w:szCs w:val="20"/>
        </w:rPr>
        <w:t xml:space="preserve">waren </w:t>
      </w:r>
      <w:r w:rsidRPr="00080CD7">
        <w:rPr>
          <w:sz w:val="20"/>
          <w:szCs w:val="20"/>
        </w:rPr>
        <w:t>deutlich</w:t>
      </w:r>
      <w:r w:rsidR="00B43ECD" w:rsidRPr="00080CD7">
        <w:rPr>
          <w:sz w:val="20"/>
          <w:szCs w:val="20"/>
        </w:rPr>
        <w:t>e</w:t>
      </w:r>
      <w:r w:rsidR="00E6412C" w:rsidRPr="00080CD7">
        <w:rPr>
          <w:sz w:val="20"/>
          <w:szCs w:val="20"/>
        </w:rPr>
        <w:t xml:space="preserve"> Preisrückgäng</w:t>
      </w:r>
      <w:r w:rsidR="00B43ECD" w:rsidRPr="00080CD7">
        <w:rPr>
          <w:sz w:val="20"/>
          <w:szCs w:val="20"/>
        </w:rPr>
        <w:t>e zu verzeichn</w:t>
      </w:r>
      <w:r w:rsidR="00E6412C" w:rsidRPr="00080CD7">
        <w:rPr>
          <w:sz w:val="20"/>
          <w:szCs w:val="20"/>
        </w:rPr>
        <w:t xml:space="preserve">en. Sehr erfreulich war dagegen die </w:t>
      </w:r>
      <w:r w:rsidR="00B43ECD" w:rsidRPr="00080CD7">
        <w:rPr>
          <w:sz w:val="20"/>
          <w:szCs w:val="20"/>
        </w:rPr>
        <w:t xml:space="preserve">weiterhin </w:t>
      </w:r>
      <w:r w:rsidR="00E6412C" w:rsidRPr="00080CD7">
        <w:rPr>
          <w:sz w:val="20"/>
          <w:szCs w:val="20"/>
        </w:rPr>
        <w:t>weltweit h</w:t>
      </w:r>
      <w:r w:rsidR="00B43ECD" w:rsidRPr="00080CD7">
        <w:rPr>
          <w:sz w:val="20"/>
          <w:szCs w:val="20"/>
        </w:rPr>
        <w:t>o</w:t>
      </w:r>
      <w:r w:rsidR="00E6412C" w:rsidRPr="00080CD7">
        <w:rPr>
          <w:sz w:val="20"/>
          <w:szCs w:val="20"/>
        </w:rPr>
        <w:t>he Nachfrage</w:t>
      </w:r>
      <w:r w:rsidR="00B43ECD" w:rsidRPr="00080CD7">
        <w:rPr>
          <w:sz w:val="20"/>
          <w:szCs w:val="20"/>
        </w:rPr>
        <w:t xml:space="preserve">, die insbesondere im 2. Halbjahr 2013 </w:t>
      </w:r>
      <w:r w:rsidR="00052E5F">
        <w:rPr>
          <w:sz w:val="20"/>
          <w:szCs w:val="20"/>
        </w:rPr>
        <w:t>im Vergleich zum Vorjahr zu</w:t>
      </w:r>
      <w:r w:rsidR="00F9261C">
        <w:rPr>
          <w:sz w:val="20"/>
          <w:szCs w:val="20"/>
        </w:rPr>
        <w:t xml:space="preserve"> </w:t>
      </w:r>
      <w:r w:rsidR="00B43ECD" w:rsidRPr="00080CD7">
        <w:rPr>
          <w:sz w:val="20"/>
          <w:szCs w:val="20"/>
        </w:rPr>
        <w:t xml:space="preserve">deutlichen Mengensteigerungen </w:t>
      </w:r>
      <w:r w:rsidR="00052E5F">
        <w:rPr>
          <w:sz w:val="20"/>
          <w:szCs w:val="20"/>
        </w:rPr>
        <w:t>führte</w:t>
      </w:r>
      <w:r w:rsidR="00B43ECD" w:rsidRPr="00080CD7">
        <w:rPr>
          <w:sz w:val="20"/>
          <w:szCs w:val="20"/>
        </w:rPr>
        <w:t>.</w:t>
      </w:r>
    </w:p>
    <w:p w:rsidR="00446957" w:rsidRPr="00080CD7" w:rsidRDefault="00446957" w:rsidP="009D734A">
      <w:pPr>
        <w:spacing w:line="300" w:lineRule="atLeast"/>
        <w:rPr>
          <w:sz w:val="20"/>
          <w:szCs w:val="20"/>
        </w:rPr>
      </w:pPr>
    </w:p>
    <w:p w:rsidR="00446957" w:rsidRPr="00080CD7" w:rsidRDefault="00446957" w:rsidP="009D734A">
      <w:pPr>
        <w:spacing w:line="300" w:lineRule="atLeast"/>
        <w:rPr>
          <w:sz w:val="20"/>
          <w:szCs w:val="20"/>
        </w:rPr>
      </w:pPr>
      <w:r w:rsidRPr="00080CD7">
        <w:rPr>
          <w:sz w:val="20"/>
          <w:szCs w:val="20"/>
        </w:rPr>
        <w:t xml:space="preserve">Im Jahr 2013 blieb der </w:t>
      </w:r>
      <w:r w:rsidRPr="00080CD7">
        <w:rPr>
          <w:b/>
          <w:sz w:val="20"/>
          <w:szCs w:val="20"/>
        </w:rPr>
        <w:t>Konzernumsatz</w:t>
      </w:r>
      <w:r w:rsidRPr="00080CD7">
        <w:rPr>
          <w:sz w:val="20"/>
          <w:szCs w:val="20"/>
        </w:rPr>
        <w:t xml:space="preserve"> organisch </w:t>
      </w:r>
      <w:r w:rsidR="00A80650" w:rsidRPr="00080CD7">
        <w:rPr>
          <w:sz w:val="20"/>
          <w:szCs w:val="20"/>
        </w:rPr>
        <w:t>mit -1 Prozent gegenüber dem Vorjahr nahezu stabil. Da</w:t>
      </w:r>
      <w:r w:rsidR="00FD7B4E">
        <w:rPr>
          <w:sz w:val="20"/>
          <w:szCs w:val="20"/>
        </w:rPr>
        <w:t>bei</w:t>
      </w:r>
      <w:r w:rsidR="00A80650" w:rsidRPr="00080CD7">
        <w:rPr>
          <w:sz w:val="20"/>
          <w:szCs w:val="20"/>
        </w:rPr>
        <w:t xml:space="preserve"> wirkten sich geringere Verkaufspreise (-5 Prozentpunkte) bei gestiegenen Mengen (4 Prozentpunkte) aus. </w:t>
      </w:r>
      <w:r w:rsidR="00A120EB">
        <w:rPr>
          <w:sz w:val="20"/>
          <w:szCs w:val="20"/>
        </w:rPr>
        <w:t>Sonstige Effekte (-2 Prozentpunkte), insbesonder</w:t>
      </w:r>
      <w:r w:rsidR="00A6063C">
        <w:rPr>
          <w:sz w:val="20"/>
          <w:szCs w:val="20"/>
        </w:rPr>
        <w:t>e</w:t>
      </w:r>
      <w:r w:rsidR="00A120EB">
        <w:rPr>
          <w:sz w:val="20"/>
          <w:szCs w:val="20"/>
        </w:rPr>
        <w:t xml:space="preserve"> aus der</w:t>
      </w:r>
      <w:r w:rsidR="00F9261C">
        <w:rPr>
          <w:sz w:val="20"/>
          <w:szCs w:val="20"/>
        </w:rPr>
        <w:t xml:space="preserve"> </w:t>
      </w:r>
      <w:r w:rsidR="00A80650" w:rsidRPr="00080CD7">
        <w:rPr>
          <w:sz w:val="20"/>
          <w:szCs w:val="20"/>
        </w:rPr>
        <w:t>Abgabe von zwei kleineren Geschäften</w:t>
      </w:r>
      <w:r w:rsidR="00F9261C">
        <w:rPr>
          <w:sz w:val="20"/>
          <w:szCs w:val="20"/>
        </w:rPr>
        <w:t xml:space="preserve"> </w:t>
      </w:r>
      <w:r w:rsidR="00A80650" w:rsidRPr="00080CD7">
        <w:rPr>
          <w:sz w:val="20"/>
          <w:szCs w:val="20"/>
        </w:rPr>
        <w:t>im Vorjahr</w:t>
      </w:r>
      <w:r w:rsidR="00E15F00">
        <w:rPr>
          <w:sz w:val="20"/>
          <w:szCs w:val="20"/>
        </w:rPr>
        <w:t>,</w:t>
      </w:r>
      <w:r w:rsidR="00A80650" w:rsidRPr="00080CD7">
        <w:rPr>
          <w:sz w:val="20"/>
          <w:szCs w:val="20"/>
        </w:rPr>
        <w:t xml:space="preserve"> sowie Währungseinfl</w:t>
      </w:r>
      <w:r w:rsidR="00F72E3B">
        <w:rPr>
          <w:sz w:val="20"/>
          <w:szCs w:val="20"/>
        </w:rPr>
        <w:t>üsse</w:t>
      </w:r>
      <w:r w:rsidR="00A80650" w:rsidRPr="00080CD7">
        <w:rPr>
          <w:sz w:val="20"/>
          <w:szCs w:val="20"/>
        </w:rPr>
        <w:t xml:space="preserve"> (-1 Prozentpunkt) führten insgesamt zu einem Umsatzrückgang um 4 Prozent auf 12.874 Millionen € (Vorjahr: 13.365 Millionen €).</w:t>
      </w:r>
    </w:p>
    <w:p w:rsidR="00A80650" w:rsidRPr="00080CD7" w:rsidRDefault="00A80650" w:rsidP="009D734A">
      <w:pPr>
        <w:spacing w:line="300" w:lineRule="atLeast"/>
        <w:rPr>
          <w:sz w:val="20"/>
          <w:szCs w:val="20"/>
        </w:rPr>
      </w:pPr>
    </w:p>
    <w:p w:rsidR="008A6D73" w:rsidRPr="00080CD7" w:rsidRDefault="00A80650" w:rsidP="009D734A">
      <w:pPr>
        <w:spacing w:line="300" w:lineRule="atLeast"/>
        <w:rPr>
          <w:sz w:val="20"/>
          <w:szCs w:val="20"/>
        </w:rPr>
      </w:pPr>
      <w:r w:rsidRPr="00080CD7">
        <w:rPr>
          <w:sz w:val="20"/>
          <w:szCs w:val="20"/>
        </w:rPr>
        <w:t xml:space="preserve">Die operativen Ergebnisse erreichten 2013 vor allem aufgrund geringerer Verkaufspreise </w:t>
      </w:r>
      <w:r w:rsidR="00FD7B4E">
        <w:rPr>
          <w:sz w:val="20"/>
          <w:szCs w:val="20"/>
        </w:rPr>
        <w:t xml:space="preserve">in </w:t>
      </w:r>
      <w:r w:rsidRPr="00080CD7">
        <w:rPr>
          <w:sz w:val="20"/>
          <w:szCs w:val="20"/>
        </w:rPr>
        <w:t xml:space="preserve">einigen wichtigen </w:t>
      </w:r>
      <w:r w:rsidR="00FD7B4E">
        <w:rPr>
          <w:sz w:val="20"/>
          <w:szCs w:val="20"/>
        </w:rPr>
        <w:t>Geschäften</w:t>
      </w:r>
      <w:r w:rsidRPr="00080CD7">
        <w:rPr>
          <w:sz w:val="20"/>
          <w:szCs w:val="20"/>
        </w:rPr>
        <w:t xml:space="preserve"> nicht die sehr hohen Vorjahreswerte. Insgesamt nahm das bereinigte </w:t>
      </w:r>
      <w:r w:rsidRPr="00080CD7">
        <w:rPr>
          <w:b/>
          <w:sz w:val="20"/>
          <w:szCs w:val="20"/>
        </w:rPr>
        <w:t>EBITDA</w:t>
      </w:r>
      <w:r w:rsidRPr="00080CD7">
        <w:rPr>
          <w:sz w:val="20"/>
          <w:szCs w:val="20"/>
        </w:rPr>
        <w:t xml:space="preserve"> um 19 Prozent auf 2.007 Millionen € (Vorjahr: 2.4</w:t>
      </w:r>
      <w:r w:rsidR="00FD7B4E">
        <w:rPr>
          <w:sz w:val="20"/>
          <w:szCs w:val="20"/>
        </w:rPr>
        <w:t>6</w:t>
      </w:r>
      <w:r w:rsidRPr="00080CD7">
        <w:rPr>
          <w:sz w:val="20"/>
          <w:szCs w:val="20"/>
        </w:rPr>
        <w:t xml:space="preserve">7 Millionen €) und das bereinigte </w:t>
      </w:r>
      <w:r w:rsidRPr="00080CD7">
        <w:rPr>
          <w:b/>
          <w:sz w:val="20"/>
          <w:szCs w:val="20"/>
        </w:rPr>
        <w:lastRenderedPageBreak/>
        <w:t>EBIT</w:t>
      </w:r>
      <w:r w:rsidRPr="00080CD7">
        <w:rPr>
          <w:sz w:val="20"/>
          <w:szCs w:val="20"/>
        </w:rPr>
        <w:t xml:space="preserve"> um </w:t>
      </w:r>
      <w:r w:rsidR="008A6D73" w:rsidRPr="00080CD7">
        <w:rPr>
          <w:sz w:val="20"/>
          <w:szCs w:val="20"/>
        </w:rPr>
        <w:t xml:space="preserve">25 Prozent auf 1.424 Millionen € (Vorjahr: 1.887 Millionen €) ab. Die bereinigte </w:t>
      </w:r>
      <w:r w:rsidR="008A6D73" w:rsidRPr="001361E3">
        <w:rPr>
          <w:b/>
          <w:sz w:val="20"/>
          <w:szCs w:val="20"/>
        </w:rPr>
        <w:t>EBITDA-Marge</w:t>
      </w:r>
      <w:r w:rsidR="008A6D73" w:rsidRPr="00080CD7">
        <w:rPr>
          <w:sz w:val="20"/>
          <w:szCs w:val="20"/>
        </w:rPr>
        <w:t xml:space="preserve"> erreichte mit 15,6 Prozent ein </w:t>
      </w:r>
      <w:r w:rsidR="008A6D73" w:rsidRPr="00B777B9">
        <w:rPr>
          <w:sz w:val="20"/>
          <w:szCs w:val="20"/>
        </w:rPr>
        <w:t>ansprechendes</w:t>
      </w:r>
      <w:r w:rsidR="008A6D73" w:rsidRPr="00080CD7">
        <w:rPr>
          <w:sz w:val="20"/>
          <w:szCs w:val="20"/>
        </w:rPr>
        <w:t xml:space="preserve"> Niveau (Vorjahr: 1</w:t>
      </w:r>
      <w:r w:rsidR="00F10EAD" w:rsidRPr="00080CD7">
        <w:rPr>
          <w:sz w:val="20"/>
          <w:szCs w:val="20"/>
        </w:rPr>
        <w:t>8,5</w:t>
      </w:r>
      <w:r w:rsidR="008A6D73" w:rsidRPr="00080CD7">
        <w:rPr>
          <w:sz w:val="20"/>
          <w:szCs w:val="20"/>
        </w:rPr>
        <w:t xml:space="preserve"> Prozent).</w:t>
      </w:r>
    </w:p>
    <w:p w:rsidR="008A6D73" w:rsidRPr="00080CD7" w:rsidRDefault="008A6D73" w:rsidP="009D734A">
      <w:pPr>
        <w:spacing w:line="300" w:lineRule="atLeast"/>
        <w:rPr>
          <w:sz w:val="20"/>
          <w:szCs w:val="20"/>
        </w:rPr>
      </w:pPr>
    </w:p>
    <w:p w:rsidR="008A6D73" w:rsidRPr="00080CD7" w:rsidRDefault="008A6D73" w:rsidP="009D734A">
      <w:pPr>
        <w:spacing w:line="300" w:lineRule="atLeast"/>
        <w:rPr>
          <w:b/>
          <w:sz w:val="20"/>
          <w:szCs w:val="20"/>
        </w:rPr>
      </w:pPr>
      <w:r w:rsidRPr="00080CD7">
        <w:rPr>
          <w:b/>
          <w:sz w:val="20"/>
          <w:szCs w:val="20"/>
        </w:rPr>
        <w:t>Konzernergebnis erheblich gesteigert</w:t>
      </w:r>
      <w:r w:rsidR="0020383C" w:rsidRPr="00080CD7">
        <w:rPr>
          <w:b/>
          <w:sz w:val="20"/>
          <w:szCs w:val="20"/>
        </w:rPr>
        <w:t xml:space="preserve"> </w:t>
      </w:r>
    </w:p>
    <w:p w:rsidR="008A6D73" w:rsidRPr="00080CD7" w:rsidRDefault="008A6D73" w:rsidP="009D734A">
      <w:pPr>
        <w:spacing w:line="300" w:lineRule="atLeast"/>
        <w:rPr>
          <w:sz w:val="20"/>
          <w:szCs w:val="20"/>
        </w:rPr>
      </w:pPr>
    </w:p>
    <w:p w:rsidR="0046504B" w:rsidRDefault="00F10EAD" w:rsidP="009D734A">
      <w:pPr>
        <w:spacing w:line="300" w:lineRule="atLeast"/>
        <w:rPr>
          <w:sz w:val="20"/>
          <w:szCs w:val="20"/>
        </w:rPr>
      </w:pPr>
      <w:r w:rsidRPr="00080CD7">
        <w:rPr>
          <w:sz w:val="20"/>
          <w:szCs w:val="20"/>
        </w:rPr>
        <w:t xml:space="preserve">Das </w:t>
      </w:r>
      <w:r w:rsidRPr="00080CD7">
        <w:rPr>
          <w:b/>
          <w:sz w:val="20"/>
          <w:szCs w:val="20"/>
        </w:rPr>
        <w:t xml:space="preserve">Ergebnis </w:t>
      </w:r>
      <w:r w:rsidR="007C69D4">
        <w:rPr>
          <w:b/>
          <w:sz w:val="20"/>
          <w:szCs w:val="20"/>
        </w:rPr>
        <w:t>vor</w:t>
      </w:r>
      <w:r w:rsidRPr="00080CD7">
        <w:rPr>
          <w:b/>
          <w:sz w:val="20"/>
          <w:szCs w:val="20"/>
        </w:rPr>
        <w:t xml:space="preserve"> Ertragsteuern der fortgeführten Aktivitäten</w:t>
      </w:r>
      <w:r w:rsidRPr="00080CD7">
        <w:rPr>
          <w:sz w:val="20"/>
          <w:szCs w:val="20"/>
        </w:rPr>
        <w:t xml:space="preserve"> ging um </w:t>
      </w:r>
      <w:r w:rsidR="00E15F00">
        <w:rPr>
          <w:sz w:val="20"/>
          <w:szCs w:val="20"/>
        </w:rPr>
        <w:br/>
      </w:r>
      <w:r w:rsidRPr="00080CD7">
        <w:rPr>
          <w:sz w:val="20"/>
          <w:szCs w:val="20"/>
        </w:rPr>
        <w:t>4</w:t>
      </w:r>
      <w:r w:rsidR="007C69D4">
        <w:rPr>
          <w:sz w:val="20"/>
          <w:szCs w:val="20"/>
        </w:rPr>
        <w:t>6</w:t>
      </w:r>
      <w:r w:rsidRPr="00080CD7">
        <w:rPr>
          <w:sz w:val="20"/>
          <w:szCs w:val="20"/>
        </w:rPr>
        <w:t xml:space="preserve"> Prozent auf </w:t>
      </w:r>
      <w:r w:rsidR="007C69D4">
        <w:rPr>
          <w:sz w:val="20"/>
          <w:szCs w:val="20"/>
        </w:rPr>
        <w:t>836</w:t>
      </w:r>
      <w:r w:rsidRPr="00080CD7">
        <w:rPr>
          <w:sz w:val="20"/>
          <w:szCs w:val="20"/>
        </w:rPr>
        <w:t xml:space="preserve"> Millionen € zurück (Vorjahr:</w:t>
      </w:r>
      <w:r w:rsidR="0020383C" w:rsidRPr="00080CD7">
        <w:rPr>
          <w:sz w:val="20"/>
          <w:szCs w:val="20"/>
        </w:rPr>
        <w:t xml:space="preserve"> 1.</w:t>
      </w:r>
      <w:r w:rsidR="007C69D4">
        <w:rPr>
          <w:sz w:val="20"/>
          <w:szCs w:val="20"/>
        </w:rPr>
        <w:t>556</w:t>
      </w:r>
      <w:r w:rsidR="0020383C" w:rsidRPr="00080CD7">
        <w:rPr>
          <w:sz w:val="20"/>
          <w:szCs w:val="20"/>
        </w:rPr>
        <w:t xml:space="preserve"> Millionen €). </w:t>
      </w:r>
      <w:r w:rsidR="001B32AC">
        <w:rPr>
          <w:sz w:val="20"/>
          <w:szCs w:val="20"/>
        </w:rPr>
        <w:t>Dies ist neben der sch</w:t>
      </w:r>
      <w:r w:rsidR="00AD1E33">
        <w:rPr>
          <w:sz w:val="20"/>
          <w:szCs w:val="20"/>
        </w:rPr>
        <w:t>w</w:t>
      </w:r>
      <w:r w:rsidR="001B32AC">
        <w:rPr>
          <w:sz w:val="20"/>
          <w:szCs w:val="20"/>
        </w:rPr>
        <w:t>ächeren oper</w:t>
      </w:r>
      <w:r w:rsidR="00AD1E33">
        <w:rPr>
          <w:sz w:val="20"/>
          <w:szCs w:val="20"/>
        </w:rPr>
        <w:t>ativen Geschäftsentwicklung a</w:t>
      </w:r>
      <w:r w:rsidR="001B32AC">
        <w:rPr>
          <w:sz w:val="20"/>
          <w:szCs w:val="20"/>
        </w:rPr>
        <w:t xml:space="preserve">uf höhere </w:t>
      </w:r>
      <w:r w:rsidR="00AD1E33">
        <w:rPr>
          <w:sz w:val="20"/>
          <w:szCs w:val="20"/>
        </w:rPr>
        <w:t xml:space="preserve">Einmalbelastungen aus den Bereinigungen zurückzuführen. </w:t>
      </w:r>
      <w:r w:rsidR="00AD1E33" w:rsidRPr="00AD1E33">
        <w:rPr>
          <w:sz w:val="20"/>
          <w:szCs w:val="20"/>
        </w:rPr>
        <w:t xml:space="preserve">Die </w:t>
      </w:r>
      <w:r w:rsidR="00AD1E33" w:rsidRPr="00E15F00">
        <w:rPr>
          <w:b/>
          <w:sz w:val="20"/>
          <w:szCs w:val="20"/>
        </w:rPr>
        <w:t>Bereinigungen</w:t>
      </w:r>
      <w:r w:rsidR="00AD1E33" w:rsidRPr="00AD1E33">
        <w:rPr>
          <w:sz w:val="20"/>
          <w:szCs w:val="20"/>
        </w:rPr>
        <w:t xml:space="preserve"> von -333 Millionen € sind ein Saldo von nicht operativen Aufwendungen und Erträgen mit einmaligem bzw. selten</w:t>
      </w:r>
      <w:r w:rsidR="00AD1E33">
        <w:rPr>
          <w:sz w:val="20"/>
          <w:szCs w:val="20"/>
        </w:rPr>
        <w:t>em Charakter</w:t>
      </w:r>
      <w:r w:rsidR="00AD1E33" w:rsidRPr="00AD1E33">
        <w:rPr>
          <w:sz w:val="20"/>
          <w:szCs w:val="20"/>
        </w:rPr>
        <w:t>. Hierin enthalten waren im Wesentlichen Restrukturierungsaufwendungen hauptsächlich im Zusammenhang mit geplanten aufbau- und ablauforganisatorischen Optimierungen im Verwaltungs- und Servicebereich sowie der Stilllegung von Produktionsanlagen im Segment Specialty Materials</w:t>
      </w:r>
      <w:r w:rsidR="005608E0">
        <w:rPr>
          <w:sz w:val="20"/>
          <w:szCs w:val="20"/>
        </w:rPr>
        <w:t>,</w:t>
      </w:r>
      <w:r w:rsidR="00A6063C">
        <w:rPr>
          <w:sz w:val="20"/>
          <w:szCs w:val="20"/>
        </w:rPr>
        <w:t xml:space="preserve"> </w:t>
      </w:r>
      <w:r w:rsidR="00AD1E33" w:rsidRPr="00AD1E33">
        <w:rPr>
          <w:sz w:val="20"/>
          <w:szCs w:val="20"/>
        </w:rPr>
        <w:t xml:space="preserve">Wertminderungen auf Produktionsanlagen der Segmente Resource Efficiency und Specialty Materials </w:t>
      </w:r>
      <w:r w:rsidR="00A6063C">
        <w:rPr>
          <w:sz w:val="20"/>
          <w:szCs w:val="20"/>
        </w:rPr>
        <w:t>sowie</w:t>
      </w:r>
      <w:r w:rsidR="00AD1E33" w:rsidRPr="00AD1E33">
        <w:rPr>
          <w:sz w:val="20"/>
          <w:szCs w:val="20"/>
        </w:rPr>
        <w:t xml:space="preserve"> weitere Aufwendungen unter anderem aus dem Verkauf früherer Randaktivitäten.</w:t>
      </w:r>
      <w:r w:rsidR="001B32AC">
        <w:rPr>
          <w:sz w:val="20"/>
          <w:szCs w:val="20"/>
        </w:rPr>
        <w:t xml:space="preserve"> </w:t>
      </w:r>
    </w:p>
    <w:p w:rsidR="0046504B" w:rsidRDefault="0046504B" w:rsidP="009D734A">
      <w:pPr>
        <w:spacing w:line="300" w:lineRule="atLeast"/>
        <w:rPr>
          <w:sz w:val="20"/>
          <w:szCs w:val="20"/>
        </w:rPr>
      </w:pPr>
    </w:p>
    <w:p w:rsidR="004C650D" w:rsidRDefault="0020383C" w:rsidP="009D734A">
      <w:pPr>
        <w:spacing w:line="300" w:lineRule="atLeast"/>
        <w:rPr>
          <w:sz w:val="20"/>
          <w:szCs w:val="20"/>
        </w:rPr>
      </w:pPr>
      <w:r w:rsidRPr="00080CD7">
        <w:rPr>
          <w:sz w:val="20"/>
          <w:szCs w:val="20"/>
        </w:rPr>
        <w:t xml:space="preserve">Das </w:t>
      </w:r>
      <w:r w:rsidRPr="00080CD7">
        <w:rPr>
          <w:b/>
          <w:sz w:val="20"/>
          <w:szCs w:val="20"/>
        </w:rPr>
        <w:t xml:space="preserve">Ergebnis nach </w:t>
      </w:r>
      <w:r w:rsidR="00E559D0">
        <w:rPr>
          <w:b/>
          <w:sz w:val="20"/>
          <w:szCs w:val="20"/>
        </w:rPr>
        <w:t>S</w:t>
      </w:r>
      <w:r w:rsidRPr="00080CD7">
        <w:rPr>
          <w:b/>
          <w:sz w:val="20"/>
          <w:szCs w:val="20"/>
        </w:rPr>
        <w:t>teuern der nicht fortgeführten Aktivitäten</w:t>
      </w:r>
      <w:r w:rsidRPr="00080CD7">
        <w:rPr>
          <w:sz w:val="20"/>
          <w:szCs w:val="20"/>
        </w:rPr>
        <w:t xml:space="preserve"> von </w:t>
      </w:r>
      <w:r w:rsidR="00E9718A">
        <w:rPr>
          <w:sz w:val="20"/>
          <w:szCs w:val="20"/>
        </w:rPr>
        <w:br/>
      </w:r>
      <w:r w:rsidRPr="00080CD7">
        <w:rPr>
          <w:sz w:val="20"/>
          <w:szCs w:val="20"/>
        </w:rPr>
        <w:t xml:space="preserve">1.397 Millionen € </w:t>
      </w:r>
      <w:r w:rsidR="00016ADF">
        <w:rPr>
          <w:sz w:val="20"/>
          <w:szCs w:val="20"/>
        </w:rPr>
        <w:t xml:space="preserve">(Vorjahr: 65 Millionen €) </w:t>
      </w:r>
      <w:r w:rsidRPr="00080CD7">
        <w:rPr>
          <w:sz w:val="20"/>
          <w:szCs w:val="20"/>
        </w:rPr>
        <w:t>enthält maßgeblich das Veräußerungsergebnis der Immobilienaktivitäten, deren mehrheitlicher Verkauf im Juli 2013 erfolgreich umgesetzt wurde</w:t>
      </w:r>
      <w:r w:rsidR="004C650D">
        <w:rPr>
          <w:sz w:val="20"/>
          <w:szCs w:val="20"/>
        </w:rPr>
        <w:t>.</w:t>
      </w:r>
      <w:r w:rsidRPr="00080CD7">
        <w:rPr>
          <w:sz w:val="20"/>
          <w:szCs w:val="20"/>
        </w:rPr>
        <w:t xml:space="preserve"> </w:t>
      </w:r>
      <w:r w:rsidR="002B59E4" w:rsidRPr="00080CD7">
        <w:rPr>
          <w:sz w:val="20"/>
          <w:szCs w:val="20"/>
        </w:rPr>
        <w:t xml:space="preserve">Das </w:t>
      </w:r>
      <w:r w:rsidR="002B59E4" w:rsidRPr="00080CD7">
        <w:rPr>
          <w:b/>
          <w:sz w:val="20"/>
          <w:szCs w:val="20"/>
        </w:rPr>
        <w:t>Konzernergebnis</w:t>
      </w:r>
      <w:r w:rsidR="00C27BFB" w:rsidRPr="00080CD7">
        <w:rPr>
          <w:sz w:val="20"/>
          <w:szCs w:val="20"/>
        </w:rPr>
        <w:t xml:space="preserve"> stieg infolge</w:t>
      </w:r>
      <w:r w:rsidR="00CA6651">
        <w:rPr>
          <w:sz w:val="20"/>
          <w:szCs w:val="20"/>
        </w:rPr>
        <w:t>dessen</w:t>
      </w:r>
      <w:r w:rsidR="004C650D">
        <w:rPr>
          <w:sz w:val="20"/>
          <w:szCs w:val="20"/>
        </w:rPr>
        <w:t xml:space="preserve"> </w:t>
      </w:r>
      <w:r w:rsidR="00C27BFB" w:rsidRPr="00080CD7">
        <w:rPr>
          <w:sz w:val="20"/>
          <w:szCs w:val="20"/>
        </w:rPr>
        <w:t>um 76 Prozent auf 2.054 Millionen € (Vorjahr</w:t>
      </w:r>
      <w:r w:rsidR="00E15F00">
        <w:rPr>
          <w:sz w:val="20"/>
          <w:szCs w:val="20"/>
        </w:rPr>
        <w:t>:</w:t>
      </w:r>
      <w:r w:rsidR="00C27BFB" w:rsidRPr="00080CD7">
        <w:rPr>
          <w:sz w:val="20"/>
          <w:szCs w:val="20"/>
        </w:rPr>
        <w:t xml:space="preserve"> </w:t>
      </w:r>
      <w:r w:rsidR="00E9718A">
        <w:rPr>
          <w:sz w:val="20"/>
          <w:szCs w:val="20"/>
        </w:rPr>
        <w:br/>
      </w:r>
      <w:r w:rsidR="00C27BFB" w:rsidRPr="00080CD7">
        <w:rPr>
          <w:sz w:val="20"/>
          <w:szCs w:val="20"/>
        </w:rPr>
        <w:t>1.165 Millionen €).</w:t>
      </w:r>
    </w:p>
    <w:p w:rsidR="004C650D" w:rsidRDefault="004C650D" w:rsidP="009D734A">
      <w:pPr>
        <w:spacing w:line="300" w:lineRule="atLeast"/>
        <w:rPr>
          <w:sz w:val="20"/>
          <w:szCs w:val="20"/>
        </w:rPr>
      </w:pPr>
    </w:p>
    <w:p w:rsidR="004C650D" w:rsidRDefault="00C27BFB" w:rsidP="009D734A">
      <w:pPr>
        <w:spacing w:line="300" w:lineRule="atLeast"/>
        <w:rPr>
          <w:sz w:val="20"/>
          <w:szCs w:val="20"/>
        </w:rPr>
      </w:pPr>
      <w:r w:rsidRPr="00080CD7">
        <w:rPr>
          <w:sz w:val="20"/>
          <w:szCs w:val="20"/>
        </w:rPr>
        <w:t xml:space="preserve">Das </w:t>
      </w:r>
      <w:r w:rsidRPr="00080CD7">
        <w:rPr>
          <w:b/>
          <w:sz w:val="20"/>
          <w:szCs w:val="20"/>
        </w:rPr>
        <w:t>bereinigte Konzernergebnis</w:t>
      </w:r>
      <w:r w:rsidRPr="00080CD7">
        <w:rPr>
          <w:sz w:val="20"/>
          <w:szCs w:val="20"/>
        </w:rPr>
        <w:t>, das weder Effekte aus den Bereinigungen noch aus den nicht fortgeführten Akt</w:t>
      </w:r>
      <w:r w:rsidR="00DA6BB8">
        <w:rPr>
          <w:sz w:val="20"/>
          <w:szCs w:val="20"/>
        </w:rPr>
        <w:t>i</w:t>
      </w:r>
      <w:r w:rsidRPr="00080CD7">
        <w:rPr>
          <w:sz w:val="20"/>
          <w:szCs w:val="20"/>
        </w:rPr>
        <w:t xml:space="preserve">vitäten – und damit nicht das Veräußerungsergebnis des Immobiliengeschäfts – enthält, verringerte sich aufgrund der operativen Geschäftsentwicklung um </w:t>
      </w:r>
      <w:r w:rsidR="00E9718A">
        <w:rPr>
          <w:sz w:val="20"/>
          <w:szCs w:val="20"/>
        </w:rPr>
        <w:br/>
      </w:r>
      <w:r w:rsidRPr="00080CD7">
        <w:rPr>
          <w:sz w:val="20"/>
          <w:szCs w:val="20"/>
        </w:rPr>
        <w:t xml:space="preserve">23 Prozent auf 830 Millionen € (Vorjahr: 1.076 Millionen €). Das </w:t>
      </w:r>
      <w:r w:rsidRPr="00080CD7">
        <w:rPr>
          <w:b/>
          <w:sz w:val="20"/>
          <w:szCs w:val="20"/>
        </w:rPr>
        <w:t>bereinigte Ergebnis je Aktie</w:t>
      </w:r>
      <w:r w:rsidRPr="00080CD7">
        <w:rPr>
          <w:sz w:val="20"/>
          <w:szCs w:val="20"/>
        </w:rPr>
        <w:t xml:space="preserve"> ging entsprechend von 2,31 € auf 1,78 € zurück. </w:t>
      </w:r>
    </w:p>
    <w:p w:rsidR="004C650D" w:rsidRDefault="004C650D" w:rsidP="009D734A">
      <w:pPr>
        <w:spacing w:line="300" w:lineRule="atLeast"/>
        <w:rPr>
          <w:sz w:val="20"/>
          <w:szCs w:val="20"/>
        </w:rPr>
      </w:pPr>
    </w:p>
    <w:p w:rsidR="0062065B" w:rsidRDefault="00C27BFB" w:rsidP="009D734A">
      <w:pPr>
        <w:spacing w:line="300" w:lineRule="atLeast"/>
        <w:rPr>
          <w:sz w:val="20"/>
          <w:szCs w:val="20"/>
        </w:rPr>
      </w:pPr>
      <w:r w:rsidRPr="00080CD7">
        <w:rPr>
          <w:sz w:val="20"/>
          <w:szCs w:val="20"/>
        </w:rPr>
        <w:t xml:space="preserve">Vorstand </w:t>
      </w:r>
      <w:r w:rsidR="005C7A3B">
        <w:rPr>
          <w:sz w:val="20"/>
          <w:szCs w:val="20"/>
        </w:rPr>
        <w:t xml:space="preserve">und Aufsichtsrat werden </w:t>
      </w:r>
      <w:r w:rsidRPr="00080CD7">
        <w:rPr>
          <w:sz w:val="20"/>
          <w:szCs w:val="20"/>
        </w:rPr>
        <w:t xml:space="preserve">der Hauptversammlung am 20. Mai 2014 für das Jahr 2013 die Ausschüttung einer </w:t>
      </w:r>
      <w:r w:rsidRPr="00080CD7">
        <w:rPr>
          <w:b/>
          <w:sz w:val="20"/>
          <w:szCs w:val="20"/>
        </w:rPr>
        <w:t>Dividende</w:t>
      </w:r>
      <w:r w:rsidRPr="00080CD7">
        <w:rPr>
          <w:sz w:val="20"/>
          <w:szCs w:val="20"/>
        </w:rPr>
        <w:t xml:space="preserve"> in Höhe von 1,00 € je Stückaktie </w:t>
      </w:r>
      <w:r w:rsidR="00750EE5">
        <w:rPr>
          <w:sz w:val="20"/>
          <w:szCs w:val="20"/>
        </w:rPr>
        <w:t xml:space="preserve">(Vorjahr: 0,92 €) </w:t>
      </w:r>
      <w:r w:rsidRPr="00080CD7">
        <w:rPr>
          <w:sz w:val="20"/>
          <w:szCs w:val="20"/>
        </w:rPr>
        <w:t xml:space="preserve">vorschlagen. </w:t>
      </w:r>
    </w:p>
    <w:p w:rsidR="006A7D89" w:rsidRDefault="006A7D89" w:rsidP="009D734A">
      <w:pPr>
        <w:spacing w:line="300" w:lineRule="atLeast"/>
        <w:rPr>
          <w:sz w:val="20"/>
          <w:szCs w:val="20"/>
        </w:rPr>
      </w:pPr>
    </w:p>
    <w:p w:rsidR="00044C1C" w:rsidRPr="00080CD7" w:rsidRDefault="00044C1C" w:rsidP="009D734A">
      <w:pPr>
        <w:spacing w:line="300" w:lineRule="atLeast"/>
        <w:rPr>
          <w:sz w:val="20"/>
          <w:szCs w:val="20"/>
        </w:rPr>
      </w:pPr>
    </w:p>
    <w:p w:rsidR="0062065B" w:rsidRPr="00080CD7" w:rsidRDefault="00CA6651" w:rsidP="009D734A">
      <w:pPr>
        <w:spacing w:line="300" w:lineRule="atLeast"/>
        <w:rPr>
          <w:b/>
          <w:sz w:val="20"/>
          <w:szCs w:val="20"/>
        </w:rPr>
      </w:pPr>
      <w:r>
        <w:rPr>
          <w:b/>
          <w:sz w:val="20"/>
          <w:szCs w:val="20"/>
        </w:rPr>
        <w:t xml:space="preserve">Attraktive Kapitalverzinsung </w:t>
      </w:r>
      <w:r w:rsidR="00F95C47" w:rsidRPr="00080CD7">
        <w:rPr>
          <w:b/>
          <w:sz w:val="20"/>
          <w:szCs w:val="20"/>
        </w:rPr>
        <w:t>–</w:t>
      </w:r>
      <w:r w:rsidR="006524C3" w:rsidRPr="00080CD7">
        <w:rPr>
          <w:b/>
          <w:sz w:val="20"/>
          <w:szCs w:val="20"/>
        </w:rPr>
        <w:t xml:space="preserve"> </w:t>
      </w:r>
      <w:r w:rsidR="00E11789">
        <w:rPr>
          <w:b/>
          <w:sz w:val="20"/>
          <w:szCs w:val="20"/>
        </w:rPr>
        <w:t xml:space="preserve">Erste große </w:t>
      </w:r>
      <w:r w:rsidR="00F95C47" w:rsidRPr="00080CD7">
        <w:rPr>
          <w:b/>
          <w:sz w:val="20"/>
          <w:szCs w:val="20"/>
        </w:rPr>
        <w:t>Wachstumsprojekte fertiggestellt</w:t>
      </w:r>
    </w:p>
    <w:p w:rsidR="0062065B" w:rsidRPr="00080CD7" w:rsidRDefault="0062065B" w:rsidP="009D734A">
      <w:pPr>
        <w:spacing w:line="300" w:lineRule="atLeast"/>
        <w:rPr>
          <w:sz w:val="20"/>
          <w:szCs w:val="20"/>
        </w:rPr>
      </w:pPr>
    </w:p>
    <w:p w:rsidR="00B13861" w:rsidRPr="00080CD7" w:rsidRDefault="0062065B" w:rsidP="009D734A">
      <w:pPr>
        <w:spacing w:line="300" w:lineRule="atLeast"/>
        <w:rPr>
          <w:sz w:val="20"/>
          <w:szCs w:val="20"/>
        </w:rPr>
      </w:pPr>
      <w:r w:rsidRPr="00080CD7">
        <w:rPr>
          <w:sz w:val="20"/>
          <w:szCs w:val="20"/>
        </w:rPr>
        <w:t xml:space="preserve">Mit einem </w:t>
      </w:r>
      <w:r w:rsidRPr="00E559D0">
        <w:rPr>
          <w:b/>
          <w:sz w:val="20"/>
          <w:szCs w:val="20"/>
        </w:rPr>
        <w:t>ROCE</w:t>
      </w:r>
      <w:r w:rsidRPr="00080CD7">
        <w:rPr>
          <w:sz w:val="20"/>
          <w:szCs w:val="20"/>
        </w:rPr>
        <w:t xml:space="preserve"> von 14,5 Prozent erzielte Evonik eine attraktive Verzinsung des eingesetzten Kapitals</w:t>
      </w:r>
      <w:r w:rsidR="005C5211" w:rsidRPr="00080CD7">
        <w:rPr>
          <w:sz w:val="20"/>
          <w:szCs w:val="20"/>
        </w:rPr>
        <w:t xml:space="preserve">, die deutlich über dem Kapitalkostensatz </w:t>
      </w:r>
      <w:r w:rsidR="004944D0">
        <w:rPr>
          <w:sz w:val="20"/>
          <w:szCs w:val="20"/>
        </w:rPr>
        <w:t>v</w:t>
      </w:r>
      <w:r w:rsidR="005C5211" w:rsidRPr="00080CD7">
        <w:rPr>
          <w:sz w:val="20"/>
          <w:szCs w:val="20"/>
        </w:rPr>
        <w:t xml:space="preserve">on 10,5 Prozent </w:t>
      </w:r>
      <w:r w:rsidR="004944D0">
        <w:rPr>
          <w:sz w:val="20"/>
          <w:szCs w:val="20"/>
        </w:rPr>
        <w:t xml:space="preserve">vor Steuern </w:t>
      </w:r>
      <w:r w:rsidR="005C5211" w:rsidRPr="00080CD7">
        <w:rPr>
          <w:sz w:val="20"/>
          <w:szCs w:val="20"/>
        </w:rPr>
        <w:t>lag.</w:t>
      </w:r>
      <w:r w:rsidR="0020383C" w:rsidRPr="00080CD7">
        <w:rPr>
          <w:sz w:val="20"/>
          <w:szCs w:val="20"/>
        </w:rPr>
        <w:t xml:space="preserve"> </w:t>
      </w:r>
      <w:r w:rsidR="005C5211" w:rsidRPr="00080CD7">
        <w:rPr>
          <w:sz w:val="20"/>
          <w:szCs w:val="20"/>
        </w:rPr>
        <w:t xml:space="preserve">Der Rückgang </w:t>
      </w:r>
      <w:r w:rsidR="00E15F00">
        <w:rPr>
          <w:sz w:val="20"/>
          <w:szCs w:val="20"/>
        </w:rPr>
        <w:t xml:space="preserve">des ROCE </w:t>
      </w:r>
      <w:r w:rsidR="005C5211" w:rsidRPr="00080CD7">
        <w:rPr>
          <w:sz w:val="20"/>
          <w:szCs w:val="20"/>
        </w:rPr>
        <w:t xml:space="preserve">gegenüber dem ausgezeichneten Vorjahreswert (20,4 Prozent) ist </w:t>
      </w:r>
      <w:r w:rsidR="00D96B4A">
        <w:rPr>
          <w:sz w:val="20"/>
          <w:szCs w:val="20"/>
        </w:rPr>
        <w:t>neben de</w:t>
      </w:r>
      <w:r w:rsidR="00016ADF">
        <w:rPr>
          <w:sz w:val="20"/>
          <w:szCs w:val="20"/>
        </w:rPr>
        <w:t>r</w:t>
      </w:r>
      <w:r w:rsidR="00D96B4A">
        <w:rPr>
          <w:sz w:val="20"/>
          <w:szCs w:val="20"/>
        </w:rPr>
        <w:t xml:space="preserve"> operativen Ergebnis</w:t>
      </w:r>
      <w:r w:rsidR="00016ADF">
        <w:rPr>
          <w:sz w:val="20"/>
          <w:szCs w:val="20"/>
        </w:rPr>
        <w:t>abschwächung</w:t>
      </w:r>
      <w:r w:rsidR="00D96B4A">
        <w:rPr>
          <w:sz w:val="20"/>
          <w:szCs w:val="20"/>
        </w:rPr>
        <w:t xml:space="preserve"> auch </w:t>
      </w:r>
      <w:r w:rsidR="005C5211" w:rsidRPr="00080CD7">
        <w:rPr>
          <w:sz w:val="20"/>
          <w:szCs w:val="20"/>
        </w:rPr>
        <w:t xml:space="preserve">auf die </w:t>
      </w:r>
      <w:r w:rsidR="002827A1">
        <w:rPr>
          <w:sz w:val="20"/>
          <w:szCs w:val="20"/>
        </w:rPr>
        <w:t>planmä</w:t>
      </w:r>
      <w:r w:rsidR="00AD1E33">
        <w:rPr>
          <w:sz w:val="20"/>
          <w:szCs w:val="20"/>
        </w:rPr>
        <w:t>ß</w:t>
      </w:r>
      <w:r w:rsidR="002827A1">
        <w:rPr>
          <w:sz w:val="20"/>
          <w:szCs w:val="20"/>
        </w:rPr>
        <w:t xml:space="preserve">ig </w:t>
      </w:r>
      <w:r w:rsidR="005C5211" w:rsidRPr="00080CD7">
        <w:rPr>
          <w:sz w:val="20"/>
          <w:szCs w:val="20"/>
        </w:rPr>
        <w:t>gestiegene Investitionstätigkeit zurückzuführen, die das Capital Employed erhöhte, sich aber noch nicht im bereinigten EBIT auswirkte.</w:t>
      </w:r>
    </w:p>
    <w:p w:rsidR="00B13861" w:rsidRPr="00080CD7" w:rsidRDefault="00B13861" w:rsidP="009D734A">
      <w:pPr>
        <w:spacing w:line="300" w:lineRule="atLeast"/>
        <w:rPr>
          <w:sz w:val="20"/>
          <w:szCs w:val="20"/>
        </w:rPr>
      </w:pPr>
    </w:p>
    <w:p w:rsidR="00B64F9E" w:rsidRPr="00080CD7" w:rsidRDefault="00B13861" w:rsidP="009D734A">
      <w:pPr>
        <w:spacing w:line="300" w:lineRule="atLeast"/>
        <w:rPr>
          <w:sz w:val="20"/>
          <w:szCs w:val="20"/>
        </w:rPr>
      </w:pPr>
      <w:r w:rsidRPr="00080CD7">
        <w:rPr>
          <w:sz w:val="20"/>
          <w:szCs w:val="20"/>
        </w:rPr>
        <w:t xml:space="preserve">Der </w:t>
      </w:r>
      <w:r w:rsidRPr="00080CD7">
        <w:rPr>
          <w:b/>
          <w:sz w:val="20"/>
          <w:szCs w:val="20"/>
        </w:rPr>
        <w:t>Cashflow aus laufender Geschäftstätigkeit fortgeführter Aktivitäten</w:t>
      </w:r>
      <w:r w:rsidRPr="00080CD7">
        <w:rPr>
          <w:sz w:val="20"/>
          <w:szCs w:val="20"/>
        </w:rPr>
        <w:t xml:space="preserve"> blieb 2013 mit 1.086 Millionen € um 309 Millionen € unter dem Vorjahr. Einschließlich des Cashflows der nicht fortgeführten Aktivitäten ging der </w:t>
      </w:r>
      <w:r w:rsidRPr="00080CD7">
        <w:rPr>
          <w:b/>
          <w:sz w:val="20"/>
          <w:szCs w:val="20"/>
        </w:rPr>
        <w:t>Cashflow aus laufender Geschäftstätigkeit</w:t>
      </w:r>
      <w:r w:rsidRPr="00080CD7">
        <w:rPr>
          <w:sz w:val="20"/>
          <w:szCs w:val="20"/>
        </w:rPr>
        <w:t xml:space="preserve"> um 337 Millionen € auf 1.083 Millionen € zurück.</w:t>
      </w:r>
      <w:r w:rsidR="00B64F9E" w:rsidRPr="00080CD7">
        <w:rPr>
          <w:sz w:val="20"/>
          <w:szCs w:val="20"/>
        </w:rPr>
        <w:t xml:space="preserve"> Die </w:t>
      </w:r>
      <w:r w:rsidR="00B64F9E" w:rsidRPr="00080CD7">
        <w:rPr>
          <w:b/>
          <w:sz w:val="20"/>
          <w:szCs w:val="20"/>
        </w:rPr>
        <w:t>Sachinvestitionen</w:t>
      </w:r>
      <w:r w:rsidR="00B64F9E" w:rsidRPr="00080CD7">
        <w:rPr>
          <w:sz w:val="20"/>
          <w:szCs w:val="20"/>
        </w:rPr>
        <w:t xml:space="preserve"> stiegen vor allem aufgrund der strategischen Wachstumsprojekte um 18 Prozent auf 1.135 Millionen € (Vorjahr: 960 Millionen €). </w:t>
      </w:r>
    </w:p>
    <w:p w:rsidR="00B64F9E" w:rsidRPr="00080CD7" w:rsidRDefault="00B64F9E" w:rsidP="009D734A">
      <w:pPr>
        <w:spacing w:line="300" w:lineRule="atLeast"/>
        <w:rPr>
          <w:sz w:val="20"/>
          <w:szCs w:val="20"/>
        </w:rPr>
      </w:pPr>
    </w:p>
    <w:p w:rsidR="00B64F9E" w:rsidRDefault="004D074C" w:rsidP="009D734A">
      <w:pPr>
        <w:spacing w:line="300" w:lineRule="atLeast"/>
        <w:rPr>
          <w:sz w:val="20"/>
          <w:szCs w:val="20"/>
        </w:rPr>
      </w:pPr>
      <w:r w:rsidRPr="007A7D8B">
        <w:rPr>
          <w:sz w:val="20"/>
          <w:szCs w:val="20"/>
        </w:rPr>
        <w:t xml:space="preserve">Evonik realisiert derzeit ein über 6 Milliarden € </w:t>
      </w:r>
      <w:r w:rsidR="00E11789">
        <w:rPr>
          <w:sz w:val="20"/>
          <w:szCs w:val="20"/>
        </w:rPr>
        <w:t xml:space="preserve">umfassendes </w:t>
      </w:r>
      <w:r w:rsidR="002E4651">
        <w:rPr>
          <w:sz w:val="20"/>
          <w:szCs w:val="20"/>
        </w:rPr>
        <w:t>Investitions</w:t>
      </w:r>
      <w:r w:rsidR="004C650D">
        <w:rPr>
          <w:sz w:val="20"/>
          <w:szCs w:val="20"/>
        </w:rPr>
        <w:t>p</w:t>
      </w:r>
      <w:r w:rsidRPr="007A7D8B">
        <w:rPr>
          <w:sz w:val="20"/>
          <w:szCs w:val="20"/>
        </w:rPr>
        <w:t xml:space="preserve">rogramm, aus dem 2013 erste große Projekte erfolgreich fertiggestellt wurden. Dazu zählen unter anderem die Superabsorberanlage in Saudi-Arabien, die </w:t>
      </w:r>
      <w:r w:rsidR="002827A1">
        <w:rPr>
          <w:sz w:val="20"/>
          <w:szCs w:val="20"/>
        </w:rPr>
        <w:t>gemeinsam mit</w:t>
      </w:r>
      <w:r w:rsidR="004C650D">
        <w:rPr>
          <w:sz w:val="20"/>
          <w:szCs w:val="20"/>
        </w:rPr>
        <w:t xml:space="preserve"> </w:t>
      </w:r>
      <w:r w:rsidRPr="007A7D8B">
        <w:rPr>
          <w:sz w:val="20"/>
          <w:szCs w:val="20"/>
        </w:rPr>
        <w:t>einem Joint</w:t>
      </w:r>
      <w:r w:rsidR="00016ADF">
        <w:rPr>
          <w:sz w:val="20"/>
          <w:szCs w:val="20"/>
        </w:rPr>
        <w:t>-</w:t>
      </w:r>
      <w:r w:rsidRPr="007A7D8B">
        <w:rPr>
          <w:sz w:val="20"/>
          <w:szCs w:val="20"/>
        </w:rPr>
        <w:t>Venture</w:t>
      </w:r>
      <w:r w:rsidR="005C7A3B">
        <w:rPr>
          <w:sz w:val="20"/>
          <w:szCs w:val="20"/>
        </w:rPr>
        <w:t>-Partner</w:t>
      </w:r>
      <w:r w:rsidRPr="007A7D8B">
        <w:rPr>
          <w:sz w:val="20"/>
          <w:szCs w:val="20"/>
        </w:rPr>
        <w:t xml:space="preserve"> gebaut wurde</w:t>
      </w:r>
      <w:r w:rsidR="001361E3">
        <w:rPr>
          <w:sz w:val="20"/>
          <w:szCs w:val="20"/>
        </w:rPr>
        <w:t>,</w:t>
      </w:r>
      <w:r w:rsidR="00CA6651">
        <w:rPr>
          <w:sz w:val="20"/>
          <w:szCs w:val="20"/>
        </w:rPr>
        <w:t xml:space="preserve"> sowie</w:t>
      </w:r>
      <w:r w:rsidRPr="007A7D8B">
        <w:rPr>
          <w:sz w:val="20"/>
          <w:szCs w:val="20"/>
        </w:rPr>
        <w:t xml:space="preserve"> die Produktionsanlage für organische Spezialtenside in Schanghai</w:t>
      </w:r>
      <w:r w:rsidR="00E15F00">
        <w:rPr>
          <w:sz w:val="20"/>
          <w:szCs w:val="20"/>
        </w:rPr>
        <w:t xml:space="preserve"> (China)</w:t>
      </w:r>
      <w:r w:rsidR="00CA6651">
        <w:rPr>
          <w:sz w:val="20"/>
          <w:szCs w:val="20"/>
        </w:rPr>
        <w:t>. Anfang 2014 wurde bereits</w:t>
      </w:r>
      <w:r w:rsidR="004C650D">
        <w:rPr>
          <w:sz w:val="20"/>
          <w:szCs w:val="20"/>
        </w:rPr>
        <w:t xml:space="preserve"> d</w:t>
      </w:r>
      <w:r w:rsidRPr="007A7D8B">
        <w:rPr>
          <w:sz w:val="20"/>
          <w:szCs w:val="20"/>
        </w:rPr>
        <w:t xml:space="preserve">ie </w:t>
      </w:r>
      <w:r w:rsidR="00D1237F" w:rsidRPr="007A7D8B">
        <w:rPr>
          <w:sz w:val="20"/>
          <w:szCs w:val="20"/>
        </w:rPr>
        <w:t xml:space="preserve">Anlage </w:t>
      </w:r>
      <w:r w:rsidRPr="007A7D8B">
        <w:rPr>
          <w:sz w:val="20"/>
          <w:szCs w:val="20"/>
        </w:rPr>
        <w:t>für Wasserstoffperoxid in Jilin</w:t>
      </w:r>
      <w:r w:rsidR="00016ADF">
        <w:rPr>
          <w:sz w:val="20"/>
          <w:szCs w:val="20"/>
        </w:rPr>
        <w:t xml:space="preserve"> (</w:t>
      </w:r>
      <w:r w:rsidRPr="007A7D8B">
        <w:rPr>
          <w:sz w:val="20"/>
          <w:szCs w:val="20"/>
        </w:rPr>
        <w:t>China</w:t>
      </w:r>
      <w:r w:rsidR="00016ADF">
        <w:rPr>
          <w:sz w:val="20"/>
          <w:szCs w:val="20"/>
        </w:rPr>
        <w:t>)</w:t>
      </w:r>
      <w:r w:rsidR="00FD7B4E">
        <w:rPr>
          <w:sz w:val="20"/>
          <w:szCs w:val="20"/>
        </w:rPr>
        <w:t xml:space="preserve"> fertiggestellt</w:t>
      </w:r>
      <w:r w:rsidR="004C650D">
        <w:rPr>
          <w:sz w:val="20"/>
          <w:szCs w:val="20"/>
        </w:rPr>
        <w:t>.</w:t>
      </w:r>
      <w:r w:rsidR="00FD7B4E">
        <w:rPr>
          <w:sz w:val="20"/>
          <w:szCs w:val="20"/>
        </w:rPr>
        <w:t xml:space="preserve"> Die neue</w:t>
      </w:r>
      <w:r w:rsidRPr="007A7D8B">
        <w:rPr>
          <w:sz w:val="20"/>
          <w:szCs w:val="20"/>
        </w:rPr>
        <w:t xml:space="preserve"> Methioninanlage in Singapur</w:t>
      </w:r>
      <w:r w:rsidR="00FD7B4E">
        <w:rPr>
          <w:sz w:val="20"/>
          <w:szCs w:val="20"/>
        </w:rPr>
        <w:t xml:space="preserve"> soll </w:t>
      </w:r>
      <w:r w:rsidRPr="007A7D8B">
        <w:rPr>
          <w:sz w:val="20"/>
          <w:szCs w:val="20"/>
        </w:rPr>
        <w:t xml:space="preserve">im </w:t>
      </w:r>
      <w:r w:rsidR="0062281E">
        <w:rPr>
          <w:sz w:val="20"/>
          <w:szCs w:val="20"/>
        </w:rPr>
        <w:t xml:space="preserve">zweiten Halbjahr </w:t>
      </w:r>
      <w:r w:rsidRPr="007A7D8B">
        <w:rPr>
          <w:sz w:val="20"/>
          <w:szCs w:val="20"/>
        </w:rPr>
        <w:t xml:space="preserve">2014 </w:t>
      </w:r>
      <w:r w:rsidR="00FD7B4E">
        <w:rPr>
          <w:sz w:val="20"/>
          <w:szCs w:val="20"/>
        </w:rPr>
        <w:t>anlaufen</w:t>
      </w:r>
      <w:r w:rsidRPr="007A7D8B">
        <w:rPr>
          <w:sz w:val="20"/>
          <w:szCs w:val="20"/>
        </w:rPr>
        <w:t>.</w:t>
      </w:r>
    </w:p>
    <w:p w:rsidR="002B7173" w:rsidRPr="007A7D8B" w:rsidRDefault="002B7173" w:rsidP="009D734A">
      <w:pPr>
        <w:spacing w:line="300" w:lineRule="atLeast"/>
        <w:rPr>
          <w:sz w:val="20"/>
          <w:szCs w:val="20"/>
        </w:rPr>
      </w:pPr>
    </w:p>
    <w:p w:rsidR="000A6898" w:rsidRPr="002B7173" w:rsidRDefault="000A6898" w:rsidP="009D734A">
      <w:pPr>
        <w:spacing w:line="300" w:lineRule="atLeast"/>
        <w:rPr>
          <w:sz w:val="20"/>
          <w:szCs w:val="20"/>
        </w:rPr>
      </w:pPr>
      <w:r w:rsidRPr="002B7173">
        <w:rPr>
          <w:sz w:val="20"/>
          <w:szCs w:val="20"/>
        </w:rPr>
        <w:t xml:space="preserve">Bei der weiteren Umsetzung des Investitionsprogramms wird Evonik diszipliniert vorgehen und noch nicht begonnene Projekte stets auf sich verändernde Marktgegebenheiten überprüfen. </w:t>
      </w:r>
      <w:r w:rsidR="005757FD" w:rsidRPr="002B7173">
        <w:rPr>
          <w:sz w:val="20"/>
          <w:szCs w:val="20"/>
        </w:rPr>
        <w:t xml:space="preserve">Für 2014 beträgt das Budget für Sachinvestitionen bis zu 1,4 Milliarden €. </w:t>
      </w:r>
      <w:r w:rsidRPr="002B7173">
        <w:rPr>
          <w:sz w:val="20"/>
          <w:szCs w:val="20"/>
        </w:rPr>
        <w:t>Die Finanzierung soll weitgehend aus dem erwirtschafteten Cashflow erfolgen.</w:t>
      </w:r>
    </w:p>
    <w:p w:rsidR="00FC6A93" w:rsidRDefault="00FC6A93" w:rsidP="009D734A">
      <w:pPr>
        <w:spacing w:line="300" w:lineRule="atLeast"/>
        <w:rPr>
          <w:b/>
          <w:sz w:val="20"/>
          <w:szCs w:val="20"/>
        </w:rPr>
      </w:pPr>
    </w:p>
    <w:p w:rsidR="00750E89" w:rsidRPr="00080CD7" w:rsidRDefault="00750E89" w:rsidP="009D734A">
      <w:pPr>
        <w:spacing w:line="300" w:lineRule="atLeast"/>
        <w:rPr>
          <w:b/>
          <w:sz w:val="20"/>
          <w:szCs w:val="20"/>
        </w:rPr>
      </w:pPr>
      <w:r w:rsidRPr="00080CD7">
        <w:rPr>
          <w:b/>
          <w:sz w:val="20"/>
          <w:szCs w:val="20"/>
        </w:rPr>
        <w:t>Finanzprofil entscheidend verbessert</w:t>
      </w:r>
      <w:r w:rsidR="0020383C" w:rsidRPr="00080CD7">
        <w:rPr>
          <w:b/>
          <w:sz w:val="20"/>
          <w:szCs w:val="20"/>
        </w:rPr>
        <w:t xml:space="preserve"> </w:t>
      </w:r>
    </w:p>
    <w:p w:rsidR="00750E89" w:rsidRPr="00080CD7" w:rsidRDefault="00750E89" w:rsidP="009D734A">
      <w:pPr>
        <w:spacing w:line="300" w:lineRule="atLeast"/>
        <w:rPr>
          <w:b/>
          <w:sz w:val="20"/>
          <w:szCs w:val="20"/>
        </w:rPr>
      </w:pPr>
    </w:p>
    <w:p w:rsidR="00A80650" w:rsidRPr="00080CD7" w:rsidRDefault="00750E89" w:rsidP="009D734A">
      <w:pPr>
        <w:spacing w:line="300" w:lineRule="atLeast"/>
        <w:rPr>
          <w:sz w:val="20"/>
          <w:szCs w:val="20"/>
        </w:rPr>
      </w:pPr>
      <w:r w:rsidRPr="00080CD7">
        <w:rPr>
          <w:sz w:val="20"/>
          <w:szCs w:val="20"/>
        </w:rPr>
        <w:t xml:space="preserve">Evonik hat sein Finanzprofil entscheidend verbessert. So verfügte das Unternehmen zum Jahresende 2013 über ein </w:t>
      </w:r>
      <w:r w:rsidRPr="00080CD7">
        <w:rPr>
          <w:b/>
          <w:sz w:val="20"/>
          <w:szCs w:val="20"/>
        </w:rPr>
        <w:t>Nettofinanzvermögen</w:t>
      </w:r>
      <w:r w:rsidRPr="00080CD7">
        <w:rPr>
          <w:sz w:val="20"/>
          <w:szCs w:val="20"/>
        </w:rPr>
        <w:t xml:space="preserve"> von </w:t>
      </w:r>
      <w:r w:rsidRPr="00080CD7">
        <w:rPr>
          <w:sz w:val="20"/>
          <w:szCs w:val="20"/>
        </w:rPr>
        <w:lastRenderedPageBreak/>
        <w:t xml:space="preserve">552 Millionen € gegenüber einer Nettofinanzverschuldung von 1.163 Millionen € am Jahresende 2012. </w:t>
      </w:r>
      <w:r w:rsidR="00E61D63">
        <w:rPr>
          <w:sz w:val="20"/>
          <w:szCs w:val="20"/>
        </w:rPr>
        <w:t xml:space="preserve">Hierzu trugen im Wesentlichen die Veräußerungs- und Entkonsolidierungseffekte der Immobilienaktivitäten bei. </w:t>
      </w:r>
    </w:p>
    <w:p w:rsidR="009D734A" w:rsidRPr="00080CD7" w:rsidRDefault="009D734A" w:rsidP="009D734A">
      <w:pPr>
        <w:spacing w:line="300" w:lineRule="atLeast"/>
        <w:rPr>
          <w:rFonts w:cs="Lucida Sans Unicode"/>
          <w:sz w:val="20"/>
          <w:szCs w:val="20"/>
        </w:rPr>
      </w:pPr>
    </w:p>
    <w:p w:rsidR="004C650D" w:rsidRDefault="009D734A" w:rsidP="009D734A">
      <w:pPr>
        <w:spacing w:line="300" w:lineRule="atLeast"/>
        <w:rPr>
          <w:b/>
          <w:sz w:val="20"/>
          <w:szCs w:val="20"/>
        </w:rPr>
      </w:pPr>
      <w:r w:rsidRPr="00080CD7">
        <w:rPr>
          <w:b/>
          <w:sz w:val="20"/>
          <w:szCs w:val="20"/>
        </w:rPr>
        <w:t>Forschung &amp; Entwicklung vorangetrieben</w:t>
      </w:r>
      <w:r w:rsidR="00F8441E" w:rsidRPr="00080CD7">
        <w:rPr>
          <w:b/>
          <w:sz w:val="20"/>
          <w:szCs w:val="20"/>
        </w:rPr>
        <w:t xml:space="preserve"> </w:t>
      </w:r>
    </w:p>
    <w:p w:rsidR="004C650D" w:rsidRDefault="004C650D" w:rsidP="009D734A">
      <w:pPr>
        <w:spacing w:line="300" w:lineRule="atLeast"/>
        <w:rPr>
          <w:b/>
          <w:sz w:val="20"/>
          <w:szCs w:val="20"/>
        </w:rPr>
      </w:pPr>
    </w:p>
    <w:p w:rsidR="00F8441E" w:rsidRPr="00080CD7" w:rsidRDefault="00586BB7" w:rsidP="009D734A">
      <w:pPr>
        <w:spacing w:line="300" w:lineRule="atLeast"/>
        <w:rPr>
          <w:sz w:val="20"/>
          <w:szCs w:val="20"/>
        </w:rPr>
      </w:pPr>
      <w:r w:rsidRPr="00080CD7">
        <w:rPr>
          <w:sz w:val="20"/>
          <w:szCs w:val="20"/>
        </w:rPr>
        <w:t>Evonik hat die F&amp;E-Aufwendungen a</w:t>
      </w:r>
      <w:r w:rsidR="00F8441E" w:rsidRPr="00080CD7">
        <w:rPr>
          <w:sz w:val="20"/>
          <w:szCs w:val="20"/>
        </w:rPr>
        <w:t>ufgrund ihrer strategischen Bedeutung</w:t>
      </w:r>
      <w:r w:rsidR="0071711E" w:rsidRPr="00080CD7">
        <w:rPr>
          <w:sz w:val="20"/>
          <w:szCs w:val="20"/>
        </w:rPr>
        <w:t xml:space="preserve"> </w:t>
      </w:r>
      <w:r w:rsidR="00F8441E" w:rsidRPr="00080CD7">
        <w:rPr>
          <w:sz w:val="20"/>
          <w:szCs w:val="20"/>
        </w:rPr>
        <w:t xml:space="preserve">seit 2009 durchschnittlich um 9 Prozent </w:t>
      </w:r>
      <w:r w:rsidR="005A7251">
        <w:rPr>
          <w:sz w:val="20"/>
          <w:szCs w:val="20"/>
        </w:rPr>
        <w:t xml:space="preserve">jährlich </w:t>
      </w:r>
      <w:r w:rsidR="00F8441E" w:rsidRPr="00080CD7">
        <w:rPr>
          <w:sz w:val="20"/>
          <w:szCs w:val="20"/>
        </w:rPr>
        <w:t>gesteiger</w:t>
      </w:r>
      <w:r w:rsidR="0071711E" w:rsidRPr="00080CD7">
        <w:rPr>
          <w:sz w:val="20"/>
          <w:szCs w:val="20"/>
        </w:rPr>
        <w:t xml:space="preserve">t. Im Jahr 2013 betrugen sie 394 Millionen € gegenüber 382 Millionen € im Vorjahr. </w:t>
      </w:r>
      <w:r w:rsidR="0071711E" w:rsidRPr="00B777B9">
        <w:rPr>
          <w:sz w:val="20"/>
          <w:szCs w:val="20"/>
        </w:rPr>
        <w:t>Die F&amp;E-Quote lag bei 3,1 Prozent.</w:t>
      </w:r>
      <w:r w:rsidR="0071711E" w:rsidRPr="00080CD7">
        <w:rPr>
          <w:sz w:val="20"/>
          <w:szCs w:val="20"/>
        </w:rPr>
        <w:t xml:space="preserve"> Auch in den kommenden Jahren sollen attraktive Innovationen den Wachstumskurs von Evonik unterstützen. Die F&amp;E-Pipeline ist mit rund 500 Projekten gut gefüllt. </w:t>
      </w:r>
      <w:r w:rsidRPr="00080CD7">
        <w:rPr>
          <w:sz w:val="20"/>
          <w:szCs w:val="20"/>
        </w:rPr>
        <w:t>Zu den jüngsten Highlights der Forschung zählen beispielsweise neuartige Aminosäure-</w:t>
      </w:r>
      <w:r w:rsidR="00D36612">
        <w:rPr>
          <w:sz w:val="20"/>
          <w:szCs w:val="20"/>
        </w:rPr>
        <w:t>Quellen</w:t>
      </w:r>
      <w:r w:rsidRPr="00080CD7">
        <w:rPr>
          <w:sz w:val="20"/>
          <w:szCs w:val="20"/>
        </w:rPr>
        <w:t xml:space="preserve">, die als Futtermitteladditive in der </w:t>
      </w:r>
      <w:r w:rsidR="00B010E0">
        <w:rPr>
          <w:sz w:val="20"/>
          <w:szCs w:val="20"/>
        </w:rPr>
        <w:t>Aquakultur</w:t>
      </w:r>
      <w:r w:rsidRPr="00080CD7">
        <w:rPr>
          <w:sz w:val="20"/>
          <w:szCs w:val="20"/>
        </w:rPr>
        <w:t xml:space="preserve"> eingesetzt werden, ein hochtransparenter Wärmeschutz für Fensterscheiben sowie –</w:t>
      </w:r>
      <w:r w:rsidR="001361E3">
        <w:rPr>
          <w:sz w:val="20"/>
          <w:szCs w:val="20"/>
        </w:rPr>
        <w:t xml:space="preserve"> </w:t>
      </w:r>
      <w:r w:rsidRPr="00080CD7">
        <w:rPr>
          <w:sz w:val="20"/>
          <w:szCs w:val="20"/>
        </w:rPr>
        <w:t>als Alternative zum erdölbasierten Laurinlactam – eine biobasierte Amino-Laurinsäure zur Herstellung von identischem Polyamid 12</w:t>
      </w:r>
      <w:r w:rsidR="004944D0">
        <w:rPr>
          <w:sz w:val="20"/>
          <w:szCs w:val="20"/>
        </w:rPr>
        <w:t xml:space="preserve"> beispielsweise für die Automobilindustrie</w:t>
      </w:r>
      <w:r w:rsidR="0071711E" w:rsidRPr="00080CD7">
        <w:rPr>
          <w:sz w:val="20"/>
          <w:szCs w:val="20"/>
        </w:rPr>
        <w:t xml:space="preserve">. </w:t>
      </w:r>
    </w:p>
    <w:p w:rsidR="009D734A" w:rsidRDefault="009D734A" w:rsidP="009D734A">
      <w:pPr>
        <w:spacing w:line="300" w:lineRule="atLeast"/>
        <w:rPr>
          <w:sz w:val="20"/>
          <w:szCs w:val="20"/>
        </w:rPr>
      </w:pPr>
    </w:p>
    <w:p w:rsidR="00044C1C" w:rsidRDefault="00044C1C" w:rsidP="009D734A">
      <w:pPr>
        <w:spacing w:line="300" w:lineRule="atLeast"/>
        <w:rPr>
          <w:sz w:val="20"/>
          <w:szCs w:val="20"/>
        </w:rPr>
      </w:pPr>
    </w:p>
    <w:p w:rsidR="009D734A" w:rsidRPr="00080CD7" w:rsidRDefault="009D734A" w:rsidP="009D734A">
      <w:pPr>
        <w:spacing w:line="300" w:lineRule="atLeast"/>
        <w:rPr>
          <w:rFonts w:cs="Lucida Sans Unicode"/>
          <w:b/>
          <w:sz w:val="20"/>
          <w:szCs w:val="20"/>
        </w:rPr>
      </w:pPr>
      <w:r w:rsidRPr="00080CD7">
        <w:rPr>
          <w:rFonts w:cs="Lucida Sans Unicode"/>
          <w:b/>
          <w:sz w:val="20"/>
          <w:szCs w:val="20"/>
        </w:rPr>
        <w:t>Entwicklung der Segmente im Geschäftsjahr 201</w:t>
      </w:r>
      <w:r w:rsidR="00232828">
        <w:rPr>
          <w:rFonts w:cs="Lucida Sans Unicode"/>
          <w:b/>
          <w:sz w:val="20"/>
          <w:szCs w:val="20"/>
        </w:rPr>
        <w:t>3</w:t>
      </w:r>
      <w:r w:rsidR="002F7C2E">
        <w:rPr>
          <w:rFonts w:cs="Lucida Sans Unicode"/>
          <w:b/>
          <w:sz w:val="20"/>
          <w:szCs w:val="20"/>
        </w:rPr>
        <w:t>:</w:t>
      </w:r>
      <w:r w:rsidRPr="00080CD7">
        <w:rPr>
          <w:rFonts w:cs="Lucida Sans Unicode"/>
          <w:b/>
          <w:sz w:val="20"/>
          <w:szCs w:val="20"/>
        </w:rPr>
        <w:t xml:space="preserve"> </w:t>
      </w:r>
    </w:p>
    <w:p w:rsidR="009D734A" w:rsidRPr="00080CD7" w:rsidRDefault="009D734A" w:rsidP="009D734A">
      <w:pPr>
        <w:spacing w:line="300" w:lineRule="atLeast"/>
        <w:rPr>
          <w:rFonts w:cs="Lucida Sans Unicode"/>
          <w:b/>
          <w:sz w:val="20"/>
          <w:szCs w:val="20"/>
        </w:rPr>
      </w:pPr>
    </w:p>
    <w:p w:rsidR="009D734A" w:rsidRPr="00080CD7" w:rsidRDefault="009D734A" w:rsidP="009D734A">
      <w:pPr>
        <w:spacing w:line="300" w:lineRule="atLeast"/>
        <w:rPr>
          <w:rFonts w:cs="Lucida Sans Unicode"/>
          <w:b/>
          <w:sz w:val="20"/>
          <w:szCs w:val="20"/>
        </w:rPr>
      </w:pPr>
      <w:r w:rsidRPr="00080CD7">
        <w:rPr>
          <w:rFonts w:cs="Lucida Sans Unicode"/>
          <w:b/>
          <w:sz w:val="20"/>
          <w:szCs w:val="20"/>
        </w:rPr>
        <w:t>Consumer, Health &amp; Nutrition</w:t>
      </w:r>
    </w:p>
    <w:p w:rsidR="009D734A" w:rsidRPr="00080CD7" w:rsidRDefault="009D734A" w:rsidP="009D734A">
      <w:pPr>
        <w:spacing w:line="300" w:lineRule="atLeast"/>
        <w:rPr>
          <w:rFonts w:cs="Lucida Sans Unicode"/>
          <w:b/>
          <w:sz w:val="20"/>
          <w:szCs w:val="20"/>
        </w:rPr>
      </w:pPr>
    </w:p>
    <w:p w:rsidR="00586BB7" w:rsidRPr="00080CD7" w:rsidRDefault="009D734A" w:rsidP="009D734A">
      <w:pPr>
        <w:spacing w:line="300" w:lineRule="atLeast"/>
        <w:rPr>
          <w:rFonts w:cs="Lucida Sans Unicode"/>
          <w:sz w:val="20"/>
          <w:szCs w:val="20"/>
        </w:rPr>
      </w:pPr>
      <w:r w:rsidRPr="00080CD7">
        <w:rPr>
          <w:rFonts w:cs="Lucida Sans Unicode"/>
          <w:sz w:val="20"/>
          <w:szCs w:val="20"/>
        </w:rPr>
        <w:t xml:space="preserve">Das Segment </w:t>
      </w:r>
      <w:r w:rsidRPr="00080CD7">
        <w:rPr>
          <w:rFonts w:cs="Lucida Sans Unicode"/>
          <w:b/>
          <w:sz w:val="20"/>
          <w:szCs w:val="20"/>
        </w:rPr>
        <w:t>Consumer, Health &amp; Nutrition</w:t>
      </w:r>
      <w:r w:rsidRPr="00080CD7">
        <w:rPr>
          <w:rFonts w:cs="Lucida Sans Unicode"/>
          <w:sz w:val="20"/>
          <w:szCs w:val="20"/>
        </w:rPr>
        <w:t xml:space="preserve"> produziert schwerpunktmäßig für Anwendungen in Konsumgütern, in der Tierernährung und im Bereich Healthcare. Das Segment umfasst die Geschäftsbereiche Consumer Specialties sowie Health &amp; Nutrition</w:t>
      </w:r>
      <w:r w:rsidR="00586BB7" w:rsidRPr="00080CD7">
        <w:rPr>
          <w:rFonts w:cs="Lucida Sans Unicode"/>
          <w:sz w:val="20"/>
          <w:szCs w:val="20"/>
        </w:rPr>
        <w:t>.</w:t>
      </w:r>
    </w:p>
    <w:p w:rsidR="004C650D" w:rsidRPr="00080CD7" w:rsidRDefault="004C650D" w:rsidP="009D734A">
      <w:pPr>
        <w:spacing w:line="300" w:lineRule="atLeast"/>
        <w:rPr>
          <w:rFonts w:cs="Lucida Sans Unicode"/>
          <w:sz w:val="20"/>
          <w:szCs w:val="20"/>
        </w:rPr>
      </w:pPr>
    </w:p>
    <w:p w:rsidR="009D734A" w:rsidRPr="00080CD7" w:rsidRDefault="003F5C98" w:rsidP="009D734A">
      <w:pPr>
        <w:spacing w:line="300" w:lineRule="atLeast"/>
        <w:rPr>
          <w:rFonts w:cs="Lucida Sans Unicode"/>
          <w:b/>
          <w:sz w:val="20"/>
          <w:szCs w:val="20"/>
        </w:rPr>
      </w:pPr>
      <w:r w:rsidRPr="00080CD7">
        <w:rPr>
          <w:rFonts w:cs="Lucida Sans Unicode"/>
          <w:b/>
          <w:sz w:val="20"/>
          <w:szCs w:val="20"/>
        </w:rPr>
        <w:t xml:space="preserve">Spürbares Mengenwachstum bei </w:t>
      </w:r>
      <w:r w:rsidRPr="008868BF">
        <w:rPr>
          <w:rFonts w:cs="Lucida Sans Unicode"/>
          <w:b/>
          <w:sz w:val="20"/>
          <w:szCs w:val="20"/>
        </w:rPr>
        <w:t>sehr guten</w:t>
      </w:r>
      <w:r w:rsidRPr="00080CD7">
        <w:rPr>
          <w:rFonts w:cs="Lucida Sans Unicode"/>
          <w:b/>
          <w:sz w:val="20"/>
          <w:szCs w:val="20"/>
        </w:rPr>
        <w:t xml:space="preserve"> Ergebnissen</w:t>
      </w:r>
    </w:p>
    <w:p w:rsidR="003F5C98" w:rsidRPr="00080CD7" w:rsidRDefault="003F5C98" w:rsidP="009D734A">
      <w:pPr>
        <w:spacing w:line="300" w:lineRule="atLeast"/>
        <w:rPr>
          <w:rFonts w:cs="Lucida Sans Unicode"/>
          <w:sz w:val="20"/>
          <w:szCs w:val="20"/>
        </w:rPr>
      </w:pPr>
    </w:p>
    <w:p w:rsidR="004C495B" w:rsidRDefault="003F5C98" w:rsidP="009D734A">
      <w:pPr>
        <w:spacing w:line="300" w:lineRule="atLeast"/>
        <w:rPr>
          <w:rFonts w:cs="Lucida Sans Unicode"/>
          <w:sz w:val="20"/>
          <w:szCs w:val="20"/>
        </w:rPr>
      </w:pPr>
      <w:r w:rsidRPr="00080CD7">
        <w:rPr>
          <w:rFonts w:cs="Lucida Sans Unicode"/>
          <w:sz w:val="20"/>
          <w:szCs w:val="20"/>
        </w:rPr>
        <w:t>Dank einer weltweit hohen Nachfrage sowie neue</w:t>
      </w:r>
      <w:r w:rsidR="00680650" w:rsidRPr="00080CD7">
        <w:rPr>
          <w:rFonts w:cs="Lucida Sans Unicode"/>
          <w:sz w:val="20"/>
          <w:szCs w:val="20"/>
        </w:rPr>
        <w:t>r</w:t>
      </w:r>
      <w:r w:rsidRPr="00080CD7">
        <w:rPr>
          <w:rFonts w:cs="Lucida Sans Unicode"/>
          <w:sz w:val="20"/>
          <w:szCs w:val="20"/>
        </w:rPr>
        <w:t xml:space="preserve"> Produktionskapazitäten erzielte das Segment Consumer, Health &amp; Nutritio</w:t>
      </w:r>
      <w:r w:rsidR="00CD631C" w:rsidRPr="00080CD7">
        <w:rPr>
          <w:rFonts w:cs="Lucida Sans Unicode"/>
          <w:sz w:val="20"/>
          <w:szCs w:val="20"/>
        </w:rPr>
        <w:t xml:space="preserve">n ein spürbares Mengenwachstum. Insbesondere Superabsorber </w:t>
      </w:r>
      <w:r w:rsidR="00E40731">
        <w:rPr>
          <w:rFonts w:cs="Lucida Sans Unicode"/>
          <w:sz w:val="20"/>
          <w:szCs w:val="20"/>
        </w:rPr>
        <w:t xml:space="preserve">sowie Personal-Care-Produkte </w:t>
      </w:r>
      <w:r w:rsidR="00CD631C" w:rsidRPr="00080CD7">
        <w:rPr>
          <w:rFonts w:cs="Lucida Sans Unicode"/>
          <w:sz w:val="20"/>
          <w:szCs w:val="20"/>
        </w:rPr>
        <w:t>verzeichnete</w:t>
      </w:r>
      <w:r w:rsidR="00E40731">
        <w:rPr>
          <w:rFonts w:cs="Lucida Sans Unicode"/>
          <w:sz w:val="20"/>
          <w:szCs w:val="20"/>
        </w:rPr>
        <w:t>n</w:t>
      </w:r>
      <w:r w:rsidR="00CD631C" w:rsidRPr="00080CD7">
        <w:rPr>
          <w:rFonts w:cs="Lucida Sans Unicode"/>
          <w:sz w:val="20"/>
          <w:szCs w:val="20"/>
        </w:rPr>
        <w:t xml:space="preserve"> eine deutlich steigende Nachfrage. </w:t>
      </w:r>
      <w:r w:rsidR="00D03164">
        <w:rPr>
          <w:rFonts w:cs="Lucida Sans Unicode"/>
          <w:sz w:val="20"/>
          <w:szCs w:val="20"/>
        </w:rPr>
        <w:t xml:space="preserve">Aufgrund </w:t>
      </w:r>
      <w:r w:rsidR="009A24D0" w:rsidRPr="004C14DE">
        <w:rPr>
          <w:rFonts w:cs="Lucida Sans Unicode"/>
          <w:sz w:val="20"/>
          <w:szCs w:val="20"/>
        </w:rPr>
        <w:t>insgesamt rückläufige</w:t>
      </w:r>
      <w:r w:rsidR="00D03164">
        <w:rPr>
          <w:rFonts w:cs="Lucida Sans Unicode"/>
          <w:sz w:val="20"/>
          <w:szCs w:val="20"/>
        </w:rPr>
        <w:t>r</w:t>
      </w:r>
      <w:r w:rsidR="009A24D0" w:rsidRPr="004C14DE">
        <w:rPr>
          <w:rFonts w:cs="Lucida Sans Unicode"/>
          <w:sz w:val="20"/>
          <w:szCs w:val="20"/>
        </w:rPr>
        <w:t xml:space="preserve"> Verkaufspreise</w:t>
      </w:r>
      <w:r w:rsidR="00B759C5">
        <w:rPr>
          <w:rFonts w:cs="Lucida Sans Unicode"/>
          <w:sz w:val="20"/>
          <w:szCs w:val="20"/>
        </w:rPr>
        <w:t xml:space="preserve">, vor allem bei </w:t>
      </w:r>
      <w:r w:rsidR="00E40731">
        <w:rPr>
          <w:rFonts w:cs="Lucida Sans Unicode"/>
          <w:sz w:val="20"/>
          <w:szCs w:val="20"/>
        </w:rPr>
        <w:t>Aminosäuren für die Tierernährung</w:t>
      </w:r>
      <w:r w:rsidR="00B759C5">
        <w:rPr>
          <w:rFonts w:cs="Lucida Sans Unicode"/>
          <w:sz w:val="20"/>
          <w:szCs w:val="20"/>
        </w:rPr>
        <w:t xml:space="preserve">, </w:t>
      </w:r>
      <w:r w:rsidR="00670C4F">
        <w:rPr>
          <w:rFonts w:cs="Lucida Sans Unicode"/>
          <w:sz w:val="20"/>
          <w:szCs w:val="20"/>
        </w:rPr>
        <w:t>lag</w:t>
      </w:r>
      <w:r w:rsidR="009A24D0" w:rsidRPr="004C14DE">
        <w:rPr>
          <w:rFonts w:cs="Lucida Sans Unicode"/>
          <w:sz w:val="20"/>
          <w:szCs w:val="20"/>
        </w:rPr>
        <w:t xml:space="preserve"> der </w:t>
      </w:r>
      <w:r w:rsidR="009A24D0" w:rsidRPr="004C14DE">
        <w:rPr>
          <w:rFonts w:cs="Lucida Sans Unicode"/>
          <w:b/>
          <w:sz w:val="20"/>
          <w:szCs w:val="20"/>
        </w:rPr>
        <w:t>Umsatz</w:t>
      </w:r>
      <w:r w:rsidR="009A24D0" w:rsidRPr="004C14DE">
        <w:rPr>
          <w:rFonts w:cs="Lucida Sans Unicode"/>
          <w:sz w:val="20"/>
          <w:szCs w:val="20"/>
        </w:rPr>
        <w:t xml:space="preserve"> des Segments mit 4.207 Millionen € </w:t>
      </w:r>
      <w:r w:rsidR="00670C4F">
        <w:rPr>
          <w:rFonts w:cs="Lucida Sans Unicode"/>
          <w:sz w:val="20"/>
          <w:szCs w:val="20"/>
        </w:rPr>
        <w:t xml:space="preserve">nur </w:t>
      </w:r>
      <w:r w:rsidR="009A24D0" w:rsidRPr="004C14DE">
        <w:rPr>
          <w:rFonts w:cs="Lucida Sans Unicode"/>
          <w:sz w:val="20"/>
          <w:szCs w:val="20"/>
        </w:rPr>
        <w:t>auf Vorjahreshöhe</w:t>
      </w:r>
      <w:r w:rsidR="004C650D">
        <w:rPr>
          <w:rFonts w:cs="Lucida Sans Unicode"/>
          <w:sz w:val="20"/>
          <w:szCs w:val="20"/>
        </w:rPr>
        <w:t xml:space="preserve"> (</w:t>
      </w:r>
      <w:r w:rsidR="004C14DE" w:rsidRPr="004C14DE">
        <w:rPr>
          <w:rFonts w:cs="Lucida Sans Unicode"/>
          <w:sz w:val="20"/>
          <w:szCs w:val="20"/>
        </w:rPr>
        <w:t>4.204</w:t>
      </w:r>
      <w:r w:rsidR="009A24D0" w:rsidRPr="004C14DE">
        <w:rPr>
          <w:rFonts w:cs="Lucida Sans Unicode"/>
          <w:sz w:val="20"/>
          <w:szCs w:val="20"/>
        </w:rPr>
        <w:t xml:space="preserve"> Millionen €</w:t>
      </w:r>
      <w:r w:rsidR="00670C4F">
        <w:rPr>
          <w:rFonts w:cs="Lucida Sans Unicode"/>
          <w:sz w:val="20"/>
          <w:szCs w:val="20"/>
        </w:rPr>
        <w:t>)</w:t>
      </w:r>
      <w:r w:rsidR="004C14DE" w:rsidRPr="004C14DE">
        <w:rPr>
          <w:rFonts w:cs="Lucida Sans Unicode"/>
          <w:sz w:val="20"/>
          <w:szCs w:val="20"/>
        </w:rPr>
        <w:t>.</w:t>
      </w:r>
      <w:r w:rsidR="00C55C67" w:rsidRPr="00080CD7">
        <w:rPr>
          <w:rFonts w:cs="Lucida Sans Unicode"/>
          <w:sz w:val="20"/>
          <w:szCs w:val="20"/>
        </w:rPr>
        <w:t xml:space="preserve"> </w:t>
      </w:r>
    </w:p>
    <w:p w:rsidR="004C495B" w:rsidRDefault="004C495B" w:rsidP="009D734A">
      <w:pPr>
        <w:spacing w:line="300" w:lineRule="atLeast"/>
        <w:rPr>
          <w:rFonts w:cs="Lucida Sans Unicode"/>
          <w:sz w:val="20"/>
          <w:szCs w:val="20"/>
        </w:rPr>
      </w:pPr>
    </w:p>
    <w:p w:rsidR="003F5C98" w:rsidRPr="00080CD7" w:rsidRDefault="00C55C67" w:rsidP="009D734A">
      <w:pPr>
        <w:spacing w:line="300" w:lineRule="atLeast"/>
        <w:rPr>
          <w:rFonts w:cs="Lucida Sans Unicode"/>
          <w:sz w:val="20"/>
          <w:szCs w:val="20"/>
        </w:rPr>
      </w:pPr>
      <w:r w:rsidRPr="00080CD7">
        <w:rPr>
          <w:rFonts w:cs="Lucida Sans Unicode"/>
          <w:sz w:val="20"/>
          <w:szCs w:val="20"/>
        </w:rPr>
        <w:lastRenderedPageBreak/>
        <w:t xml:space="preserve">Die operativen Ergebnisse waren erfreulich, blieben aber aufgrund </w:t>
      </w:r>
      <w:r w:rsidR="00670C4F">
        <w:rPr>
          <w:rFonts w:cs="Lucida Sans Unicode"/>
          <w:sz w:val="20"/>
          <w:szCs w:val="20"/>
        </w:rPr>
        <w:t xml:space="preserve">der </w:t>
      </w:r>
      <w:r w:rsidR="00221B22">
        <w:rPr>
          <w:rFonts w:cs="Lucida Sans Unicode"/>
          <w:sz w:val="20"/>
          <w:szCs w:val="20"/>
        </w:rPr>
        <w:t xml:space="preserve">teilweise </w:t>
      </w:r>
      <w:r w:rsidRPr="00080CD7">
        <w:rPr>
          <w:rFonts w:cs="Lucida Sans Unicode"/>
          <w:sz w:val="20"/>
          <w:szCs w:val="20"/>
        </w:rPr>
        <w:t>geringere</w:t>
      </w:r>
      <w:r w:rsidR="00670C4F">
        <w:rPr>
          <w:rFonts w:cs="Lucida Sans Unicode"/>
          <w:sz w:val="20"/>
          <w:szCs w:val="20"/>
        </w:rPr>
        <w:t>n</w:t>
      </w:r>
      <w:r w:rsidRPr="00080CD7">
        <w:rPr>
          <w:rFonts w:cs="Lucida Sans Unicode"/>
          <w:sz w:val="20"/>
          <w:szCs w:val="20"/>
        </w:rPr>
        <w:t xml:space="preserve"> Verkaufspreise unter den ausgezeichneten Vorjahreswerten. </w:t>
      </w:r>
      <w:r w:rsidR="003F5C98" w:rsidRPr="00080CD7">
        <w:rPr>
          <w:rFonts w:cs="Lucida Sans Unicode"/>
          <w:sz w:val="20"/>
          <w:szCs w:val="20"/>
        </w:rPr>
        <w:t xml:space="preserve">Das bereinigte </w:t>
      </w:r>
      <w:r w:rsidR="003F5C98" w:rsidRPr="00080CD7">
        <w:rPr>
          <w:rFonts w:cs="Lucida Sans Unicode"/>
          <w:b/>
          <w:sz w:val="20"/>
          <w:szCs w:val="20"/>
        </w:rPr>
        <w:t>EBITDA</w:t>
      </w:r>
      <w:r w:rsidR="003F5C98" w:rsidRPr="00080CD7">
        <w:rPr>
          <w:rFonts w:cs="Lucida Sans Unicode"/>
          <w:sz w:val="20"/>
          <w:szCs w:val="20"/>
        </w:rPr>
        <w:t xml:space="preserve"> ging um 14 Prozent auf </w:t>
      </w:r>
      <w:r w:rsidR="00E15F00">
        <w:rPr>
          <w:rFonts w:cs="Lucida Sans Unicode"/>
          <w:sz w:val="20"/>
          <w:szCs w:val="20"/>
        </w:rPr>
        <w:br/>
      </w:r>
      <w:r w:rsidR="003F5C98" w:rsidRPr="00080CD7">
        <w:rPr>
          <w:rFonts w:cs="Lucida Sans Unicode"/>
          <w:sz w:val="20"/>
          <w:szCs w:val="20"/>
        </w:rPr>
        <w:t xml:space="preserve">910 Millionen € </w:t>
      </w:r>
      <w:r w:rsidR="005C7A3B">
        <w:rPr>
          <w:rFonts w:cs="Lucida Sans Unicode"/>
          <w:sz w:val="20"/>
          <w:szCs w:val="20"/>
        </w:rPr>
        <w:t xml:space="preserve">(Vorjahr: 1.055 Millionen €) </w:t>
      </w:r>
      <w:r w:rsidR="003F5C98" w:rsidRPr="00080CD7">
        <w:rPr>
          <w:rFonts w:cs="Lucida Sans Unicode"/>
          <w:sz w:val="20"/>
          <w:szCs w:val="20"/>
        </w:rPr>
        <w:t xml:space="preserve">und das bereinigte </w:t>
      </w:r>
      <w:r w:rsidR="003F5C98" w:rsidRPr="00080CD7">
        <w:rPr>
          <w:rFonts w:cs="Lucida Sans Unicode"/>
          <w:b/>
          <w:sz w:val="20"/>
          <w:szCs w:val="20"/>
        </w:rPr>
        <w:t>EBIT</w:t>
      </w:r>
      <w:r w:rsidR="003F5C98" w:rsidRPr="00080CD7">
        <w:rPr>
          <w:rFonts w:cs="Lucida Sans Unicode"/>
          <w:sz w:val="20"/>
          <w:szCs w:val="20"/>
        </w:rPr>
        <w:t xml:space="preserve"> um 17 Prozent auf 767 Millionen € zurück</w:t>
      </w:r>
      <w:r w:rsidR="00E15F00">
        <w:rPr>
          <w:rFonts w:cs="Lucida Sans Unicode"/>
          <w:sz w:val="20"/>
          <w:szCs w:val="20"/>
        </w:rPr>
        <w:t xml:space="preserve"> (Vorjahr: </w:t>
      </w:r>
      <w:r w:rsidR="005C7A3B">
        <w:rPr>
          <w:rFonts w:cs="Lucida Sans Unicode"/>
          <w:sz w:val="20"/>
          <w:szCs w:val="20"/>
        </w:rPr>
        <w:t>929 Millionen €)</w:t>
      </w:r>
      <w:r w:rsidR="003F5C98" w:rsidRPr="00080CD7">
        <w:rPr>
          <w:rFonts w:cs="Lucida Sans Unicode"/>
          <w:sz w:val="20"/>
          <w:szCs w:val="20"/>
        </w:rPr>
        <w:t>. Die ber</w:t>
      </w:r>
      <w:r w:rsidR="0043009F" w:rsidRPr="00080CD7">
        <w:rPr>
          <w:rFonts w:cs="Lucida Sans Unicode"/>
          <w:sz w:val="20"/>
          <w:szCs w:val="20"/>
        </w:rPr>
        <w:t>e</w:t>
      </w:r>
      <w:r w:rsidR="003F5C98" w:rsidRPr="00080CD7">
        <w:rPr>
          <w:rFonts w:cs="Lucida Sans Unicode"/>
          <w:sz w:val="20"/>
          <w:szCs w:val="20"/>
        </w:rPr>
        <w:t xml:space="preserve">inigte </w:t>
      </w:r>
      <w:r w:rsidR="003F5C98" w:rsidRPr="00080CD7">
        <w:rPr>
          <w:rFonts w:cs="Lucida Sans Unicode"/>
          <w:b/>
          <w:sz w:val="20"/>
          <w:szCs w:val="20"/>
        </w:rPr>
        <w:t>EBITDA</w:t>
      </w:r>
      <w:r w:rsidR="004C14DE">
        <w:rPr>
          <w:rFonts w:cs="Lucida Sans Unicode"/>
          <w:b/>
          <w:sz w:val="20"/>
          <w:szCs w:val="20"/>
        </w:rPr>
        <w:t>-</w:t>
      </w:r>
      <w:r w:rsidR="003F5C98" w:rsidRPr="00080CD7">
        <w:rPr>
          <w:rFonts w:cs="Lucida Sans Unicode"/>
          <w:b/>
          <w:sz w:val="20"/>
          <w:szCs w:val="20"/>
        </w:rPr>
        <w:t>Marge</w:t>
      </w:r>
      <w:r w:rsidR="0043009F" w:rsidRPr="00080CD7">
        <w:rPr>
          <w:rFonts w:cs="Lucida Sans Unicode"/>
          <w:sz w:val="20"/>
          <w:szCs w:val="20"/>
        </w:rPr>
        <w:t xml:space="preserve"> lag mit 21,6 Prozent weiterhin</w:t>
      </w:r>
      <w:r w:rsidR="003F5C98" w:rsidRPr="00080CD7">
        <w:rPr>
          <w:rFonts w:cs="Lucida Sans Unicode"/>
          <w:sz w:val="20"/>
          <w:szCs w:val="20"/>
        </w:rPr>
        <w:t xml:space="preserve"> auf hohem Niveau</w:t>
      </w:r>
      <w:r w:rsidRPr="00080CD7">
        <w:rPr>
          <w:rFonts w:cs="Lucida Sans Unicode"/>
          <w:sz w:val="20"/>
          <w:szCs w:val="20"/>
        </w:rPr>
        <w:t xml:space="preserve"> (Vorjahr: 25,1 Prozent)</w:t>
      </w:r>
      <w:r w:rsidR="003F5C98" w:rsidRPr="00080CD7">
        <w:rPr>
          <w:rFonts w:cs="Lucida Sans Unicode"/>
          <w:sz w:val="20"/>
          <w:szCs w:val="20"/>
        </w:rPr>
        <w:t xml:space="preserve">. </w:t>
      </w:r>
      <w:r w:rsidR="00D103A3">
        <w:rPr>
          <w:rFonts w:cs="Lucida Sans Unicode"/>
          <w:sz w:val="20"/>
          <w:szCs w:val="20"/>
        </w:rPr>
        <w:t>Der ROCE betrug 34,3 Prozent (</w:t>
      </w:r>
      <w:r w:rsidR="008168AC">
        <w:rPr>
          <w:rFonts w:cs="Lucida Sans Unicode"/>
          <w:sz w:val="20"/>
          <w:szCs w:val="20"/>
        </w:rPr>
        <w:t>Vorjahr</w:t>
      </w:r>
      <w:r w:rsidR="00D103A3">
        <w:rPr>
          <w:rFonts w:cs="Lucida Sans Unicode"/>
          <w:sz w:val="20"/>
          <w:szCs w:val="20"/>
        </w:rPr>
        <w:t>: 48,7 Prozent).</w:t>
      </w:r>
      <w:r w:rsidR="003F5C98" w:rsidRPr="00080CD7">
        <w:rPr>
          <w:rFonts w:cs="Lucida Sans Unicode"/>
          <w:sz w:val="20"/>
          <w:szCs w:val="20"/>
        </w:rPr>
        <w:t xml:space="preserve"> </w:t>
      </w:r>
    </w:p>
    <w:p w:rsidR="00044C1C" w:rsidRDefault="00044C1C" w:rsidP="009D734A">
      <w:pPr>
        <w:spacing w:line="300" w:lineRule="atLeast"/>
        <w:rPr>
          <w:rFonts w:cs="Lucida Sans Unicode"/>
          <w:sz w:val="20"/>
          <w:szCs w:val="20"/>
        </w:rPr>
      </w:pPr>
    </w:p>
    <w:p w:rsidR="00044C1C" w:rsidRPr="00080CD7" w:rsidRDefault="00044C1C" w:rsidP="009D734A">
      <w:pPr>
        <w:spacing w:line="300" w:lineRule="atLeast"/>
        <w:rPr>
          <w:rFonts w:cs="Lucida Sans Unicode"/>
          <w:sz w:val="20"/>
          <w:szCs w:val="20"/>
        </w:rPr>
      </w:pPr>
    </w:p>
    <w:p w:rsidR="009D734A" w:rsidRPr="00080CD7" w:rsidRDefault="009D734A" w:rsidP="009D734A">
      <w:pPr>
        <w:spacing w:line="300" w:lineRule="atLeast"/>
        <w:rPr>
          <w:rFonts w:cs="Lucida Sans Unicode"/>
          <w:b/>
          <w:sz w:val="20"/>
          <w:szCs w:val="20"/>
        </w:rPr>
      </w:pPr>
      <w:r w:rsidRPr="00080CD7">
        <w:rPr>
          <w:rFonts w:cs="Lucida Sans Unicode"/>
          <w:b/>
          <w:sz w:val="20"/>
          <w:szCs w:val="20"/>
        </w:rPr>
        <w:t>Resource Efficiency</w:t>
      </w:r>
    </w:p>
    <w:p w:rsidR="009D734A" w:rsidRPr="00080CD7" w:rsidRDefault="009D734A" w:rsidP="009D734A">
      <w:pPr>
        <w:spacing w:line="300" w:lineRule="atLeast"/>
        <w:rPr>
          <w:rFonts w:cs="Lucida Sans Unicode"/>
          <w:b/>
          <w:sz w:val="20"/>
          <w:szCs w:val="20"/>
        </w:rPr>
      </w:pPr>
    </w:p>
    <w:p w:rsidR="009D734A" w:rsidRPr="00080CD7" w:rsidRDefault="009D734A" w:rsidP="009D734A">
      <w:pPr>
        <w:spacing w:line="300" w:lineRule="atLeast"/>
        <w:rPr>
          <w:rFonts w:cs="Lucida Sans Unicode"/>
          <w:sz w:val="20"/>
          <w:szCs w:val="20"/>
        </w:rPr>
      </w:pPr>
      <w:r w:rsidRPr="00080CD7">
        <w:rPr>
          <w:rFonts w:cs="Lucida Sans Unicode"/>
          <w:sz w:val="20"/>
          <w:szCs w:val="20"/>
        </w:rPr>
        <w:t xml:space="preserve">Das Segment </w:t>
      </w:r>
      <w:r w:rsidRPr="00080CD7">
        <w:rPr>
          <w:rFonts w:cs="Lucida Sans Unicode"/>
          <w:b/>
          <w:sz w:val="20"/>
          <w:szCs w:val="20"/>
        </w:rPr>
        <w:t xml:space="preserve">Resource Efficiency </w:t>
      </w:r>
      <w:r w:rsidRPr="00080CD7">
        <w:rPr>
          <w:rFonts w:cs="Lucida Sans Unicode"/>
          <w:sz w:val="20"/>
          <w:szCs w:val="20"/>
        </w:rPr>
        <w:t xml:space="preserve">bietet umweltfreundliche und energieeffiziente Systemlösungen. </w:t>
      </w:r>
      <w:r w:rsidR="00C55C67" w:rsidRPr="00080CD7">
        <w:rPr>
          <w:rFonts w:cs="Lucida Sans Unicode"/>
          <w:sz w:val="20"/>
          <w:szCs w:val="20"/>
        </w:rPr>
        <w:t xml:space="preserve">Ihm </w:t>
      </w:r>
      <w:r w:rsidRPr="00080CD7">
        <w:rPr>
          <w:rFonts w:cs="Lucida Sans Unicode"/>
          <w:sz w:val="20"/>
          <w:szCs w:val="20"/>
        </w:rPr>
        <w:t>sind die beiden Geschäftsbereiche Inorganic Materials sowie Coatings &amp; Additives zugeordnet.</w:t>
      </w:r>
    </w:p>
    <w:p w:rsidR="009D734A" w:rsidRPr="00080CD7" w:rsidRDefault="009D734A" w:rsidP="009D734A">
      <w:pPr>
        <w:spacing w:line="300" w:lineRule="atLeast"/>
        <w:rPr>
          <w:rFonts w:cs="Lucida Sans Unicode"/>
          <w:sz w:val="20"/>
          <w:szCs w:val="20"/>
        </w:rPr>
      </w:pPr>
    </w:p>
    <w:p w:rsidR="0043009F" w:rsidRPr="00080CD7" w:rsidRDefault="006A40FC" w:rsidP="009D734A">
      <w:pPr>
        <w:spacing w:line="300" w:lineRule="atLeast"/>
        <w:rPr>
          <w:rFonts w:cs="Lucida Sans Unicode"/>
          <w:b/>
          <w:sz w:val="20"/>
          <w:szCs w:val="20"/>
        </w:rPr>
      </w:pPr>
      <w:r w:rsidRPr="00080CD7">
        <w:rPr>
          <w:rFonts w:cs="Lucida Sans Unicode"/>
          <w:b/>
          <w:sz w:val="20"/>
          <w:szCs w:val="20"/>
        </w:rPr>
        <w:t xml:space="preserve">Organisches Umsatzwachstum – </w:t>
      </w:r>
      <w:r w:rsidR="008168AC">
        <w:rPr>
          <w:rFonts w:cs="Lucida Sans Unicode"/>
          <w:b/>
          <w:sz w:val="20"/>
          <w:szCs w:val="20"/>
        </w:rPr>
        <w:t>H</w:t>
      </w:r>
      <w:r w:rsidRPr="00080CD7">
        <w:rPr>
          <w:rFonts w:cs="Lucida Sans Unicode"/>
          <w:b/>
          <w:sz w:val="20"/>
          <w:szCs w:val="20"/>
        </w:rPr>
        <w:t xml:space="preserve">öhere </w:t>
      </w:r>
      <w:r w:rsidR="008D0FE1" w:rsidRPr="00080CD7">
        <w:rPr>
          <w:rFonts w:cs="Lucida Sans Unicode"/>
          <w:b/>
          <w:sz w:val="20"/>
          <w:szCs w:val="20"/>
        </w:rPr>
        <w:t xml:space="preserve">bereinigte </w:t>
      </w:r>
      <w:r w:rsidRPr="00080CD7">
        <w:rPr>
          <w:rFonts w:cs="Lucida Sans Unicode"/>
          <w:b/>
          <w:sz w:val="20"/>
          <w:szCs w:val="20"/>
        </w:rPr>
        <w:t>EBITDA-Marge</w:t>
      </w:r>
    </w:p>
    <w:p w:rsidR="006A40FC" w:rsidRPr="00080CD7" w:rsidRDefault="006A40FC" w:rsidP="009D734A">
      <w:pPr>
        <w:spacing w:line="300" w:lineRule="atLeast"/>
        <w:rPr>
          <w:rFonts w:cs="Lucida Sans Unicode"/>
          <w:b/>
          <w:sz w:val="20"/>
          <w:szCs w:val="20"/>
        </w:rPr>
      </w:pPr>
    </w:p>
    <w:p w:rsidR="0022422D" w:rsidRPr="00080CD7" w:rsidRDefault="006A40FC" w:rsidP="00E9718A">
      <w:pPr>
        <w:spacing w:line="300" w:lineRule="atLeast"/>
        <w:ind w:right="-64"/>
        <w:rPr>
          <w:rFonts w:cs="Lucida Sans Unicode"/>
          <w:sz w:val="20"/>
          <w:szCs w:val="20"/>
        </w:rPr>
      </w:pPr>
      <w:r w:rsidRPr="00080CD7">
        <w:rPr>
          <w:rFonts w:cs="Lucida Sans Unicode"/>
          <w:sz w:val="20"/>
          <w:szCs w:val="20"/>
        </w:rPr>
        <w:t xml:space="preserve">Der </w:t>
      </w:r>
      <w:r w:rsidRPr="00080CD7">
        <w:rPr>
          <w:rFonts w:cs="Lucida Sans Unicode"/>
          <w:b/>
          <w:sz w:val="20"/>
          <w:szCs w:val="20"/>
        </w:rPr>
        <w:t>Umsatz</w:t>
      </w:r>
      <w:r w:rsidRPr="00080CD7">
        <w:rPr>
          <w:rFonts w:cs="Lucida Sans Unicode"/>
          <w:sz w:val="20"/>
          <w:szCs w:val="20"/>
        </w:rPr>
        <w:t xml:space="preserve"> des Segments Resource Efficiency blieb mit 3.084 Millionen € um 2 Prozent unter dem Vorjahr</w:t>
      </w:r>
      <w:r w:rsidR="00A00885">
        <w:rPr>
          <w:rFonts w:cs="Lucida Sans Unicode"/>
          <w:sz w:val="20"/>
          <w:szCs w:val="20"/>
        </w:rPr>
        <w:t xml:space="preserve"> (3.131 Millionen €)</w:t>
      </w:r>
      <w:r w:rsidRPr="00080CD7">
        <w:rPr>
          <w:rFonts w:cs="Lucida Sans Unicode"/>
          <w:sz w:val="20"/>
          <w:szCs w:val="20"/>
        </w:rPr>
        <w:t xml:space="preserve">. </w:t>
      </w:r>
      <w:r w:rsidR="00485B18" w:rsidRPr="00080CD7">
        <w:rPr>
          <w:rFonts w:cs="Lucida Sans Unicode"/>
          <w:sz w:val="20"/>
          <w:szCs w:val="20"/>
        </w:rPr>
        <w:t xml:space="preserve">Hierzu trugen insbesondere </w:t>
      </w:r>
      <w:r w:rsidRPr="00080CD7">
        <w:rPr>
          <w:rFonts w:cs="Lucida Sans Unicode"/>
          <w:sz w:val="20"/>
          <w:szCs w:val="20"/>
        </w:rPr>
        <w:t>negative Währungseffekte</w:t>
      </w:r>
      <w:r w:rsidR="00310F81" w:rsidRPr="00080CD7">
        <w:rPr>
          <w:rFonts w:cs="Lucida Sans Unicode"/>
          <w:sz w:val="20"/>
          <w:szCs w:val="20"/>
        </w:rPr>
        <w:t xml:space="preserve"> </w:t>
      </w:r>
      <w:r w:rsidR="00485B18" w:rsidRPr="00080CD7">
        <w:rPr>
          <w:rFonts w:cs="Lucida Sans Unicode"/>
          <w:sz w:val="20"/>
          <w:szCs w:val="20"/>
        </w:rPr>
        <w:t xml:space="preserve">sowie das im Vorjahr noch bis April enthaltene Colorants-Geschäft bei. Bereinigt um diese Einflüsse erzielte das Segment bei höheren Mengen und unveränderten Verkaufspreisen einen </w:t>
      </w:r>
      <w:r w:rsidRPr="00080CD7">
        <w:rPr>
          <w:rFonts w:cs="Lucida Sans Unicode"/>
          <w:sz w:val="20"/>
          <w:szCs w:val="20"/>
        </w:rPr>
        <w:t>organische</w:t>
      </w:r>
      <w:r w:rsidR="00485B18" w:rsidRPr="00080CD7">
        <w:rPr>
          <w:rFonts w:cs="Lucida Sans Unicode"/>
          <w:sz w:val="20"/>
          <w:szCs w:val="20"/>
        </w:rPr>
        <w:t>n</w:t>
      </w:r>
      <w:r w:rsidRPr="00080CD7">
        <w:rPr>
          <w:rFonts w:cs="Lucida Sans Unicode"/>
          <w:sz w:val="20"/>
          <w:szCs w:val="20"/>
        </w:rPr>
        <w:t xml:space="preserve"> Umsatzanstieg.</w:t>
      </w:r>
      <w:r w:rsidR="007B6B8B" w:rsidRPr="00080CD7">
        <w:rPr>
          <w:rFonts w:cs="Lucida Sans Unicode"/>
          <w:sz w:val="20"/>
          <w:szCs w:val="20"/>
        </w:rPr>
        <w:t xml:space="preserve"> Erfreulich </w:t>
      </w:r>
      <w:r w:rsidR="00F157B4">
        <w:rPr>
          <w:rFonts w:cs="Lucida Sans Unicode"/>
          <w:sz w:val="20"/>
          <w:szCs w:val="20"/>
        </w:rPr>
        <w:t xml:space="preserve">verlief </w:t>
      </w:r>
      <w:r w:rsidR="007B6B8B" w:rsidRPr="00080CD7">
        <w:rPr>
          <w:rFonts w:cs="Lucida Sans Unicode"/>
          <w:sz w:val="20"/>
          <w:szCs w:val="20"/>
        </w:rPr>
        <w:t xml:space="preserve">insbesondere </w:t>
      </w:r>
      <w:r w:rsidR="00F157B4">
        <w:rPr>
          <w:rFonts w:cs="Lucida Sans Unicode"/>
          <w:sz w:val="20"/>
          <w:szCs w:val="20"/>
        </w:rPr>
        <w:t xml:space="preserve">das Geschäft mit pyrogenen Kieselsäuren und Spezialoxiden bei hoher Nachfrage und guter Anlagenauslastung. </w:t>
      </w:r>
      <w:r w:rsidR="007B6B8B" w:rsidRPr="00080CD7">
        <w:rPr>
          <w:rFonts w:cs="Lucida Sans Unicode"/>
          <w:sz w:val="20"/>
          <w:szCs w:val="20"/>
        </w:rPr>
        <w:t>Kieselsäuren und Silane für die Reifen- und Gummiindustrie</w:t>
      </w:r>
      <w:r w:rsidR="00F157B4">
        <w:rPr>
          <w:rFonts w:cs="Lucida Sans Unicode"/>
          <w:sz w:val="20"/>
          <w:szCs w:val="20"/>
        </w:rPr>
        <w:t xml:space="preserve"> verzeichneten eine steigende Nachfrage vor allem aus Europa und Asien und entwickelten sich positiv.</w:t>
      </w:r>
      <w:r w:rsidR="007B6B8B" w:rsidRPr="00080CD7">
        <w:rPr>
          <w:rFonts w:cs="Lucida Sans Unicode"/>
          <w:sz w:val="20"/>
          <w:szCs w:val="20"/>
        </w:rPr>
        <w:t xml:space="preserve"> Öladditive für die Automobil-, Bau</w:t>
      </w:r>
      <w:r w:rsidR="00561266">
        <w:rPr>
          <w:rFonts w:cs="Lucida Sans Unicode"/>
          <w:sz w:val="20"/>
          <w:szCs w:val="20"/>
        </w:rPr>
        <w:t>-</w:t>
      </w:r>
      <w:r w:rsidR="007B6B8B" w:rsidRPr="00080CD7">
        <w:rPr>
          <w:rFonts w:cs="Lucida Sans Unicode"/>
          <w:sz w:val="20"/>
          <w:szCs w:val="20"/>
        </w:rPr>
        <w:t xml:space="preserve"> und Transportindustrie sowie Produkte für die Coatingsindustrie </w:t>
      </w:r>
      <w:r w:rsidR="008D0FE1" w:rsidRPr="00080CD7">
        <w:rPr>
          <w:rFonts w:cs="Lucida Sans Unicode"/>
          <w:sz w:val="20"/>
          <w:szCs w:val="20"/>
        </w:rPr>
        <w:t xml:space="preserve">und Bindemittel </w:t>
      </w:r>
      <w:r w:rsidR="00F157B4">
        <w:rPr>
          <w:rFonts w:cs="Lucida Sans Unicode"/>
          <w:sz w:val="20"/>
          <w:szCs w:val="20"/>
        </w:rPr>
        <w:t xml:space="preserve">waren unverändert stark nachgefragt. </w:t>
      </w:r>
    </w:p>
    <w:p w:rsidR="0022422D" w:rsidRPr="00080CD7" w:rsidRDefault="0022422D" w:rsidP="009D734A">
      <w:pPr>
        <w:spacing w:line="300" w:lineRule="atLeast"/>
        <w:rPr>
          <w:rFonts w:cs="Lucida Sans Unicode"/>
          <w:sz w:val="20"/>
          <w:szCs w:val="20"/>
        </w:rPr>
      </w:pPr>
    </w:p>
    <w:p w:rsidR="00C87137" w:rsidRPr="00080CD7" w:rsidRDefault="00C87137" w:rsidP="009D734A">
      <w:pPr>
        <w:spacing w:line="300" w:lineRule="atLeast"/>
        <w:rPr>
          <w:rFonts w:cs="Lucida Sans Unicode"/>
          <w:sz w:val="20"/>
          <w:szCs w:val="20"/>
        </w:rPr>
      </w:pPr>
      <w:r w:rsidRPr="00080CD7">
        <w:rPr>
          <w:rFonts w:cs="Lucida Sans Unicode"/>
          <w:sz w:val="20"/>
          <w:szCs w:val="20"/>
        </w:rPr>
        <w:t xml:space="preserve">Die operativen Ergebnisse lagen erneut auf sehr gutem Niveau. Das bereinigte </w:t>
      </w:r>
      <w:r w:rsidRPr="00080CD7">
        <w:rPr>
          <w:rFonts w:cs="Lucida Sans Unicode"/>
          <w:b/>
          <w:sz w:val="20"/>
          <w:szCs w:val="20"/>
        </w:rPr>
        <w:t>EBITDA</w:t>
      </w:r>
      <w:r w:rsidRPr="00080CD7">
        <w:rPr>
          <w:rFonts w:cs="Lucida Sans Unicode"/>
          <w:sz w:val="20"/>
          <w:szCs w:val="20"/>
        </w:rPr>
        <w:t xml:space="preserve"> erreichte </w:t>
      </w:r>
      <w:r w:rsidR="008D0FE1" w:rsidRPr="00080CD7">
        <w:rPr>
          <w:rFonts w:cs="Lucida Sans Unicode"/>
          <w:sz w:val="20"/>
          <w:szCs w:val="20"/>
        </w:rPr>
        <w:t xml:space="preserve">mit 656 Millionen € </w:t>
      </w:r>
      <w:r w:rsidRPr="00080CD7">
        <w:rPr>
          <w:rFonts w:cs="Lucida Sans Unicode"/>
          <w:sz w:val="20"/>
          <w:szCs w:val="20"/>
        </w:rPr>
        <w:t xml:space="preserve">nahezu die Vorjahreshöhe </w:t>
      </w:r>
      <w:r w:rsidR="00385B48">
        <w:rPr>
          <w:rFonts w:cs="Lucida Sans Unicode"/>
          <w:sz w:val="20"/>
          <w:szCs w:val="20"/>
        </w:rPr>
        <w:t xml:space="preserve">von </w:t>
      </w:r>
      <w:r w:rsidR="00561266">
        <w:rPr>
          <w:rFonts w:cs="Lucida Sans Unicode"/>
          <w:sz w:val="20"/>
          <w:szCs w:val="20"/>
        </w:rPr>
        <w:t>663 Millionen €</w:t>
      </w:r>
      <w:r w:rsidR="00574F8E">
        <w:rPr>
          <w:rFonts w:cs="Lucida Sans Unicode"/>
          <w:sz w:val="20"/>
          <w:szCs w:val="20"/>
        </w:rPr>
        <w:t xml:space="preserve">. </w:t>
      </w:r>
      <w:r w:rsidR="003F2F76">
        <w:rPr>
          <w:rFonts w:cs="Lucida Sans Unicode"/>
          <w:sz w:val="20"/>
          <w:szCs w:val="20"/>
        </w:rPr>
        <w:t>D</w:t>
      </w:r>
      <w:r w:rsidRPr="00080CD7">
        <w:rPr>
          <w:rFonts w:cs="Lucida Sans Unicode"/>
          <w:sz w:val="20"/>
          <w:szCs w:val="20"/>
        </w:rPr>
        <w:t xml:space="preserve">as bereinigte </w:t>
      </w:r>
      <w:r w:rsidRPr="00080CD7">
        <w:rPr>
          <w:rFonts w:cs="Lucida Sans Unicode"/>
          <w:b/>
          <w:sz w:val="20"/>
          <w:szCs w:val="20"/>
        </w:rPr>
        <w:t>EBIT</w:t>
      </w:r>
      <w:r w:rsidRPr="00080CD7">
        <w:rPr>
          <w:rFonts w:cs="Lucida Sans Unicode"/>
          <w:sz w:val="20"/>
          <w:szCs w:val="20"/>
        </w:rPr>
        <w:t xml:space="preserve"> stieg </w:t>
      </w:r>
      <w:r w:rsidRPr="008868BF">
        <w:rPr>
          <w:rFonts w:cs="Lucida Sans Unicode"/>
          <w:sz w:val="20"/>
          <w:szCs w:val="20"/>
        </w:rPr>
        <w:t>infolge geringerer Abschreibungen</w:t>
      </w:r>
      <w:r w:rsidRPr="00080CD7">
        <w:rPr>
          <w:rFonts w:cs="Lucida Sans Unicode"/>
          <w:sz w:val="20"/>
          <w:szCs w:val="20"/>
        </w:rPr>
        <w:t xml:space="preserve"> um 3 Prozent auf 540 Millionen €</w:t>
      </w:r>
      <w:r w:rsidR="005C7A3B">
        <w:rPr>
          <w:rFonts w:cs="Lucida Sans Unicode"/>
          <w:sz w:val="20"/>
          <w:szCs w:val="20"/>
        </w:rPr>
        <w:t xml:space="preserve"> (Vorjahr: 526 Millionen €)</w:t>
      </w:r>
      <w:r w:rsidRPr="00080CD7">
        <w:rPr>
          <w:rFonts w:cs="Lucida Sans Unicode"/>
          <w:sz w:val="20"/>
          <w:szCs w:val="20"/>
        </w:rPr>
        <w:t xml:space="preserve">. Die bereinigte </w:t>
      </w:r>
      <w:r w:rsidRPr="00080CD7">
        <w:rPr>
          <w:rFonts w:cs="Lucida Sans Unicode"/>
          <w:b/>
          <w:sz w:val="20"/>
          <w:szCs w:val="20"/>
        </w:rPr>
        <w:t>EBITDA-Marge</w:t>
      </w:r>
      <w:r w:rsidRPr="00080CD7">
        <w:rPr>
          <w:rFonts w:cs="Lucida Sans Unicode"/>
          <w:sz w:val="20"/>
          <w:szCs w:val="20"/>
        </w:rPr>
        <w:t xml:space="preserve"> erhöhte sich </w:t>
      </w:r>
      <w:r w:rsidR="00D103A3">
        <w:rPr>
          <w:rFonts w:cs="Lucida Sans Unicode"/>
          <w:sz w:val="20"/>
          <w:szCs w:val="20"/>
        </w:rPr>
        <w:t xml:space="preserve">leicht </w:t>
      </w:r>
      <w:r w:rsidRPr="00080CD7">
        <w:rPr>
          <w:rFonts w:cs="Lucida Sans Unicode"/>
          <w:sz w:val="20"/>
          <w:szCs w:val="20"/>
        </w:rPr>
        <w:t>von 21,2 Prozent auf 21,3 Prozent.</w:t>
      </w:r>
      <w:r w:rsidR="00F157B4">
        <w:rPr>
          <w:rFonts w:cs="Lucida Sans Unicode"/>
          <w:sz w:val="20"/>
          <w:szCs w:val="20"/>
        </w:rPr>
        <w:t xml:space="preserve"> Der ROCE verbesserte sich von 33,0 Prozent auf 35,7 Prozent.</w:t>
      </w:r>
    </w:p>
    <w:p w:rsidR="00CA312F" w:rsidRDefault="00CA312F" w:rsidP="009D734A">
      <w:pPr>
        <w:spacing w:line="300" w:lineRule="atLeast"/>
        <w:rPr>
          <w:rFonts w:cs="Lucida Sans Unicode"/>
          <w:b/>
          <w:sz w:val="20"/>
          <w:szCs w:val="20"/>
        </w:rPr>
      </w:pPr>
    </w:p>
    <w:p w:rsidR="00044C1C" w:rsidRDefault="00044C1C" w:rsidP="009D734A">
      <w:pPr>
        <w:spacing w:line="300" w:lineRule="atLeast"/>
        <w:rPr>
          <w:rFonts w:cs="Lucida Sans Unicode"/>
          <w:b/>
          <w:sz w:val="20"/>
          <w:szCs w:val="20"/>
        </w:rPr>
      </w:pPr>
    </w:p>
    <w:p w:rsidR="009D734A" w:rsidRPr="00080CD7" w:rsidRDefault="009D734A" w:rsidP="009D734A">
      <w:pPr>
        <w:spacing w:line="300" w:lineRule="atLeast"/>
        <w:rPr>
          <w:rFonts w:cs="Lucida Sans Unicode"/>
          <w:b/>
          <w:sz w:val="20"/>
          <w:szCs w:val="20"/>
        </w:rPr>
      </w:pPr>
      <w:r w:rsidRPr="00080CD7">
        <w:rPr>
          <w:rFonts w:cs="Lucida Sans Unicode"/>
          <w:b/>
          <w:sz w:val="20"/>
          <w:szCs w:val="20"/>
        </w:rPr>
        <w:t>Specialty Materials</w:t>
      </w:r>
    </w:p>
    <w:p w:rsidR="009D734A" w:rsidRPr="00080CD7" w:rsidRDefault="009D734A" w:rsidP="009D734A">
      <w:pPr>
        <w:spacing w:line="300" w:lineRule="atLeast"/>
        <w:rPr>
          <w:rFonts w:cs="Lucida Sans Unicode"/>
          <w:b/>
          <w:sz w:val="20"/>
          <w:szCs w:val="20"/>
        </w:rPr>
      </w:pPr>
    </w:p>
    <w:p w:rsidR="009D734A" w:rsidRPr="00080CD7" w:rsidRDefault="009D734A" w:rsidP="009D734A">
      <w:pPr>
        <w:spacing w:line="300" w:lineRule="atLeast"/>
        <w:rPr>
          <w:rFonts w:cs="Lucida Sans Unicode"/>
          <w:sz w:val="20"/>
          <w:szCs w:val="20"/>
        </w:rPr>
      </w:pPr>
      <w:r w:rsidRPr="00080CD7">
        <w:rPr>
          <w:rFonts w:cs="Lucida Sans Unicode"/>
          <w:sz w:val="20"/>
          <w:szCs w:val="20"/>
        </w:rPr>
        <w:t xml:space="preserve">Im Mittelpunkt des Segments </w:t>
      </w:r>
      <w:r w:rsidRPr="00080CD7">
        <w:rPr>
          <w:rFonts w:cs="Lucida Sans Unicode"/>
          <w:b/>
          <w:sz w:val="20"/>
          <w:szCs w:val="20"/>
        </w:rPr>
        <w:t>Specialty Materials</w:t>
      </w:r>
      <w:r w:rsidRPr="00080CD7">
        <w:rPr>
          <w:rFonts w:cs="Lucida Sans Unicode"/>
          <w:sz w:val="20"/>
          <w:szCs w:val="20"/>
        </w:rPr>
        <w:t xml:space="preserve"> steht die Herstellung von polymeren Werkstoffen sowie Zwischenprodukten vor allem für die Gummi- und Kunststoffindustrie. Das Segment umfasst die Geschäftsbereiche Performance Polymers und Advanced Intermediates. </w:t>
      </w:r>
    </w:p>
    <w:p w:rsidR="009D734A" w:rsidRPr="00080CD7" w:rsidRDefault="009D734A" w:rsidP="009D734A">
      <w:pPr>
        <w:spacing w:line="300" w:lineRule="atLeast"/>
        <w:rPr>
          <w:rFonts w:cs="Lucida Sans Unicode"/>
          <w:sz w:val="20"/>
          <w:szCs w:val="20"/>
        </w:rPr>
      </w:pPr>
    </w:p>
    <w:p w:rsidR="0022422D" w:rsidRPr="00080CD7" w:rsidRDefault="008D0FE1" w:rsidP="009D734A">
      <w:pPr>
        <w:spacing w:line="300" w:lineRule="atLeast"/>
        <w:rPr>
          <w:rFonts w:cs="Lucida Sans Unicode"/>
          <w:b/>
          <w:sz w:val="20"/>
          <w:szCs w:val="20"/>
        </w:rPr>
      </w:pPr>
      <w:r w:rsidRPr="00080CD7">
        <w:rPr>
          <w:rFonts w:cs="Lucida Sans Unicode"/>
          <w:b/>
          <w:sz w:val="20"/>
          <w:szCs w:val="20"/>
        </w:rPr>
        <w:t xml:space="preserve">Deutlich rückläufige Verkaufspreise - </w:t>
      </w:r>
      <w:r w:rsidR="00310F81" w:rsidRPr="00080CD7">
        <w:rPr>
          <w:rFonts w:cs="Lucida Sans Unicode"/>
          <w:b/>
          <w:sz w:val="20"/>
          <w:szCs w:val="20"/>
        </w:rPr>
        <w:t>Umsatz und operative Ergebnisse</w:t>
      </w:r>
      <w:r w:rsidR="00F8351E" w:rsidRPr="00080CD7">
        <w:rPr>
          <w:rFonts w:cs="Lucida Sans Unicode"/>
          <w:b/>
          <w:sz w:val="20"/>
          <w:szCs w:val="20"/>
        </w:rPr>
        <w:t xml:space="preserve"> unter Vorjahr</w:t>
      </w:r>
    </w:p>
    <w:p w:rsidR="00310F81" w:rsidRPr="00080CD7" w:rsidRDefault="00310F81" w:rsidP="009D734A">
      <w:pPr>
        <w:spacing w:line="300" w:lineRule="atLeast"/>
        <w:rPr>
          <w:rFonts w:cs="Lucida Sans Unicode"/>
          <w:sz w:val="20"/>
          <w:szCs w:val="20"/>
        </w:rPr>
      </w:pPr>
    </w:p>
    <w:p w:rsidR="00310F81" w:rsidRPr="00080CD7" w:rsidRDefault="00310F81" w:rsidP="009D734A">
      <w:pPr>
        <w:spacing w:line="300" w:lineRule="atLeast"/>
        <w:rPr>
          <w:rFonts w:cs="Lucida Sans Unicode"/>
          <w:sz w:val="20"/>
          <w:szCs w:val="20"/>
        </w:rPr>
      </w:pPr>
      <w:r w:rsidRPr="00080CD7">
        <w:rPr>
          <w:rFonts w:cs="Lucida Sans Unicode"/>
          <w:sz w:val="20"/>
          <w:szCs w:val="20"/>
        </w:rPr>
        <w:t xml:space="preserve">Der </w:t>
      </w:r>
      <w:r w:rsidRPr="00080CD7">
        <w:rPr>
          <w:rFonts w:cs="Lucida Sans Unicode"/>
          <w:b/>
          <w:sz w:val="20"/>
          <w:szCs w:val="20"/>
        </w:rPr>
        <w:t>Umsatz</w:t>
      </w:r>
      <w:r w:rsidRPr="00080CD7">
        <w:rPr>
          <w:rFonts w:cs="Lucida Sans Unicode"/>
          <w:sz w:val="20"/>
          <w:szCs w:val="20"/>
        </w:rPr>
        <w:t xml:space="preserve"> des Segment</w:t>
      </w:r>
      <w:r w:rsidR="00D7087D">
        <w:rPr>
          <w:rFonts w:cs="Lucida Sans Unicode"/>
          <w:sz w:val="20"/>
          <w:szCs w:val="20"/>
        </w:rPr>
        <w:t>s</w:t>
      </w:r>
      <w:r w:rsidRPr="00080CD7">
        <w:rPr>
          <w:rFonts w:cs="Lucida Sans Unicode"/>
          <w:sz w:val="20"/>
          <w:szCs w:val="20"/>
        </w:rPr>
        <w:t xml:space="preserve"> Specialty Materials verringerte sich um 7 Prozent auf 4.490 Millionen €</w:t>
      </w:r>
      <w:r w:rsidR="007B2C7E">
        <w:rPr>
          <w:rFonts w:cs="Lucida Sans Unicode"/>
          <w:sz w:val="20"/>
          <w:szCs w:val="20"/>
        </w:rPr>
        <w:t xml:space="preserve"> (Vorjahr: 4.843 Millionen €)</w:t>
      </w:r>
      <w:r w:rsidRPr="00080CD7">
        <w:rPr>
          <w:rFonts w:cs="Lucida Sans Unicode"/>
          <w:sz w:val="20"/>
          <w:szCs w:val="20"/>
        </w:rPr>
        <w:t>.</w:t>
      </w:r>
      <w:r w:rsidR="00D74B2F" w:rsidRPr="00080CD7">
        <w:rPr>
          <w:rFonts w:cs="Lucida Sans Unicode"/>
          <w:sz w:val="20"/>
          <w:szCs w:val="20"/>
        </w:rPr>
        <w:t xml:space="preserve"> Neben der Abgabe des </w:t>
      </w:r>
      <w:r w:rsidRPr="00080CD7">
        <w:rPr>
          <w:rFonts w:cs="Lucida Sans Unicode"/>
          <w:sz w:val="20"/>
          <w:szCs w:val="20"/>
        </w:rPr>
        <w:t>chinesischen Cyanurchloridgeschäfts im Dezember 2012</w:t>
      </w:r>
      <w:r w:rsidR="002C74CC" w:rsidRPr="00080CD7">
        <w:rPr>
          <w:rFonts w:cs="Lucida Sans Unicode"/>
          <w:sz w:val="20"/>
          <w:szCs w:val="20"/>
        </w:rPr>
        <w:t xml:space="preserve"> </w:t>
      </w:r>
      <w:r w:rsidR="00D74B2F" w:rsidRPr="00080CD7">
        <w:rPr>
          <w:rFonts w:cs="Lucida Sans Unicode"/>
          <w:sz w:val="20"/>
          <w:szCs w:val="20"/>
        </w:rPr>
        <w:t xml:space="preserve">resultiert dies aus einem organischen Umsatzrückgang. Ursache hierfür waren deutlich nachgebende Verkaufspreise, </w:t>
      </w:r>
      <w:r w:rsidR="005608E0">
        <w:rPr>
          <w:rFonts w:cs="Lucida Sans Unicode"/>
          <w:sz w:val="20"/>
          <w:szCs w:val="20"/>
        </w:rPr>
        <w:t xml:space="preserve">insbesondere für Butadien, </w:t>
      </w:r>
      <w:r w:rsidR="00D74B2F" w:rsidRPr="00080CD7">
        <w:rPr>
          <w:rFonts w:cs="Lucida Sans Unicode"/>
          <w:sz w:val="20"/>
          <w:szCs w:val="20"/>
        </w:rPr>
        <w:t xml:space="preserve">während die Mengen sich spürbar erhöhten. </w:t>
      </w:r>
      <w:r w:rsidR="00F8351E" w:rsidRPr="00080CD7">
        <w:rPr>
          <w:rFonts w:cs="Lucida Sans Unicode"/>
          <w:sz w:val="20"/>
          <w:szCs w:val="20"/>
        </w:rPr>
        <w:t>Zu dem Mengenanstieg trug auch die seit Jahresbeginn 2013 wieder produzierende CDT-Anlage</w:t>
      </w:r>
      <w:r w:rsidR="00D74B2F" w:rsidRPr="00080CD7">
        <w:rPr>
          <w:rFonts w:cs="Lucida Sans Unicode"/>
          <w:sz w:val="20"/>
          <w:szCs w:val="20"/>
        </w:rPr>
        <w:t xml:space="preserve"> in Marl</w:t>
      </w:r>
      <w:r w:rsidR="00F8351E" w:rsidRPr="00080CD7">
        <w:rPr>
          <w:rFonts w:cs="Lucida Sans Unicode"/>
          <w:sz w:val="20"/>
          <w:szCs w:val="20"/>
        </w:rPr>
        <w:t xml:space="preserve"> bei</w:t>
      </w:r>
      <w:r w:rsidR="00D74B2F" w:rsidRPr="00080CD7">
        <w:rPr>
          <w:rFonts w:cs="Lucida Sans Unicode"/>
          <w:sz w:val="20"/>
          <w:szCs w:val="20"/>
        </w:rPr>
        <w:t>. Stabil zeigte sich das W</w:t>
      </w:r>
      <w:r w:rsidR="00F8351E" w:rsidRPr="00080CD7">
        <w:rPr>
          <w:rFonts w:cs="Lucida Sans Unicode"/>
          <w:sz w:val="20"/>
          <w:szCs w:val="20"/>
        </w:rPr>
        <w:t>asserstoffperoxidgeschäft</w:t>
      </w:r>
      <w:r w:rsidR="00D74B2F" w:rsidRPr="00080CD7">
        <w:rPr>
          <w:rFonts w:cs="Lucida Sans Unicode"/>
          <w:sz w:val="20"/>
          <w:szCs w:val="20"/>
        </w:rPr>
        <w:t>, das eine hö</w:t>
      </w:r>
      <w:r w:rsidR="00711563" w:rsidRPr="00080CD7">
        <w:rPr>
          <w:rFonts w:cs="Lucida Sans Unicode"/>
          <w:sz w:val="20"/>
          <w:szCs w:val="20"/>
        </w:rPr>
        <w:t>h</w:t>
      </w:r>
      <w:r w:rsidR="00D74B2F" w:rsidRPr="00080CD7">
        <w:rPr>
          <w:rFonts w:cs="Lucida Sans Unicode"/>
          <w:sz w:val="20"/>
          <w:szCs w:val="20"/>
        </w:rPr>
        <w:t>ere Nachfrage vor allem aus Anwendungen nach dem von Ev</w:t>
      </w:r>
      <w:r w:rsidR="00711563" w:rsidRPr="00080CD7">
        <w:rPr>
          <w:rFonts w:cs="Lucida Sans Unicode"/>
          <w:sz w:val="20"/>
          <w:szCs w:val="20"/>
        </w:rPr>
        <w:t>onik</w:t>
      </w:r>
      <w:r w:rsidR="00D74B2F" w:rsidRPr="00080CD7">
        <w:rPr>
          <w:rFonts w:cs="Lucida Sans Unicode"/>
          <w:sz w:val="20"/>
          <w:szCs w:val="20"/>
        </w:rPr>
        <w:t xml:space="preserve"> und ThyssenKrupp Uhde entwickelte</w:t>
      </w:r>
      <w:r w:rsidR="00561266">
        <w:rPr>
          <w:rFonts w:cs="Lucida Sans Unicode"/>
          <w:sz w:val="20"/>
          <w:szCs w:val="20"/>
        </w:rPr>
        <w:t>n</w:t>
      </w:r>
      <w:r w:rsidR="00D74B2F" w:rsidRPr="00080CD7">
        <w:rPr>
          <w:rFonts w:cs="Lucida Sans Unicode"/>
          <w:sz w:val="20"/>
          <w:szCs w:val="20"/>
        </w:rPr>
        <w:t xml:space="preserve"> HPPO-Verfahren verzeichnete. Auch Alkoholate für die Biodieselproduktion waren erneut stark nachgefragt.</w:t>
      </w:r>
      <w:r w:rsidR="002C74CC" w:rsidRPr="00080CD7">
        <w:rPr>
          <w:rFonts w:cs="Lucida Sans Unicode"/>
          <w:sz w:val="20"/>
          <w:szCs w:val="20"/>
        </w:rPr>
        <w:t xml:space="preserve"> </w:t>
      </w:r>
    </w:p>
    <w:p w:rsidR="002C74CC" w:rsidRPr="00080CD7" w:rsidRDefault="002C74CC" w:rsidP="009D734A">
      <w:pPr>
        <w:spacing w:line="300" w:lineRule="atLeast"/>
        <w:rPr>
          <w:rFonts w:cs="Lucida Sans Unicode"/>
          <w:sz w:val="20"/>
          <w:szCs w:val="20"/>
        </w:rPr>
      </w:pPr>
    </w:p>
    <w:p w:rsidR="002C74CC" w:rsidRPr="00080CD7" w:rsidRDefault="002C74CC" w:rsidP="009D734A">
      <w:pPr>
        <w:spacing w:line="300" w:lineRule="atLeast"/>
        <w:rPr>
          <w:rFonts w:cs="Lucida Sans Unicode"/>
          <w:sz w:val="20"/>
          <w:szCs w:val="20"/>
        </w:rPr>
      </w:pPr>
      <w:r w:rsidRPr="00080CD7">
        <w:rPr>
          <w:rFonts w:cs="Lucida Sans Unicode"/>
          <w:sz w:val="20"/>
          <w:szCs w:val="20"/>
        </w:rPr>
        <w:t>Die operativen Ergebnisse blieben vor allem infolge geringerer Verkaufspreise</w:t>
      </w:r>
      <w:r w:rsidR="00D74B2F" w:rsidRPr="00080CD7">
        <w:rPr>
          <w:rFonts w:cs="Lucida Sans Unicode"/>
          <w:sz w:val="20"/>
          <w:szCs w:val="20"/>
        </w:rPr>
        <w:t xml:space="preserve"> </w:t>
      </w:r>
      <w:r w:rsidRPr="00080CD7">
        <w:rPr>
          <w:rFonts w:cs="Lucida Sans Unicode"/>
          <w:sz w:val="20"/>
          <w:szCs w:val="20"/>
        </w:rPr>
        <w:t xml:space="preserve">unter den </w:t>
      </w:r>
      <w:r w:rsidR="002F0FD0" w:rsidRPr="00080CD7">
        <w:rPr>
          <w:rFonts w:cs="Lucida Sans Unicode"/>
          <w:sz w:val="20"/>
          <w:szCs w:val="20"/>
        </w:rPr>
        <w:t xml:space="preserve">sehr </w:t>
      </w:r>
      <w:r w:rsidRPr="00080CD7">
        <w:rPr>
          <w:rFonts w:cs="Lucida Sans Unicode"/>
          <w:sz w:val="20"/>
          <w:szCs w:val="20"/>
        </w:rPr>
        <w:t xml:space="preserve">guten Vorjahreswerten. Das bereinigte </w:t>
      </w:r>
      <w:r w:rsidRPr="00080CD7">
        <w:rPr>
          <w:rFonts w:cs="Lucida Sans Unicode"/>
          <w:b/>
          <w:sz w:val="20"/>
          <w:szCs w:val="20"/>
        </w:rPr>
        <w:t>EBITDA</w:t>
      </w:r>
      <w:r w:rsidRPr="00080CD7">
        <w:rPr>
          <w:rFonts w:cs="Lucida Sans Unicode"/>
          <w:sz w:val="20"/>
          <w:szCs w:val="20"/>
        </w:rPr>
        <w:t xml:space="preserve"> ging um 35 Prozent auf 552 Millionen € </w:t>
      </w:r>
      <w:r w:rsidR="005C7A3B">
        <w:rPr>
          <w:rFonts w:cs="Lucida Sans Unicode"/>
          <w:sz w:val="20"/>
          <w:szCs w:val="20"/>
        </w:rPr>
        <w:t>(Vorjahr:</w:t>
      </w:r>
      <w:r w:rsidR="00016ADF">
        <w:rPr>
          <w:rFonts w:cs="Lucida Sans Unicode"/>
          <w:sz w:val="20"/>
          <w:szCs w:val="20"/>
        </w:rPr>
        <w:t xml:space="preserve"> </w:t>
      </w:r>
      <w:r w:rsidR="005C7A3B">
        <w:rPr>
          <w:rFonts w:cs="Lucida Sans Unicode"/>
          <w:sz w:val="20"/>
          <w:szCs w:val="20"/>
        </w:rPr>
        <w:t xml:space="preserve">853 Millionen €) </w:t>
      </w:r>
      <w:r w:rsidRPr="00080CD7">
        <w:rPr>
          <w:rFonts w:cs="Lucida Sans Unicode"/>
          <w:sz w:val="20"/>
          <w:szCs w:val="20"/>
        </w:rPr>
        <w:t xml:space="preserve">und das bereinigte </w:t>
      </w:r>
      <w:r w:rsidRPr="00080CD7">
        <w:rPr>
          <w:rFonts w:cs="Lucida Sans Unicode"/>
          <w:b/>
          <w:sz w:val="20"/>
          <w:szCs w:val="20"/>
        </w:rPr>
        <w:t>EBIT</w:t>
      </w:r>
      <w:r w:rsidRPr="00080CD7">
        <w:rPr>
          <w:rFonts w:cs="Lucida Sans Unicode"/>
          <w:sz w:val="20"/>
          <w:szCs w:val="20"/>
        </w:rPr>
        <w:t xml:space="preserve"> um 44 Prozent auf 395 Millionen € zurück</w:t>
      </w:r>
      <w:r w:rsidR="007B2C7E">
        <w:rPr>
          <w:rFonts w:cs="Lucida Sans Unicode"/>
          <w:sz w:val="20"/>
          <w:szCs w:val="20"/>
        </w:rPr>
        <w:t xml:space="preserve"> (Vorjahr: 7</w:t>
      </w:r>
      <w:r w:rsidR="005608E0">
        <w:rPr>
          <w:rFonts w:cs="Lucida Sans Unicode"/>
          <w:sz w:val="20"/>
          <w:szCs w:val="20"/>
        </w:rPr>
        <w:t>0</w:t>
      </w:r>
      <w:r w:rsidR="007B2C7E">
        <w:rPr>
          <w:rFonts w:cs="Lucida Sans Unicode"/>
          <w:sz w:val="20"/>
          <w:szCs w:val="20"/>
        </w:rPr>
        <w:t>1 Millionen €)</w:t>
      </w:r>
      <w:r w:rsidRPr="00080CD7">
        <w:rPr>
          <w:rFonts w:cs="Lucida Sans Unicode"/>
          <w:sz w:val="20"/>
          <w:szCs w:val="20"/>
        </w:rPr>
        <w:t xml:space="preserve">. Die bereinigte </w:t>
      </w:r>
      <w:r w:rsidRPr="00080CD7">
        <w:rPr>
          <w:rFonts w:cs="Lucida Sans Unicode"/>
          <w:b/>
          <w:sz w:val="20"/>
          <w:szCs w:val="20"/>
        </w:rPr>
        <w:t>EBITDA-Marge</w:t>
      </w:r>
      <w:r w:rsidRPr="00080CD7">
        <w:rPr>
          <w:rFonts w:cs="Lucida Sans Unicode"/>
          <w:sz w:val="20"/>
          <w:szCs w:val="20"/>
        </w:rPr>
        <w:t xml:space="preserve"> verringerte sich von 17,</w:t>
      </w:r>
      <w:r w:rsidR="00D55350">
        <w:rPr>
          <w:rFonts w:cs="Lucida Sans Unicode"/>
          <w:sz w:val="20"/>
          <w:szCs w:val="20"/>
        </w:rPr>
        <w:t>6</w:t>
      </w:r>
      <w:r w:rsidRPr="00080CD7">
        <w:rPr>
          <w:rFonts w:cs="Lucida Sans Unicode"/>
          <w:sz w:val="20"/>
          <w:szCs w:val="20"/>
        </w:rPr>
        <w:t xml:space="preserve"> Prozent im Vorjahr auf 12,3 Prozent.</w:t>
      </w:r>
      <w:r w:rsidR="00A35805">
        <w:rPr>
          <w:rFonts w:cs="Lucida Sans Unicode"/>
          <w:sz w:val="20"/>
          <w:szCs w:val="20"/>
        </w:rPr>
        <w:t xml:space="preserve"> Der ROCE ging infolge des geringeren Ergebnisses sowie des </w:t>
      </w:r>
      <w:r w:rsidR="00052E5F">
        <w:rPr>
          <w:rFonts w:cs="Lucida Sans Unicode"/>
          <w:sz w:val="20"/>
          <w:szCs w:val="20"/>
        </w:rPr>
        <w:t xml:space="preserve">höheren </w:t>
      </w:r>
      <w:r w:rsidR="00A35805">
        <w:rPr>
          <w:rFonts w:cs="Lucida Sans Unicode"/>
          <w:sz w:val="20"/>
          <w:szCs w:val="20"/>
        </w:rPr>
        <w:t>durch</w:t>
      </w:r>
      <w:r w:rsidR="008868BF">
        <w:rPr>
          <w:rFonts w:cs="Lucida Sans Unicode"/>
          <w:sz w:val="20"/>
          <w:szCs w:val="20"/>
        </w:rPr>
        <w:t>sch</w:t>
      </w:r>
      <w:r w:rsidR="00A35805">
        <w:rPr>
          <w:rFonts w:cs="Lucida Sans Unicode"/>
          <w:sz w:val="20"/>
          <w:szCs w:val="20"/>
        </w:rPr>
        <w:t>nittlichen Capital Employed von 38,7</w:t>
      </w:r>
      <w:r w:rsidR="007B2C7E">
        <w:rPr>
          <w:rFonts w:cs="Lucida Sans Unicode"/>
          <w:sz w:val="20"/>
          <w:szCs w:val="20"/>
        </w:rPr>
        <w:t xml:space="preserve"> Prozent</w:t>
      </w:r>
      <w:r w:rsidR="00A35805">
        <w:rPr>
          <w:rFonts w:cs="Lucida Sans Unicode"/>
          <w:sz w:val="20"/>
          <w:szCs w:val="20"/>
        </w:rPr>
        <w:t xml:space="preserve"> auf 19,6 Prozent zurück.</w:t>
      </w:r>
    </w:p>
    <w:p w:rsidR="00C156F6" w:rsidRPr="00080CD7" w:rsidRDefault="00C156F6" w:rsidP="009D734A">
      <w:pPr>
        <w:spacing w:line="300" w:lineRule="atLeast"/>
        <w:rPr>
          <w:rFonts w:cs="Lucida Sans Unicode"/>
          <w:sz w:val="20"/>
          <w:szCs w:val="20"/>
        </w:rPr>
      </w:pPr>
    </w:p>
    <w:p w:rsidR="009D734A" w:rsidRPr="00080CD7" w:rsidRDefault="009D734A" w:rsidP="009D734A">
      <w:pPr>
        <w:spacing w:after="120" w:line="300" w:lineRule="atLeast"/>
        <w:rPr>
          <w:rFonts w:cs="Lucida Sans Unicode"/>
          <w:b/>
          <w:sz w:val="20"/>
          <w:szCs w:val="20"/>
        </w:rPr>
      </w:pPr>
      <w:r w:rsidRPr="00080CD7">
        <w:rPr>
          <w:rFonts w:cs="Lucida Sans Unicode"/>
          <w:b/>
          <w:sz w:val="20"/>
          <w:szCs w:val="20"/>
        </w:rPr>
        <w:t>Services</w:t>
      </w:r>
    </w:p>
    <w:p w:rsidR="009D734A" w:rsidRPr="00080CD7" w:rsidRDefault="009D734A" w:rsidP="009D734A">
      <w:pPr>
        <w:spacing w:after="120" w:line="300" w:lineRule="atLeast"/>
        <w:rPr>
          <w:rFonts w:cs="Lucida Sans Unicode"/>
          <w:sz w:val="20"/>
          <w:szCs w:val="20"/>
        </w:rPr>
      </w:pPr>
      <w:r w:rsidRPr="00080CD7">
        <w:rPr>
          <w:rFonts w:cs="Lucida Sans Unicode"/>
          <w:sz w:val="20"/>
          <w:szCs w:val="20"/>
        </w:rPr>
        <w:t xml:space="preserve">Das Segment </w:t>
      </w:r>
      <w:r w:rsidRPr="00080CD7">
        <w:rPr>
          <w:rFonts w:cs="Lucida Sans Unicode"/>
          <w:b/>
          <w:sz w:val="20"/>
          <w:szCs w:val="20"/>
        </w:rPr>
        <w:t>Services</w:t>
      </w:r>
      <w:r w:rsidRPr="00080CD7">
        <w:rPr>
          <w:rFonts w:cs="Lucida Sans Unicode"/>
          <w:sz w:val="20"/>
          <w:szCs w:val="20"/>
        </w:rPr>
        <w:t xml:space="preserve"> erbringt seine Dienstleistungen vor allem für die operativen Spezialchemie</w:t>
      </w:r>
      <w:r w:rsidR="00E400CD" w:rsidRPr="00080CD7">
        <w:rPr>
          <w:rFonts w:cs="Lucida Sans Unicode"/>
          <w:sz w:val="20"/>
          <w:szCs w:val="20"/>
        </w:rPr>
        <w:t>g</w:t>
      </w:r>
      <w:r w:rsidRPr="00080CD7">
        <w:rPr>
          <w:rFonts w:cs="Lucida Sans Unicode"/>
          <w:sz w:val="20"/>
          <w:szCs w:val="20"/>
        </w:rPr>
        <w:t>eschäfte und das Corporate Center von Evonik sowie für Dritte.</w:t>
      </w:r>
    </w:p>
    <w:p w:rsidR="009D734A" w:rsidRPr="00080CD7" w:rsidRDefault="009D734A" w:rsidP="009D734A">
      <w:pPr>
        <w:spacing w:line="300" w:lineRule="atLeast"/>
        <w:rPr>
          <w:rFonts w:cs="Lucida Sans Unicode"/>
          <w:sz w:val="20"/>
          <w:szCs w:val="20"/>
        </w:rPr>
      </w:pPr>
      <w:r w:rsidRPr="00080CD7">
        <w:rPr>
          <w:rFonts w:cs="Lucida Sans Unicode"/>
          <w:sz w:val="20"/>
          <w:szCs w:val="20"/>
        </w:rPr>
        <w:t>Das Segment Services erzielte 201</w:t>
      </w:r>
      <w:r w:rsidR="00E400CD" w:rsidRPr="00080CD7">
        <w:rPr>
          <w:rFonts w:cs="Lucida Sans Unicode"/>
          <w:sz w:val="20"/>
          <w:szCs w:val="20"/>
        </w:rPr>
        <w:t>3</w:t>
      </w:r>
      <w:r w:rsidRPr="00080CD7">
        <w:rPr>
          <w:rFonts w:cs="Lucida Sans Unicode"/>
          <w:sz w:val="20"/>
          <w:szCs w:val="20"/>
        </w:rPr>
        <w:t xml:space="preserve"> einen </w:t>
      </w:r>
      <w:r w:rsidRPr="00080CD7">
        <w:rPr>
          <w:rFonts w:cs="Lucida Sans Unicode"/>
          <w:b/>
          <w:sz w:val="20"/>
          <w:szCs w:val="20"/>
        </w:rPr>
        <w:t>Gesamtumsatz</w:t>
      </w:r>
      <w:r w:rsidRPr="00080CD7">
        <w:rPr>
          <w:rFonts w:cs="Lucida Sans Unicode"/>
          <w:sz w:val="20"/>
          <w:szCs w:val="20"/>
        </w:rPr>
        <w:t xml:space="preserve"> von 2</w:t>
      </w:r>
      <w:r w:rsidR="005608E0">
        <w:rPr>
          <w:rFonts w:cs="Lucida Sans Unicode"/>
          <w:sz w:val="20"/>
          <w:szCs w:val="20"/>
        </w:rPr>
        <w:t>.</w:t>
      </w:r>
      <w:r w:rsidR="00E400CD" w:rsidRPr="00080CD7">
        <w:rPr>
          <w:rFonts w:cs="Lucida Sans Unicode"/>
          <w:sz w:val="20"/>
          <w:szCs w:val="20"/>
        </w:rPr>
        <w:t>680</w:t>
      </w:r>
      <w:r w:rsidRPr="00080CD7">
        <w:rPr>
          <w:rFonts w:cs="Lucida Sans Unicode"/>
          <w:sz w:val="20"/>
          <w:szCs w:val="20"/>
        </w:rPr>
        <w:t xml:space="preserve"> Millionen €, hiervon entfielen 1.7</w:t>
      </w:r>
      <w:r w:rsidR="00E400CD" w:rsidRPr="00080CD7">
        <w:rPr>
          <w:rFonts w:cs="Lucida Sans Unicode"/>
          <w:sz w:val="20"/>
          <w:szCs w:val="20"/>
        </w:rPr>
        <w:t>64</w:t>
      </w:r>
      <w:r w:rsidRPr="00080CD7">
        <w:rPr>
          <w:rFonts w:cs="Lucida Sans Unicode"/>
          <w:sz w:val="20"/>
          <w:szCs w:val="20"/>
        </w:rPr>
        <w:t xml:space="preserve"> Millionen € auf Innenumsätze. Der Außenumsatz </w:t>
      </w:r>
      <w:r w:rsidR="00E400CD" w:rsidRPr="00080CD7">
        <w:rPr>
          <w:rFonts w:cs="Lucida Sans Unicode"/>
          <w:sz w:val="20"/>
          <w:szCs w:val="20"/>
        </w:rPr>
        <w:t xml:space="preserve">ging nachfragebedingt insbesondere aufgrund der </w:t>
      </w:r>
      <w:r w:rsidR="00E400CD" w:rsidRPr="00080CD7">
        <w:rPr>
          <w:rFonts w:cs="Lucida Sans Unicode"/>
          <w:sz w:val="20"/>
          <w:szCs w:val="20"/>
        </w:rPr>
        <w:lastRenderedPageBreak/>
        <w:t xml:space="preserve">Stilllegung einer Produktionsanlage eines Kunden am Standort Marl um </w:t>
      </w:r>
      <w:r w:rsidR="00E15F00">
        <w:rPr>
          <w:rFonts w:cs="Lucida Sans Unicode"/>
          <w:sz w:val="20"/>
          <w:szCs w:val="20"/>
        </w:rPr>
        <w:br/>
      </w:r>
      <w:r w:rsidR="00E400CD" w:rsidRPr="00080CD7">
        <w:rPr>
          <w:rFonts w:cs="Lucida Sans Unicode"/>
          <w:sz w:val="20"/>
          <w:szCs w:val="20"/>
        </w:rPr>
        <w:t xml:space="preserve">8 Prozent auf 916 Millionen € zurück. Die </w:t>
      </w:r>
      <w:r w:rsidR="00F24A0B" w:rsidRPr="00080CD7">
        <w:rPr>
          <w:rFonts w:cs="Lucida Sans Unicode"/>
          <w:sz w:val="20"/>
          <w:szCs w:val="20"/>
        </w:rPr>
        <w:t>o</w:t>
      </w:r>
      <w:r w:rsidR="00E400CD" w:rsidRPr="00080CD7">
        <w:rPr>
          <w:rFonts w:cs="Lucida Sans Unicode"/>
          <w:sz w:val="20"/>
          <w:szCs w:val="20"/>
        </w:rPr>
        <w:t xml:space="preserve">perativen Ergebnisse erhöhten sich im Wesentlichen dank </w:t>
      </w:r>
      <w:r w:rsidR="00A35805">
        <w:rPr>
          <w:rFonts w:cs="Lucida Sans Unicode"/>
          <w:sz w:val="20"/>
          <w:szCs w:val="20"/>
        </w:rPr>
        <w:t>erfolgreichen Kostenmanagements an den Standorten.</w:t>
      </w:r>
      <w:r w:rsidR="00E400CD" w:rsidRPr="00080CD7">
        <w:rPr>
          <w:rFonts w:cs="Lucida Sans Unicode"/>
          <w:sz w:val="20"/>
          <w:szCs w:val="20"/>
        </w:rPr>
        <w:t xml:space="preserve"> </w:t>
      </w:r>
      <w:r w:rsidRPr="00080CD7">
        <w:rPr>
          <w:rFonts w:cs="Lucida Sans Unicode"/>
          <w:sz w:val="20"/>
          <w:szCs w:val="20"/>
        </w:rPr>
        <w:t xml:space="preserve">Das bereinigte </w:t>
      </w:r>
      <w:r w:rsidRPr="00080CD7">
        <w:rPr>
          <w:rFonts w:cs="Lucida Sans Unicode"/>
          <w:b/>
          <w:sz w:val="20"/>
          <w:szCs w:val="20"/>
        </w:rPr>
        <w:t>EBITDA</w:t>
      </w:r>
      <w:r w:rsidR="00E400CD" w:rsidRPr="00080CD7">
        <w:rPr>
          <w:rFonts w:cs="Lucida Sans Unicode"/>
          <w:sz w:val="20"/>
          <w:szCs w:val="20"/>
        </w:rPr>
        <w:t xml:space="preserve"> nahm insgesamt um 5 Prozent auf 182 Millionen € </w:t>
      </w:r>
      <w:r w:rsidRPr="00080CD7">
        <w:rPr>
          <w:rFonts w:cs="Lucida Sans Unicode"/>
          <w:sz w:val="20"/>
          <w:szCs w:val="20"/>
        </w:rPr>
        <w:t xml:space="preserve">und das bereinigte </w:t>
      </w:r>
      <w:r w:rsidRPr="00080CD7">
        <w:rPr>
          <w:rFonts w:cs="Lucida Sans Unicode"/>
          <w:b/>
          <w:sz w:val="20"/>
          <w:szCs w:val="20"/>
        </w:rPr>
        <w:t>EBIT</w:t>
      </w:r>
      <w:r w:rsidRPr="00080CD7">
        <w:rPr>
          <w:rFonts w:cs="Lucida Sans Unicode"/>
          <w:sz w:val="20"/>
          <w:szCs w:val="20"/>
        </w:rPr>
        <w:t xml:space="preserve"> um </w:t>
      </w:r>
      <w:r w:rsidR="00E400CD" w:rsidRPr="00080CD7">
        <w:rPr>
          <w:rFonts w:cs="Lucida Sans Unicode"/>
          <w:sz w:val="20"/>
          <w:szCs w:val="20"/>
        </w:rPr>
        <w:t>1</w:t>
      </w:r>
      <w:r w:rsidR="00D55350">
        <w:rPr>
          <w:rFonts w:cs="Lucida Sans Unicode"/>
          <w:sz w:val="20"/>
          <w:szCs w:val="20"/>
        </w:rPr>
        <w:t>2</w:t>
      </w:r>
      <w:r w:rsidR="00E400CD" w:rsidRPr="00080CD7">
        <w:rPr>
          <w:rFonts w:cs="Lucida Sans Unicode"/>
          <w:sz w:val="20"/>
          <w:szCs w:val="20"/>
        </w:rPr>
        <w:t xml:space="preserve"> </w:t>
      </w:r>
      <w:r w:rsidRPr="00080CD7">
        <w:rPr>
          <w:rFonts w:cs="Lucida Sans Unicode"/>
          <w:sz w:val="20"/>
          <w:szCs w:val="20"/>
        </w:rPr>
        <w:t xml:space="preserve">Prozent auf </w:t>
      </w:r>
      <w:r w:rsidR="00E15F00">
        <w:rPr>
          <w:rFonts w:cs="Lucida Sans Unicode"/>
          <w:sz w:val="20"/>
          <w:szCs w:val="20"/>
        </w:rPr>
        <w:br/>
      </w:r>
      <w:r w:rsidR="00E400CD" w:rsidRPr="00080CD7">
        <w:rPr>
          <w:rFonts w:cs="Lucida Sans Unicode"/>
          <w:sz w:val="20"/>
          <w:szCs w:val="20"/>
        </w:rPr>
        <w:t>87 Millionen € zu.</w:t>
      </w:r>
    </w:p>
    <w:p w:rsidR="00044C1C" w:rsidRDefault="00044C1C" w:rsidP="009D734A">
      <w:pPr>
        <w:spacing w:line="300" w:lineRule="atLeast"/>
        <w:rPr>
          <w:rFonts w:cs="Lucida Sans Unicode"/>
          <w:sz w:val="20"/>
          <w:szCs w:val="20"/>
        </w:rPr>
      </w:pPr>
    </w:p>
    <w:p w:rsidR="00044C1C" w:rsidRPr="00080CD7" w:rsidRDefault="00044C1C" w:rsidP="009D734A">
      <w:pPr>
        <w:spacing w:line="300" w:lineRule="atLeast"/>
        <w:rPr>
          <w:rFonts w:cs="Lucida Sans Unicode"/>
          <w:sz w:val="20"/>
          <w:szCs w:val="20"/>
        </w:rPr>
      </w:pPr>
    </w:p>
    <w:p w:rsidR="00F24A0B" w:rsidRPr="00080CD7" w:rsidRDefault="009D734A" w:rsidP="009D734A">
      <w:pPr>
        <w:spacing w:line="300" w:lineRule="atLeast"/>
        <w:rPr>
          <w:rFonts w:cs="Lucida Sans Unicode"/>
          <w:b/>
          <w:color w:val="000000"/>
          <w:sz w:val="20"/>
          <w:szCs w:val="20"/>
        </w:rPr>
      </w:pPr>
      <w:r w:rsidRPr="00080CD7">
        <w:rPr>
          <w:rFonts w:cs="Lucida Sans Unicode"/>
          <w:b/>
          <w:color w:val="000000"/>
          <w:sz w:val="20"/>
          <w:szCs w:val="20"/>
        </w:rPr>
        <w:t xml:space="preserve">Konzern: </w:t>
      </w:r>
      <w:r w:rsidR="00F24A0B" w:rsidRPr="00080CD7">
        <w:rPr>
          <w:rFonts w:cs="Lucida Sans Unicode"/>
          <w:b/>
          <w:color w:val="000000"/>
          <w:sz w:val="20"/>
          <w:szCs w:val="20"/>
        </w:rPr>
        <w:t>4. Quartal 2013</w:t>
      </w:r>
      <w:r w:rsidR="001361E3">
        <w:rPr>
          <w:rFonts w:cs="Lucida Sans Unicode"/>
          <w:b/>
          <w:color w:val="000000"/>
          <w:sz w:val="20"/>
          <w:szCs w:val="20"/>
        </w:rPr>
        <w:t>:</w:t>
      </w:r>
    </w:p>
    <w:p w:rsidR="00C156F6" w:rsidRPr="00080CD7" w:rsidRDefault="00C156F6" w:rsidP="009D734A">
      <w:pPr>
        <w:spacing w:line="300" w:lineRule="atLeast"/>
        <w:rPr>
          <w:rFonts w:cs="Lucida Sans Unicode"/>
          <w:b/>
          <w:color w:val="000000"/>
          <w:sz w:val="20"/>
          <w:szCs w:val="20"/>
        </w:rPr>
      </w:pPr>
    </w:p>
    <w:p w:rsidR="009D734A" w:rsidRDefault="00076A15" w:rsidP="009D734A">
      <w:pPr>
        <w:spacing w:line="300" w:lineRule="atLeast"/>
        <w:rPr>
          <w:rFonts w:cs="Lucida Sans Unicode"/>
          <w:b/>
          <w:color w:val="000000"/>
          <w:sz w:val="20"/>
          <w:szCs w:val="20"/>
        </w:rPr>
      </w:pPr>
      <w:r>
        <w:rPr>
          <w:rFonts w:cs="Lucida Sans Unicode"/>
          <w:b/>
          <w:color w:val="000000"/>
          <w:sz w:val="20"/>
          <w:szCs w:val="20"/>
        </w:rPr>
        <w:t>Organischer Umsatzanstieg</w:t>
      </w:r>
      <w:r w:rsidR="007F38B1">
        <w:rPr>
          <w:rFonts w:cs="Lucida Sans Unicode"/>
          <w:b/>
          <w:color w:val="000000"/>
          <w:sz w:val="20"/>
          <w:szCs w:val="20"/>
        </w:rPr>
        <w:t xml:space="preserve"> </w:t>
      </w:r>
    </w:p>
    <w:p w:rsidR="00F96D1C" w:rsidRPr="00080CD7" w:rsidRDefault="00F96D1C" w:rsidP="009D734A">
      <w:pPr>
        <w:spacing w:line="300" w:lineRule="atLeast"/>
        <w:rPr>
          <w:rFonts w:cs="Lucida Sans Unicode"/>
          <w:b/>
          <w:color w:val="000000"/>
          <w:sz w:val="20"/>
          <w:szCs w:val="20"/>
        </w:rPr>
      </w:pPr>
    </w:p>
    <w:p w:rsidR="00F24A0B" w:rsidRPr="00080CD7" w:rsidRDefault="00076A15" w:rsidP="009D734A">
      <w:pPr>
        <w:spacing w:line="300" w:lineRule="atLeast"/>
        <w:rPr>
          <w:rFonts w:cs="Lucida Sans Unicode"/>
          <w:color w:val="000000"/>
          <w:sz w:val="20"/>
          <w:szCs w:val="20"/>
        </w:rPr>
      </w:pPr>
      <w:r>
        <w:rPr>
          <w:rFonts w:cs="Lucida Sans Unicode"/>
          <w:color w:val="000000"/>
          <w:sz w:val="20"/>
          <w:szCs w:val="20"/>
        </w:rPr>
        <w:t xml:space="preserve">Die erfreuliche Mengenentwicklung hat sich im vierten Quartal 2013 fortgesetzt. </w:t>
      </w:r>
      <w:r w:rsidR="00F24A0B" w:rsidRPr="00080CD7">
        <w:rPr>
          <w:rFonts w:cs="Lucida Sans Unicode"/>
          <w:color w:val="000000"/>
          <w:sz w:val="20"/>
          <w:szCs w:val="20"/>
        </w:rPr>
        <w:t>Der Evonik-Konzern</w:t>
      </w:r>
      <w:r w:rsidR="001379C4">
        <w:rPr>
          <w:rFonts w:cs="Lucida Sans Unicode"/>
          <w:color w:val="000000"/>
          <w:sz w:val="20"/>
          <w:szCs w:val="20"/>
        </w:rPr>
        <w:t xml:space="preserve"> erzielte einen organischen </w:t>
      </w:r>
      <w:r w:rsidR="001379C4" w:rsidRPr="00080CD7">
        <w:rPr>
          <w:rFonts w:cs="Lucida Sans Unicode"/>
          <w:b/>
          <w:color w:val="000000"/>
          <w:sz w:val="20"/>
          <w:szCs w:val="20"/>
        </w:rPr>
        <w:t>Umsatz</w:t>
      </w:r>
      <w:r w:rsidR="001379C4">
        <w:rPr>
          <w:rFonts w:cs="Lucida Sans Unicode"/>
          <w:b/>
          <w:color w:val="000000"/>
          <w:sz w:val="20"/>
          <w:szCs w:val="20"/>
        </w:rPr>
        <w:t>anstieg</w:t>
      </w:r>
      <w:r w:rsidR="001379C4" w:rsidRPr="00080CD7">
        <w:rPr>
          <w:rFonts w:cs="Lucida Sans Unicode"/>
          <w:color w:val="000000"/>
          <w:sz w:val="20"/>
          <w:szCs w:val="20"/>
        </w:rPr>
        <w:t xml:space="preserve"> </w:t>
      </w:r>
      <w:r w:rsidR="001379C4">
        <w:rPr>
          <w:rFonts w:cs="Lucida Sans Unicode"/>
          <w:color w:val="000000"/>
          <w:sz w:val="20"/>
          <w:szCs w:val="20"/>
        </w:rPr>
        <w:t xml:space="preserve">um 2 Prozent, zu dem </w:t>
      </w:r>
      <w:r w:rsidR="00602348" w:rsidRPr="00080CD7">
        <w:rPr>
          <w:rFonts w:cs="Lucida Sans Unicode"/>
          <w:color w:val="000000"/>
          <w:sz w:val="20"/>
          <w:szCs w:val="20"/>
        </w:rPr>
        <w:t xml:space="preserve">deutliche Mengensteigerungen (8 Prozentpunkte) und rückläufige Verkaufspreise (-6 Prozentpunkte) </w:t>
      </w:r>
      <w:r w:rsidR="001379C4">
        <w:rPr>
          <w:rFonts w:cs="Lucida Sans Unicode"/>
          <w:color w:val="000000"/>
          <w:sz w:val="20"/>
          <w:szCs w:val="20"/>
        </w:rPr>
        <w:t>beitrugen</w:t>
      </w:r>
      <w:r w:rsidR="00590C40">
        <w:rPr>
          <w:rFonts w:cs="Lucida Sans Unicode"/>
          <w:color w:val="000000"/>
          <w:sz w:val="20"/>
          <w:szCs w:val="20"/>
        </w:rPr>
        <w:t>.</w:t>
      </w:r>
      <w:r w:rsidR="00602348" w:rsidRPr="00080CD7">
        <w:rPr>
          <w:rFonts w:cs="Lucida Sans Unicode"/>
          <w:color w:val="000000"/>
          <w:sz w:val="20"/>
          <w:szCs w:val="20"/>
        </w:rPr>
        <w:t xml:space="preserve"> </w:t>
      </w:r>
      <w:r w:rsidR="001379C4">
        <w:rPr>
          <w:rFonts w:cs="Lucida Sans Unicode"/>
          <w:color w:val="000000"/>
          <w:sz w:val="20"/>
          <w:szCs w:val="20"/>
        </w:rPr>
        <w:t xml:space="preserve">Infolge </w:t>
      </w:r>
      <w:r w:rsidR="001379C4" w:rsidRPr="00080CD7">
        <w:rPr>
          <w:rFonts w:cs="Lucida Sans Unicode"/>
          <w:color w:val="000000"/>
          <w:sz w:val="20"/>
          <w:szCs w:val="20"/>
        </w:rPr>
        <w:t>negative</w:t>
      </w:r>
      <w:r w:rsidR="001379C4">
        <w:rPr>
          <w:rFonts w:cs="Lucida Sans Unicode"/>
          <w:color w:val="000000"/>
          <w:sz w:val="20"/>
          <w:szCs w:val="20"/>
        </w:rPr>
        <w:t>r</w:t>
      </w:r>
      <w:r w:rsidR="001379C4" w:rsidRPr="00080CD7">
        <w:rPr>
          <w:rFonts w:cs="Lucida Sans Unicode"/>
          <w:color w:val="000000"/>
          <w:sz w:val="20"/>
          <w:szCs w:val="20"/>
        </w:rPr>
        <w:t xml:space="preserve"> Währungs</w:t>
      </w:r>
      <w:r w:rsidR="001379C4">
        <w:rPr>
          <w:rFonts w:cs="Lucida Sans Unicode"/>
          <w:color w:val="000000"/>
          <w:sz w:val="20"/>
          <w:szCs w:val="20"/>
        </w:rPr>
        <w:t>-</w:t>
      </w:r>
      <w:r w:rsidR="001379C4" w:rsidRPr="00080CD7">
        <w:rPr>
          <w:rFonts w:cs="Lucida Sans Unicode"/>
          <w:color w:val="000000"/>
          <w:sz w:val="20"/>
          <w:szCs w:val="20"/>
        </w:rPr>
        <w:t xml:space="preserve"> (-1 Prozentpunkt) sowie sonstige</w:t>
      </w:r>
      <w:r w:rsidR="001379C4">
        <w:rPr>
          <w:rFonts w:cs="Lucida Sans Unicode"/>
          <w:color w:val="000000"/>
          <w:sz w:val="20"/>
          <w:szCs w:val="20"/>
        </w:rPr>
        <w:t>r</w:t>
      </w:r>
      <w:r w:rsidR="001379C4" w:rsidRPr="00080CD7">
        <w:rPr>
          <w:rFonts w:cs="Lucida Sans Unicode"/>
          <w:color w:val="000000"/>
          <w:sz w:val="20"/>
          <w:szCs w:val="20"/>
        </w:rPr>
        <w:t xml:space="preserve"> Effekte (-2 Prozentpunkte), vor allem aus dem im Vorjahr noch enthaltenen chinesischen Cyanurchlorid-Geschäft</w:t>
      </w:r>
      <w:r w:rsidR="00BD07B3">
        <w:rPr>
          <w:rFonts w:cs="Lucida Sans Unicode"/>
          <w:color w:val="000000"/>
          <w:sz w:val="20"/>
          <w:szCs w:val="20"/>
        </w:rPr>
        <w:t>,</w:t>
      </w:r>
      <w:r w:rsidR="001379C4" w:rsidRPr="00080CD7">
        <w:rPr>
          <w:rFonts w:cs="Lucida Sans Unicode"/>
          <w:color w:val="000000"/>
          <w:sz w:val="20"/>
          <w:szCs w:val="20"/>
        </w:rPr>
        <w:t xml:space="preserve"> verringerte sich </w:t>
      </w:r>
      <w:r w:rsidR="001379C4">
        <w:rPr>
          <w:rFonts w:cs="Lucida Sans Unicode"/>
          <w:color w:val="000000"/>
          <w:sz w:val="20"/>
          <w:szCs w:val="20"/>
        </w:rPr>
        <w:t xml:space="preserve">der Umsatz insgesamt </w:t>
      </w:r>
      <w:r w:rsidR="001379C4" w:rsidRPr="00080CD7">
        <w:rPr>
          <w:rFonts w:cs="Lucida Sans Unicode"/>
          <w:color w:val="000000"/>
          <w:sz w:val="20"/>
          <w:szCs w:val="20"/>
        </w:rPr>
        <w:t xml:space="preserve">um 1 Prozent auf 3.135 Millionen €. </w:t>
      </w:r>
    </w:p>
    <w:p w:rsidR="002F0FD0" w:rsidRPr="00080CD7" w:rsidRDefault="002F0FD0" w:rsidP="009D734A">
      <w:pPr>
        <w:spacing w:line="300" w:lineRule="atLeast"/>
        <w:rPr>
          <w:rFonts w:cs="Lucida Sans Unicode"/>
          <w:color w:val="000000"/>
          <w:sz w:val="20"/>
          <w:szCs w:val="20"/>
        </w:rPr>
      </w:pPr>
    </w:p>
    <w:p w:rsidR="00A53685" w:rsidRPr="00080CD7" w:rsidRDefault="002F0FD0" w:rsidP="009D734A">
      <w:pPr>
        <w:spacing w:line="300" w:lineRule="atLeast"/>
        <w:rPr>
          <w:rFonts w:cs="Lucida Sans Unicode"/>
          <w:color w:val="000000"/>
          <w:sz w:val="20"/>
          <w:szCs w:val="20"/>
        </w:rPr>
      </w:pPr>
      <w:r w:rsidRPr="00080CD7">
        <w:rPr>
          <w:rFonts w:cs="Lucida Sans Unicode"/>
          <w:color w:val="000000"/>
          <w:sz w:val="20"/>
          <w:szCs w:val="20"/>
        </w:rPr>
        <w:t xml:space="preserve">Die operativen Ergebnisse erreichten vor allem aufgrund der geringeren Verkaufspreise </w:t>
      </w:r>
      <w:r w:rsidR="002827A1">
        <w:rPr>
          <w:rFonts w:cs="Lucida Sans Unicode"/>
          <w:color w:val="000000"/>
          <w:sz w:val="20"/>
          <w:szCs w:val="20"/>
        </w:rPr>
        <w:t>in</w:t>
      </w:r>
      <w:r w:rsidRPr="00080CD7">
        <w:rPr>
          <w:rFonts w:cs="Lucida Sans Unicode"/>
          <w:color w:val="000000"/>
          <w:sz w:val="20"/>
          <w:szCs w:val="20"/>
        </w:rPr>
        <w:t xml:space="preserve"> einigen wichtigen </w:t>
      </w:r>
      <w:r w:rsidR="006C7FF6">
        <w:rPr>
          <w:rFonts w:cs="Lucida Sans Unicode"/>
          <w:color w:val="000000"/>
          <w:sz w:val="20"/>
          <w:szCs w:val="20"/>
        </w:rPr>
        <w:t>Geschäften</w:t>
      </w:r>
      <w:r w:rsidRPr="00080CD7">
        <w:rPr>
          <w:rFonts w:cs="Lucida Sans Unicode"/>
          <w:color w:val="000000"/>
          <w:sz w:val="20"/>
          <w:szCs w:val="20"/>
        </w:rPr>
        <w:t xml:space="preserve"> nicht die sehr hohen Vorjahreswerte. Das bereinigte </w:t>
      </w:r>
      <w:r w:rsidRPr="00080CD7">
        <w:rPr>
          <w:rFonts w:cs="Lucida Sans Unicode"/>
          <w:b/>
          <w:color w:val="000000"/>
          <w:sz w:val="20"/>
          <w:szCs w:val="20"/>
        </w:rPr>
        <w:t>EBITDA</w:t>
      </w:r>
      <w:r w:rsidRPr="00080CD7">
        <w:rPr>
          <w:rFonts w:cs="Lucida Sans Unicode"/>
          <w:color w:val="000000"/>
          <w:sz w:val="20"/>
          <w:szCs w:val="20"/>
        </w:rPr>
        <w:t xml:space="preserve"> verringerte sich gegenüber dem Vorjahresquartal um </w:t>
      </w:r>
      <w:r w:rsidR="001379C4">
        <w:rPr>
          <w:rFonts w:cs="Lucida Sans Unicode"/>
          <w:color w:val="000000"/>
          <w:sz w:val="20"/>
          <w:szCs w:val="20"/>
        </w:rPr>
        <w:t>15</w:t>
      </w:r>
      <w:r w:rsidRPr="00080CD7">
        <w:rPr>
          <w:rFonts w:cs="Lucida Sans Unicode"/>
          <w:color w:val="000000"/>
          <w:sz w:val="20"/>
          <w:szCs w:val="20"/>
        </w:rPr>
        <w:t xml:space="preserve"> Prozent auf 386 Millionen € und das bereinigte </w:t>
      </w:r>
      <w:r w:rsidRPr="00080CD7">
        <w:rPr>
          <w:rFonts w:cs="Lucida Sans Unicode"/>
          <w:b/>
          <w:color w:val="000000"/>
          <w:sz w:val="20"/>
          <w:szCs w:val="20"/>
        </w:rPr>
        <w:t>EBIT</w:t>
      </w:r>
      <w:r w:rsidRPr="00080CD7">
        <w:rPr>
          <w:rFonts w:cs="Lucida Sans Unicode"/>
          <w:color w:val="000000"/>
          <w:sz w:val="20"/>
          <w:szCs w:val="20"/>
        </w:rPr>
        <w:t xml:space="preserve"> um </w:t>
      </w:r>
      <w:r w:rsidR="001379C4">
        <w:rPr>
          <w:rFonts w:cs="Lucida Sans Unicode"/>
          <w:color w:val="000000"/>
          <w:sz w:val="20"/>
          <w:szCs w:val="20"/>
        </w:rPr>
        <w:t>26</w:t>
      </w:r>
      <w:r w:rsidRPr="00080CD7">
        <w:rPr>
          <w:rFonts w:cs="Lucida Sans Unicode"/>
          <w:color w:val="000000"/>
          <w:sz w:val="20"/>
          <w:szCs w:val="20"/>
        </w:rPr>
        <w:t xml:space="preserve"> Prozent auf 229 Millionen €. Die bereinigte </w:t>
      </w:r>
      <w:r w:rsidRPr="00080CD7">
        <w:rPr>
          <w:rFonts w:cs="Lucida Sans Unicode"/>
          <w:b/>
          <w:color w:val="000000"/>
          <w:sz w:val="20"/>
          <w:szCs w:val="20"/>
        </w:rPr>
        <w:t>EBITDA-Marge</w:t>
      </w:r>
      <w:r w:rsidRPr="00080CD7">
        <w:rPr>
          <w:rFonts w:cs="Lucida Sans Unicode"/>
          <w:color w:val="000000"/>
          <w:sz w:val="20"/>
          <w:szCs w:val="20"/>
        </w:rPr>
        <w:t xml:space="preserve"> lag mit 12,3 Prozent unter </w:t>
      </w:r>
      <w:r w:rsidR="006C7FF6">
        <w:rPr>
          <w:rFonts w:cs="Lucida Sans Unicode"/>
          <w:color w:val="000000"/>
          <w:sz w:val="20"/>
          <w:szCs w:val="20"/>
        </w:rPr>
        <w:t>dem</w:t>
      </w:r>
      <w:r w:rsidR="001379C4">
        <w:rPr>
          <w:rFonts w:cs="Lucida Sans Unicode"/>
          <w:color w:val="000000"/>
          <w:sz w:val="20"/>
          <w:szCs w:val="20"/>
        </w:rPr>
        <w:t xml:space="preserve"> Vorjahreswert</w:t>
      </w:r>
      <w:r w:rsidRPr="00080CD7">
        <w:rPr>
          <w:rFonts w:cs="Lucida Sans Unicode"/>
          <w:color w:val="000000"/>
          <w:sz w:val="20"/>
          <w:szCs w:val="20"/>
        </w:rPr>
        <w:t xml:space="preserve"> von 14,2 Prozent</w:t>
      </w:r>
      <w:r w:rsidR="00F96D1C">
        <w:rPr>
          <w:rFonts w:cs="Lucida Sans Unicode"/>
          <w:color w:val="000000"/>
          <w:sz w:val="20"/>
          <w:szCs w:val="20"/>
        </w:rPr>
        <w:t>.</w:t>
      </w:r>
      <w:r w:rsidRPr="00080CD7">
        <w:rPr>
          <w:rFonts w:cs="Lucida Sans Unicode"/>
          <w:color w:val="000000"/>
          <w:sz w:val="20"/>
          <w:szCs w:val="20"/>
        </w:rPr>
        <w:t xml:space="preserve"> Das </w:t>
      </w:r>
      <w:r w:rsidRPr="00080CD7">
        <w:rPr>
          <w:rFonts w:cs="Lucida Sans Unicode"/>
          <w:b/>
          <w:color w:val="000000"/>
          <w:sz w:val="20"/>
          <w:szCs w:val="20"/>
        </w:rPr>
        <w:t>Konzernergebnis</w:t>
      </w:r>
      <w:r w:rsidRPr="00080CD7">
        <w:rPr>
          <w:rFonts w:cs="Lucida Sans Unicode"/>
          <w:color w:val="000000"/>
          <w:sz w:val="20"/>
          <w:szCs w:val="20"/>
        </w:rPr>
        <w:t xml:space="preserve"> </w:t>
      </w:r>
      <w:r w:rsidR="00630016">
        <w:rPr>
          <w:rFonts w:cs="Lucida Sans Unicode"/>
          <w:color w:val="000000"/>
          <w:sz w:val="20"/>
          <w:szCs w:val="20"/>
        </w:rPr>
        <w:t>ging</w:t>
      </w:r>
      <w:r w:rsidRPr="00080CD7">
        <w:rPr>
          <w:rFonts w:cs="Lucida Sans Unicode"/>
          <w:color w:val="000000"/>
          <w:sz w:val="20"/>
          <w:szCs w:val="20"/>
        </w:rPr>
        <w:t xml:space="preserve"> um </w:t>
      </w:r>
      <w:r w:rsidR="001379C4">
        <w:rPr>
          <w:rFonts w:cs="Lucida Sans Unicode"/>
          <w:color w:val="000000"/>
          <w:sz w:val="20"/>
          <w:szCs w:val="20"/>
        </w:rPr>
        <w:t>63</w:t>
      </w:r>
      <w:r w:rsidRPr="00080CD7">
        <w:rPr>
          <w:rFonts w:cs="Lucida Sans Unicode"/>
          <w:color w:val="000000"/>
          <w:sz w:val="20"/>
          <w:szCs w:val="20"/>
        </w:rPr>
        <w:t xml:space="preserve"> Prozent auf </w:t>
      </w:r>
      <w:r w:rsidR="002B5234" w:rsidRPr="00080CD7">
        <w:rPr>
          <w:rFonts w:cs="Lucida Sans Unicode"/>
          <w:color w:val="000000"/>
          <w:sz w:val="20"/>
          <w:szCs w:val="20"/>
        </w:rPr>
        <w:t>103 Millionen €</w:t>
      </w:r>
      <w:r w:rsidR="005608E0">
        <w:rPr>
          <w:rFonts w:cs="Lucida Sans Unicode"/>
          <w:color w:val="000000"/>
          <w:sz w:val="20"/>
          <w:szCs w:val="20"/>
        </w:rPr>
        <w:t xml:space="preserve"> und das</w:t>
      </w:r>
      <w:r w:rsidR="002B5234" w:rsidRPr="00080CD7">
        <w:rPr>
          <w:rFonts w:cs="Lucida Sans Unicode"/>
          <w:color w:val="000000"/>
          <w:sz w:val="20"/>
          <w:szCs w:val="20"/>
        </w:rPr>
        <w:t xml:space="preserve"> </w:t>
      </w:r>
      <w:r w:rsidR="002B5234" w:rsidRPr="00080CD7">
        <w:rPr>
          <w:rFonts w:cs="Lucida Sans Unicode"/>
          <w:b/>
          <w:color w:val="000000"/>
          <w:sz w:val="20"/>
          <w:szCs w:val="20"/>
        </w:rPr>
        <w:t>bereinigte Konzernergebnis</w:t>
      </w:r>
      <w:r w:rsidR="006A7D89">
        <w:rPr>
          <w:rFonts w:cs="Lucida Sans Unicode"/>
          <w:b/>
          <w:color w:val="000000"/>
          <w:sz w:val="20"/>
          <w:szCs w:val="20"/>
        </w:rPr>
        <w:t xml:space="preserve"> </w:t>
      </w:r>
      <w:r w:rsidR="002B5234" w:rsidRPr="00080CD7">
        <w:rPr>
          <w:rFonts w:cs="Lucida Sans Unicode"/>
          <w:color w:val="000000"/>
          <w:sz w:val="20"/>
          <w:szCs w:val="20"/>
        </w:rPr>
        <w:t xml:space="preserve">um </w:t>
      </w:r>
      <w:r w:rsidR="001379C4">
        <w:rPr>
          <w:rFonts w:cs="Lucida Sans Unicode"/>
          <w:color w:val="000000"/>
          <w:sz w:val="20"/>
          <w:szCs w:val="20"/>
        </w:rPr>
        <w:t>20</w:t>
      </w:r>
      <w:r w:rsidR="002B5234" w:rsidRPr="00080CD7">
        <w:rPr>
          <w:rFonts w:cs="Lucida Sans Unicode"/>
          <w:color w:val="000000"/>
          <w:sz w:val="20"/>
          <w:szCs w:val="20"/>
        </w:rPr>
        <w:t xml:space="preserve"> Prozent auf 12</w:t>
      </w:r>
      <w:r w:rsidR="00E61D63">
        <w:rPr>
          <w:rFonts w:cs="Lucida Sans Unicode"/>
          <w:color w:val="000000"/>
          <w:sz w:val="20"/>
          <w:szCs w:val="20"/>
        </w:rPr>
        <w:t>7</w:t>
      </w:r>
      <w:r w:rsidR="002B5234" w:rsidRPr="00080CD7">
        <w:rPr>
          <w:rFonts w:cs="Lucida Sans Unicode"/>
          <w:color w:val="000000"/>
          <w:sz w:val="20"/>
          <w:szCs w:val="20"/>
        </w:rPr>
        <w:t xml:space="preserve"> Millionen €</w:t>
      </w:r>
      <w:r w:rsidR="00630016">
        <w:rPr>
          <w:rFonts w:cs="Lucida Sans Unicode"/>
          <w:color w:val="000000"/>
          <w:sz w:val="20"/>
          <w:szCs w:val="20"/>
        </w:rPr>
        <w:t xml:space="preserve"> zurück</w:t>
      </w:r>
      <w:r w:rsidR="002B5234" w:rsidRPr="00080CD7">
        <w:rPr>
          <w:rFonts w:cs="Lucida Sans Unicode"/>
          <w:color w:val="000000"/>
          <w:sz w:val="20"/>
          <w:szCs w:val="20"/>
        </w:rPr>
        <w:t xml:space="preserve">. </w:t>
      </w:r>
    </w:p>
    <w:p w:rsidR="00975F52" w:rsidRDefault="00975F52" w:rsidP="009D734A">
      <w:pPr>
        <w:spacing w:line="300" w:lineRule="atLeast"/>
        <w:rPr>
          <w:rFonts w:cs="Lucida Sans Unicode"/>
          <w:color w:val="000000"/>
          <w:sz w:val="20"/>
          <w:szCs w:val="20"/>
        </w:rPr>
      </w:pPr>
    </w:p>
    <w:p w:rsidR="00044C1C" w:rsidRPr="00080CD7" w:rsidRDefault="00044C1C" w:rsidP="009D734A">
      <w:pPr>
        <w:spacing w:line="300" w:lineRule="atLeast"/>
        <w:rPr>
          <w:rFonts w:cs="Lucida Sans Unicode"/>
          <w:color w:val="000000"/>
          <w:sz w:val="20"/>
          <w:szCs w:val="20"/>
        </w:rPr>
      </w:pPr>
    </w:p>
    <w:p w:rsidR="00125918" w:rsidRDefault="00F4304B" w:rsidP="009D734A">
      <w:pPr>
        <w:spacing w:line="300" w:lineRule="atLeast"/>
        <w:rPr>
          <w:rFonts w:cs="Lucida Sans Unicode"/>
          <w:b/>
          <w:color w:val="000000"/>
          <w:sz w:val="20"/>
          <w:szCs w:val="20"/>
        </w:rPr>
      </w:pPr>
      <w:r>
        <w:rPr>
          <w:rFonts w:cs="Lucida Sans Unicode"/>
          <w:b/>
          <w:color w:val="000000"/>
          <w:sz w:val="20"/>
          <w:szCs w:val="20"/>
        </w:rPr>
        <w:t xml:space="preserve">Fokus auf Effizienzsteigerung – Start von Administration Excellence </w:t>
      </w:r>
    </w:p>
    <w:p w:rsidR="00F96D1C" w:rsidRPr="00080CD7" w:rsidRDefault="00F96D1C" w:rsidP="009D734A">
      <w:pPr>
        <w:spacing w:line="300" w:lineRule="atLeast"/>
        <w:rPr>
          <w:rFonts w:cs="Lucida Sans Unicode"/>
          <w:color w:val="000000"/>
          <w:sz w:val="20"/>
          <w:szCs w:val="20"/>
        </w:rPr>
      </w:pPr>
    </w:p>
    <w:p w:rsidR="00125918" w:rsidRPr="00080CD7" w:rsidRDefault="00125918" w:rsidP="009D734A">
      <w:pPr>
        <w:spacing w:line="300" w:lineRule="atLeast"/>
        <w:rPr>
          <w:rFonts w:cs="Lucida Sans Unicode"/>
          <w:color w:val="000000"/>
          <w:sz w:val="20"/>
          <w:szCs w:val="20"/>
        </w:rPr>
      </w:pPr>
      <w:r w:rsidRPr="00080CD7">
        <w:rPr>
          <w:rFonts w:cs="Lucida Sans Unicode"/>
          <w:color w:val="000000"/>
          <w:sz w:val="20"/>
          <w:szCs w:val="20"/>
        </w:rPr>
        <w:t xml:space="preserve">Die Realisierung des </w:t>
      </w:r>
      <w:r w:rsidR="00294BE0">
        <w:rPr>
          <w:rFonts w:cs="Lucida Sans Unicode"/>
          <w:color w:val="000000"/>
          <w:sz w:val="20"/>
          <w:szCs w:val="20"/>
        </w:rPr>
        <w:t xml:space="preserve">zum Jahresbeginn 2012 gestarteten </w:t>
      </w:r>
      <w:r w:rsidRPr="00080CD7">
        <w:rPr>
          <w:rFonts w:cs="Lucida Sans Unicode"/>
          <w:color w:val="000000"/>
          <w:sz w:val="20"/>
          <w:szCs w:val="20"/>
        </w:rPr>
        <w:t xml:space="preserve">Effizienzsteigerungsprogramms On Track 2.0, zu dem im Wesentlichen die weitere Erhöhung der Prozesseffizienz im Bereich der Herstellung einen Beitrag leisten soll, kommt gut voran. Nach nur 24 Monaten Laufzeit sind inzwischen Maßnahmen mit einem jährlichen Einsparpotenzial von mehr als 280 Millionen € der bis Ende 2016 geplanten 500 Millionen € </w:t>
      </w:r>
      <w:r w:rsidR="0011685B" w:rsidRPr="00080CD7">
        <w:rPr>
          <w:rFonts w:cs="Lucida Sans Unicode"/>
          <w:color w:val="000000"/>
          <w:sz w:val="20"/>
          <w:szCs w:val="20"/>
        </w:rPr>
        <w:t xml:space="preserve">in konkreter Umsetzung. </w:t>
      </w:r>
    </w:p>
    <w:p w:rsidR="00A53685" w:rsidRPr="00A53685" w:rsidRDefault="0011685B" w:rsidP="009D734A">
      <w:pPr>
        <w:spacing w:line="300" w:lineRule="atLeast"/>
        <w:rPr>
          <w:rFonts w:cs="Lucida Sans Unicode"/>
          <w:color w:val="000000"/>
          <w:sz w:val="20"/>
          <w:szCs w:val="20"/>
        </w:rPr>
      </w:pPr>
      <w:r w:rsidRPr="00080CD7">
        <w:rPr>
          <w:rFonts w:cs="Lucida Sans Unicode"/>
          <w:color w:val="000000"/>
          <w:sz w:val="20"/>
          <w:szCs w:val="20"/>
        </w:rPr>
        <w:lastRenderedPageBreak/>
        <w:t>Nach erfolgreichem Börsenstart und strikter Fokussierung auf das Spezialchemiegeschäft hat Evonik im September 2013 zur weiteren Stärkung seiner Wettbewerbspositionen und zur Optimierung der Qualität der konzernweiten Verwaltungsprozesse das Programm Administration Excellence aufgelegt. Bis Ende 2016 soll es Einsparungen von jährlich bis zu 250 Millionen € ermöglichen</w:t>
      </w:r>
      <w:r w:rsidRPr="008868BF">
        <w:rPr>
          <w:rFonts w:cs="Lucida Sans Unicode"/>
          <w:i/>
          <w:color w:val="000000"/>
          <w:sz w:val="20"/>
          <w:szCs w:val="20"/>
        </w:rPr>
        <w:t>.</w:t>
      </w:r>
      <w:r w:rsidRPr="00080CD7">
        <w:rPr>
          <w:rFonts w:cs="Lucida Sans Unicode"/>
          <w:color w:val="000000"/>
          <w:sz w:val="20"/>
          <w:szCs w:val="20"/>
        </w:rPr>
        <w:t xml:space="preserve"> Erste </w:t>
      </w:r>
      <w:r w:rsidR="00F72E32">
        <w:rPr>
          <w:rFonts w:cs="Lucida Sans Unicode"/>
          <w:color w:val="000000"/>
          <w:sz w:val="20"/>
          <w:szCs w:val="20"/>
        </w:rPr>
        <w:t xml:space="preserve">organisatorische </w:t>
      </w:r>
      <w:r w:rsidRPr="00080CD7">
        <w:rPr>
          <w:rFonts w:cs="Lucida Sans Unicode"/>
          <w:color w:val="000000"/>
          <w:sz w:val="20"/>
          <w:szCs w:val="20"/>
        </w:rPr>
        <w:t xml:space="preserve">Maßnahmen </w:t>
      </w:r>
      <w:r w:rsidR="00F72E32">
        <w:rPr>
          <w:rFonts w:cs="Lucida Sans Unicode"/>
          <w:color w:val="000000"/>
          <w:sz w:val="20"/>
          <w:szCs w:val="20"/>
        </w:rPr>
        <w:t xml:space="preserve">wurden bereits im zweiten Halbjahr 2013 umgesetzt. </w:t>
      </w:r>
    </w:p>
    <w:p w:rsidR="00FC6A93" w:rsidRDefault="00FC6A93" w:rsidP="009D734A">
      <w:pPr>
        <w:spacing w:line="300" w:lineRule="atLeast"/>
        <w:rPr>
          <w:b/>
          <w:sz w:val="20"/>
          <w:szCs w:val="20"/>
        </w:rPr>
      </w:pPr>
    </w:p>
    <w:p w:rsidR="00044C1C" w:rsidRDefault="00044C1C" w:rsidP="009D734A">
      <w:pPr>
        <w:spacing w:line="300" w:lineRule="atLeast"/>
        <w:rPr>
          <w:b/>
          <w:sz w:val="20"/>
          <w:szCs w:val="20"/>
        </w:rPr>
      </w:pPr>
    </w:p>
    <w:p w:rsidR="008868BF" w:rsidRDefault="009D734A" w:rsidP="009D734A">
      <w:pPr>
        <w:spacing w:line="300" w:lineRule="atLeast"/>
        <w:rPr>
          <w:sz w:val="20"/>
          <w:szCs w:val="20"/>
        </w:rPr>
      </w:pPr>
      <w:r>
        <w:rPr>
          <w:b/>
          <w:sz w:val="20"/>
          <w:szCs w:val="20"/>
        </w:rPr>
        <w:t>Ausblick</w:t>
      </w:r>
      <w:r w:rsidR="00E25404">
        <w:rPr>
          <w:b/>
          <w:sz w:val="20"/>
          <w:szCs w:val="20"/>
        </w:rPr>
        <w:t xml:space="preserve"> </w:t>
      </w:r>
      <w:r w:rsidR="00DE1AFA">
        <w:rPr>
          <w:b/>
          <w:sz w:val="20"/>
          <w:szCs w:val="20"/>
        </w:rPr>
        <w:t>für das Geschäftsjahr 2014</w:t>
      </w:r>
      <w:r w:rsidR="003F270E">
        <w:rPr>
          <w:b/>
          <w:sz w:val="20"/>
          <w:szCs w:val="20"/>
        </w:rPr>
        <w:br/>
      </w:r>
    </w:p>
    <w:p w:rsidR="00DE1AFA" w:rsidRDefault="00DE1AFA" w:rsidP="009D734A">
      <w:pPr>
        <w:spacing w:line="300" w:lineRule="atLeast"/>
        <w:rPr>
          <w:sz w:val="20"/>
          <w:szCs w:val="20"/>
        </w:rPr>
      </w:pPr>
      <w:r w:rsidRPr="008868BF">
        <w:rPr>
          <w:sz w:val="20"/>
          <w:szCs w:val="20"/>
        </w:rPr>
        <w:t xml:space="preserve">Evonik erwartet eine leichte Belebung des globalen Wachstums, zu dem </w:t>
      </w:r>
      <w:r w:rsidR="00E15F00">
        <w:rPr>
          <w:sz w:val="20"/>
          <w:szCs w:val="20"/>
        </w:rPr>
        <w:t>insbesondere</w:t>
      </w:r>
      <w:r w:rsidRPr="008868BF">
        <w:rPr>
          <w:sz w:val="20"/>
          <w:szCs w:val="20"/>
        </w:rPr>
        <w:t xml:space="preserve"> die Industrieländer beitragen sollten. Es bleiben jedoch deutliche Unsicherheiten insbesondere durch eine mögliche restriktive</w:t>
      </w:r>
      <w:r w:rsidR="00F1056D">
        <w:rPr>
          <w:sz w:val="20"/>
          <w:szCs w:val="20"/>
        </w:rPr>
        <w:t>re</w:t>
      </w:r>
      <w:r w:rsidRPr="008868BF">
        <w:rPr>
          <w:sz w:val="20"/>
          <w:szCs w:val="20"/>
        </w:rPr>
        <w:t xml:space="preserve"> Geldpolitik der Notenbanken, die die Entwicklung </w:t>
      </w:r>
      <w:r w:rsidR="00221B22">
        <w:rPr>
          <w:sz w:val="20"/>
          <w:szCs w:val="20"/>
        </w:rPr>
        <w:t xml:space="preserve">vor allem </w:t>
      </w:r>
      <w:r w:rsidRPr="008868BF">
        <w:rPr>
          <w:sz w:val="20"/>
          <w:szCs w:val="20"/>
        </w:rPr>
        <w:t>in den aufstrebenden Ländern beeintr</w:t>
      </w:r>
      <w:r w:rsidR="003F270E">
        <w:rPr>
          <w:sz w:val="20"/>
          <w:szCs w:val="20"/>
        </w:rPr>
        <w:t>ä</w:t>
      </w:r>
      <w:r w:rsidRPr="008868BF">
        <w:rPr>
          <w:sz w:val="20"/>
          <w:szCs w:val="20"/>
        </w:rPr>
        <w:t>chtigen könnte.</w:t>
      </w:r>
    </w:p>
    <w:p w:rsidR="003F270E" w:rsidRDefault="003F270E" w:rsidP="009D734A">
      <w:pPr>
        <w:spacing w:line="300" w:lineRule="atLeast"/>
        <w:rPr>
          <w:sz w:val="20"/>
          <w:szCs w:val="20"/>
        </w:rPr>
      </w:pPr>
    </w:p>
    <w:p w:rsidR="000B366F" w:rsidRPr="008868BF" w:rsidRDefault="000B366F" w:rsidP="009D734A">
      <w:pPr>
        <w:spacing w:line="300" w:lineRule="atLeast"/>
        <w:rPr>
          <w:b/>
          <w:sz w:val="20"/>
          <w:szCs w:val="20"/>
        </w:rPr>
      </w:pPr>
      <w:r w:rsidRPr="008868BF">
        <w:rPr>
          <w:b/>
          <w:sz w:val="20"/>
          <w:szCs w:val="20"/>
        </w:rPr>
        <w:t>Umsatz- und Ergebnisentwicklung</w:t>
      </w:r>
    </w:p>
    <w:p w:rsidR="000B366F" w:rsidRDefault="000B366F" w:rsidP="009D734A">
      <w:pPr>
        <w:spacing w:line="300" w:lineRule="atLeast"/>
        <w:rPr>
          <w:sz w:val="20"/>
          <w:szCs w:val="20"/>
        </w:rPr>
      </w:pPr>
    </w:p>
    <w:p w:rsidR="003F270E" w:rsidRDefault="003F270E" w:rsidP="009D734A">
      <w:pPr>
        <w:spacing w:line="300" w:lineRule="atLeast"/>
        <w:rPr>
          <w:sz w:val="20"/>
          <w:szCs w:val="20"/>
        </w:rPr>
      </w:pPr>
      <w:r>
        <w:rPr>
          <w:sz w:val="20"/>
          <w:szCs w:val="20"/>
        </w:rPr>
        <w:t xml:space="preserve">Unter der Annahme eines </w:t>
      </w:r>
      <w:r w:rsidR="00B40517">
        <w:rPr>
          <w:sz w:val="20"/>
          <w:szCs w:val="20"/>
        </w:rPr>
        <w:t>etwas</w:t>
      </w:r>
      <w:r>
        <w:rPr>
          <w:sz w:val="20"/>
          <w:szCs w:val="20"/>
        </w:rPr>
        <w:t xml:space="preserve"> positiveren konjunkturellen Umfelds rechnet Evonik mit einem leicht höhere</w:t>
      </w:r>
      <w:r w:rsidR="00561266">
        <w:rPr>
          <w:sz w:val="20"/>
          <w:szCs w:val="20"/>
        </w:rPr>
        <w:t>n</w:t>
      </w:r>
      <w:r>
        <w:rPr>
          <w:sz w:val="20"/>
          <w:szCs w:val="20"/>
        </w:rPr>
        <w:t xml:space="preserve"> </w:t>
      </w:r>
      <w:r w:rsidRPr="008868BF">
        <w:rPr>
          <w:b/>
          <w:sz w:val="20"/>
          <w:szCs w:val="20"/>
        </w:rPr>
        <w:t>Umsatz</w:t>
      </w:r>
      <w:r>
        <w:rPr>
          <w:sz w:val="20"/>
          <w:szCs w:val="20"/>
        </w:rPr>
        <w:t xml:space="preserve"> (2013: 12</w:t>
      </w:r>
      <w:r w:rsidR="00DD1ED0">
        <w:rPr>
          <w:sz w:val="20"/>
          <w:szCs w:val="20"/>
        </w:rPr>
        <w:t>,</w:t>
      </w:r>
      <w:r>
        <w:rPr>
          <w:sz w:val="20"/>
          <w:szCs w:val="20"/>
        </w:rPr>
        <w:t>9 Milliarden €). Dabei sollte sich die positive Mengenentwicklung aus dem zweiten Halbjahr 2013 im Jahr 2014 fortsetzen und zu weiteren Mengensteigerungen führen, wozu auch die ersten bereits umgesetzten Wachstumsprojekte beitragen werden.</w:t>
      </w:r>
    </w:p>
    <w:p w:rsidR="003F270E" w:rsidRDefault="003F270E" w:rsidP="009D734A">
      <w:pPr>
        <w:spacing w:line="300" w:lineRule="atLeast"/>
        <w:rPr>
          <w:sz w:val="20"/>
          <w:szCs w:val="20"/>
        </w:rPr>
      </w:pPr>
    </w:p>
    <w:p w:rsidR="003F270E" w:rsidRDefault="003F270E" w:rsidP="009D734A">
      <w:pPr>
        <w:spacing w:line="300" w:lineRule="atLeast"/>
        <w:rPr>
          <w:sz w:val="20"/>
          <w:szCs w:val="20"/>
        </w:rPr>
      </w:pPr>
      <w:r>
        <w:rPr>
          <w:sz w:val="20"/>
          <w:szCs w:val="20"/>
        </w:rPr>
        <w:t xml:space="preserve">Bei den Verkaufspreisen geht Evonik in vielen Teilen seines Produktportfolios von einer weiterhin mindestens stabilen Entwicklung aus. Allerdings rechnet das Unternehmen in einigen seiner größeren Geschäfte damit, dass die Verkaufspreise 2014 unter dem durchschnittlichen Preisniveau </w:t>
      </w:r>
      <w:r w:rsidR="000B366F">
        <w:rPr>
          <w:sz w:val="20"/>
          <w:szCs w:val="20"/>
        </w:rPr>
        <w:t xml:space="preserve">des Jahres </w:t>
      </w:r>
      <w:r>
        <w:rPr>
          <w:sz w:val="20"/>
          <w:szCs w:val="20"/>
        </w:rPr>
        <w:t xml:space="preserve">2013 liegen werden, </w:t>
      </w:r>
      <w:r w:rsidR="000B366F">
        <w:rPr>
          <w:sz w:val="20"/>
          <w:szCs w:val="20"/>
        </w:rPr>
        <w:t>welches</w:t>
      </w:r>
      <w:r>
        <w:rPr>
          <w:sz w:val="20"/>
          <w:szCs w:val="20"/>
        </w:rPr>
        <w:t xml:space="preserve"> in der ersten Jahreshälfte noch von höheren Preisen begünstigt war.</w:t>
      </w:r>
    </w:p>
    <w:p w:rsidR="000B366F" w:rsidRDefault="000B366F" w:rsidP="009D734A">
      <w:pPr>
        <w:spacing w:line="300" w:lineRule="atLeast"/>
        <w:rPr>
          <w:sz w:val="20"/>
          <w:szCs w:val="20"/>
        </w:rPr>
      </w:pPr>
    </w:p>
    <w:p w:rsidR="000B366F" w:rsidRDefault="000B366F" w:rsidP="009D734A">
      <w:pPr>
        <w:spacing w:line="300" w:lineRule="atLeast"/>
        <w:rPr>
          <w:sz w:val="20"/>
          <w:szCs w:val="20"/>
        </w:rPr>
      </w:pPr>
      <w:r>
        <w:rPr>
          <w:sz w:val="20"/>
          <w:szCs w:val="20"/>
        </w:rPr>
        <w:t xml:space="preserve">Auf der Kostenseite wird das Effizienzsteigerungsprogramm On Track 2.0 weitere Entlastungen bringen. Zusätzlich erwartet Evonik erste positive Effekte aus dem neu aufgelegten Programm Administration Excellence zur Optimierung der Verwaltungsstrukturen, während Anlaufkosten der Wachstumsinvestitionen </w:t>
      </w:r>
      <w:r w:rsidR="00522C24">
        <w:rPr>
          <w:sz w:val="20"/>
          <w:szCs w:val="20"/>
        </w:rPr>
        <w:t>gegenläufig wirken werden. Weitere Belastungen können aus</w:t>
      </w:r>
      <w:r>
        <w:rPr>
          <w:sz w:val="20"/>
          <w:szCs w:val="20"/>
        </w:rPr>
        <w:t xml:space="preserve"> negative</w:t>
      </w:r>
      <w:r w:rsidR="00522C24">
        <w:rPr>
          <w:sz w:val="20"/>
          <w:szCs w:val="20"/>
        </w:rPr>
        <w:t>n</w:t>
      </w:r>
      <w:r>
        <w:rPr>
          <w:sz w:val="20"/>
          <w:szCs w:val="20"/>
        </w:rPr>
        <w:t xml:space="preserve"> Währungseffekte</w:t>
      </w:r>
      <w:r w:rsidR="00522C24">
        <w:rPr>
          <w:sz w:val="20"/>
          <w:szCs w:val="20"/>
        </w:rPr>
        <w:t>n</w:t>
      </w:r>
      <w:r>
        <w:rPr>
          <w:sz w:val="20"/>
          <w:szCs w:val="20"/>
        </w:rPr>
        <w:t xml:space="preserve"> </w:t>
      </w:r>
      <w:r w:rsidR="00522C24">
        <w:rPr>
          <w:sz w:val="20"/>
          <w:szCs w:val="20"/>
        </w:rPr>
        <w:t>resultieren</w:t>
      </w:r>
      <w:r>
        <w:rPr>
          <w:sz w:val="20"/>
          <w:szCs w:val="20"/>
        </w:rPr>
        <w:t>.</w:t>
      </w:r>
    </w:p>
    <w:p w:rsidR="000B366F" w:rsidRDefault="000B366F" w:rsidP="009D734A">
      <w:pPr>
        <w:spacing w:line="300" w:lineRule="atLeast"/>
        <w:rPr>
          <w:sz w:val="20"/>
          <w:szCs w:val="20"/>
        </w:rPr>
      </w:pPr>
    </w:p>
    <w:p w:rsidR="004C14DE" w:rsidRDefault="000B366F" w:rsidP="00CF6A1E">
      <w:pPr>
        <w:spacing w:line="300" w:lineRule="atLeast"/>
        <w:rPr>
          <w:sz w:val="20"/>
          <w:szCs w:val="20"/>
        </w:rPr>
      </w:pPr>
      <w:r>
        <w:rPr>
          <w:sz w:val="20"/>
          <w:szCs w:val="20"/>
        </w:rPr>
        <w:t xml:space="preserve">Insgesamt erwartet das Unternehmen ein </w:t>
      </w:r>
      <w:r w:rsidR="006F37D2">
        <w:rPr>
          <w:sz w:val="20"/>
          <w:szCs w:val="20"/>
        </w:rPr>
        <w:t xml:space="preserve">bereinigtes </w:t>
      </w:r>
      <w:r w:rsidRPr="008868BF">
        <w:rPr>
          <w:b/>
          <w:sz w:val="20"/>
          <w:szCs w:val="20"/>
        </w:rPr>
        <w:t>EBITDA</w:t>
      </w:r>
      <w:r>
        <w:rPr>
          <w:sz w:val="20"/>
          <w:szCs w:val="20"/>
        </w:rPr>
        <w:t xml:space="preserve"> zwischen 1,8 und 2,1 Milliarden € (2013: 2,0 Milliarden €). </w:t>
      </w:r>
      <w:r w:rsidR="00F81DAA">
        <w:rPr>
          <w:sz w:val="20"/>
          <w:szCs w:val="20"/>
        </w:rPr>
        <w:t>Bei dem unterjährigen Ergebnisvergleich ist dabei das preisbedingt hohe Ergebnisniveau zu Jahresbeginn 2013 zu berücksichtigen.</w:t>
      </w:r>
      <w:r w:rsidR="004C14DE">
        <w:rPr>
          <w:sz w:val="20"/>
          <w:szCs w:val="20"/>
        </w:rPr>
        <w:br w:type="page"/>
      </w:r>
    </w:p>
    <w:p w:rsidR="009D734A" w:rsidRDefault="009D734A" w:rsidP="009D734A">
      <w:pPr>
        <w:ind w:right="79"/>
        <w:rPr>
          <w:sz w:val="20"/>
          <w:szCs w:val="20"/>
        </w:rPr>
      </w:pPr>
    </w:p>
    <w:p w:rsidR="00A8556D" w:rsidRPr="007351D0" w:rsidRDefault="00A8556D" w:rsidP="00A8556D">
      <w:pPr>
        <w:spacing w:after="120"/>
        <w:rPr>
          <w:rFonts w:cs="Lucida Sans Unicode"/>
          <w:b/>
          <w:bCs/>
          <w:sz w:val="20"/>
          <w:szCs w:val="20"/>
        </w:rPr>
      </w:pPr>
      <w:r w:rsidRPr="007351D0">
        <w:rPr>
          <w:rFonts w:cs="Lucida Sans Unicode"/>
          <w:b/>
          <w:bCs/>
          <w:sz w:val="20"/>
          <w:szCs w:val="20"/>
        </w:rPr>
        <w:t>Evonik-Konzern: Ergebnisrechnung im Überblick</w:t>
      </w:r>
    </w:p>
    <w:tbl>
      <w:tblPr>
        <w:tblW w:w="101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5"/>
        <w:gridCol w:w="823"/>
        <w:gridCol w:w="983"/>
        <w:gridCol w:w="984"/>
        <w:gridCol w:w="937"/>
        <w:gridCol w:w="937"/>
        <w:gridCol w:w="984"/>
      </w:tblGrid>
      <w:tr w:rsidR="00A8556D" w:rsidRPr="007351D0" w:rsidTr="00A8556D">
        <w:trPr>
          <w:trHeight w:val="510"/>
        </w:trPr>
        <w:tc>
          <w:tcPr>
            <w:tcW w:w="4605" w:type="dxa"/>
            <w:tcBorders>
              <w:top w:val="single" w:sz="4" w:space="0" w:color="auto"/>
              <w:left w:val="single" w:sz="4" w:space="0" w:color="auto"/>
              <w:bottom w:val="single" w:sz="4" w:space="0" w:color="auto"/>
              <w:right w:val="single" w:sz="4" w:space="0" w:color="auto"/>
            </w:tcBorders>
            <w:noWrap/>
            <w:vAlign w:val="center"/>
            <w:hideMark/>
          </w:tcPr>
          <w:p w:rsidR="00A8556D" w:rsidRPr="007351D0" w:rsidRDefault="00A8556D" w:rsidP="00A8556D">
            <w:pPr>
              <w:ind w:left="-55"/>
              <w:rPr>
                <w:rFonts w:cs="Lucida Sans Unicode"/>
                <w:b/>
                <w:bCs/>
                <w:szCs w:val="20"/>
              </w:rPr>
            </w:pPr>
            <w:r w:rsidRPr="007351D0">
              <w:rPr>
                <w:rFonts w:cs="Lucida Sans Unicode"/>
                <w:b/>
                <w:bCs/>
                <w:szCs w:val="20"/>
              </w:rPr>
              <w:t>(in Mio. €)</w:t>
            </w:r>
          </w:p>
        </w:tc>
        <w:tc>
          <w:tcPr>
            <w:tcW w:w="823"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A8556D" w:rsidRPr="007351D0" w:rsidRDefault="00A8556D" w:rsidP="00A8556D">
            <w:pPr>
              <w:jc w:val="center"/>
              <w:rPr>
                <w:rFonts w:cs="Lucida Sans Unicode"/>
                <w:b/>
                <w:bCs/>
                <w:szCs w:val="20"/>
              </w:rPr>
            </w:pPr>
            <w:r>
              <w:rPr>
                <w:rFonts w:cs="Lucida Sans Unicode"/>
                <w:b/>
                <w:bCs/>
                <w:szCs w:val="20"/>
              </w:rPr>
              <w:t>Q4</w:t>
            </w:r>
            <w:r w:rsidRPr="007351D0">
              <w:rPr>
                <w:rFonts w:cs="Lucida Sans Unicode"/>
                <w:b/>
                <w:bCs/>
                <w:szCs w:val="20"/>
              </w:rPr>
              <w:t xml:space="preserve"> 2013</w:t>
            </w:r>
          </w:p>
        </w:tc>
        <w:tc>
          <w:tcPr>
            <w:tcW w:w="983" w:type="dxa"/>
            <w:tcBorders>
              <w:top w:val="single" w:sz="4" w:space="0" w:color="auto"/>
              <w:left w:val="single" w:sz="4" w:space="0" w:color="auto"/>
              <w:bottom w:val="single" w:sz="4" w:space="0" w:color="auto"/>
              <w:right w:val="single" w:sz="4" w:space="0" w:color="auto"/>
            </w:tcBorders>
            <w:vAlign w:val="center"/>
            <w:hideMark/>
          </w:tcPr>
          <w:p w:rsidR="00A8556D" w:rsidRPr="007351D0" w:rsidRDefault="00A8556D" w:rsidP="00A8556D">
            <w:pPr>
              <w:jc w:val="center"/>
              <w:rPr>
                <w:rFonts w:cs="Lucida Sans Unicode"/>
                <w:b/>
                <w:bCs/>
                <w:szCs w:val="20"/>
              </w:rPr>
            </w:pPr>
            <w:r>
              <w:rPr>
                <w:rFonts w:cs="Lucida Sans Unicode"/>
                <w:b/>
                <w:bCs/>
                <w:szCs w:val="20"/>
              </w:rPr>
              <w:t>Q4</w:t>
            </w:r>
            <w:r w:rsidRPr="007351D0">
              <w:rPr>
                <w:rFonts w:cs="Lucida Sans Unicode"/>
                <w:b/>
                <w:bCs/>
                <w:szCs w:val="20"/>
              </w:rPr>
              <w:t xml:space="preserve">  </w:t>
            </w:r>
            <w:r w:rsidRPr="007351D0">
              <w:rPr>
                <w:rFonts w:cs="Lucida Sans Unicode"/>
                <w:b/>
                <w:bCs/>
                <w:szCs w:val="20"/>
              </w:rPr>
              <w:br/>
              <w:t xml:space="preserve"> 2012</w:t>
            </w:r>
          </w:p>
        </w:tc>
        <w:tc>
          <w:tcPr>
            <w:tcW w:w="984" w:type="dxa"/>
            <w:tcBorders>
              <w:top w:val="single" w:sz="4" w:space="0" w:color="auto"/>
              <w:left w:val="single" w:sz="4" w:space="0" w:color="auto"/>
              <w:bottom w:val="single" w:sz="4" w:space="0" w:color="auto"/>
              <w:right w:val="single" w:sz="4" w:space="0" w:color="auto"/>
            </w:tcBorders>
            <w:vAlign w:val="center"/>
            <w:hideMark/>
          </w:tcPr>
          <w:p w:rsidR="00A8556D" w:rsidRPr="007351D0" w:rsidRDefault="00A8556D" w:rsidP="00A8556D">
            <w:pPr>
              <w:jc w:val="center"/>
              <w:rPr>
                <w:rFonts w:cs="Lucida Sans Unicode"/>
                <w:b/>
                <w:bCs/>
                <w:spacing w:val="-6"/>
                <w:szCs w:val="20"/>
              </w:rPr>
            </w:pPr>
            <w:r w:rsidRPr="007351D0">
              <w:rPr>
                <w:rFonts w:cs="Lucida Sans Unicode"/>
                <w:b/>
                <w:bCs/>
                <w:spacing w:val="-6"/>
                <w:szCs w:val="20"/>
              </w:rPr>
              <w:t xml:space="preserve">Veränd. </w:t>
            </w:r>
            <w:r w:rsidRPr="007351D0">
              <w:rPr>
                <w:rFonts w:cs="Lucida Sans Unicode"/>
                <w:b/>
                <w:bCs/>
                <w:spacing w:val="-6"/>
                <w:szCs w:val="20"/>
              </w:rPr>
              <w:br/>
              <w:t>in %</w:t>
            </w:r>
          </w:p>
        </w:tc>
        <w:tc>
          <w:tcPr>
            <w:tcW w:w="823"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A8556D" w:rsidRPr="007351D0" w:rsidRDefault="00A8556D" w:rsidP="00A8556D">
            <w:pPr>
              <w:jc w:val="center"/>
              <w:rPr>
                <w:rFonts w:cs="Lucida Sans Unicode"/>
                <w:b/>
                <w:bCs/>
                <w:szCs w:val="20"/>
              </w:rPr>
            </w:pPr>
            <w:r>
              <w:rPr>
                <w:rFonts w:cs="Lucida Sans Unicode"/>
                <w:b/>
                <w:bCs/>
                <w:szCs w:val="20"/>
              </w:rPr>
              <w:t>2013</w:t>
            </w:r>
          </w:p>
        </w:tc>
        <w:tc>
          <w:tcPr>
            <w:tcW w:w="937" w:type="dxa"/>
            <w:tcBorders>
              <w:top w:val="single" w:sz="4" w:space="0" w:color="auto"/>
              <w:left w:val="single" w:sz="4" w:space="0" w:color="auto"/>
              <w:bottom w:val="single" w:sz="4" w:space="0" w:color="auto"/>
              <w:right w:val="single" w:sz="4" w:space="0" w:color="auto"/>
            </w:tcBorders>
            <w:vAlign w:val="center"/>
            <w:hideMark/>
          </w:tcPr>
          <w:p w:rsidR="00A8556D" w:rsidRPr="007351D0" w:rsidRDefault="00A8556D" w:rsidP="00A8556D">
            <w:pPr>
              <w:jc w:val="center"/>
              <w:rPr>
                <w:rFonts w:cs="Lucida Sans Unicode"/>
                <w:b/>
                <w:bCs/>
                <w:szCs w:val="20"/>
              </w:rPr>
            </w:pPr>
            <w:r>
              <w:rPr>
                <w:rFonts w:cs="Lucida Sans Unicode"/>
                <w:b/>
                <w:bCs/>
                <w:szCs w:val="20"/>
              </w:rPr>
              <w:t>2012</w:t>
            </w:r>
          </w:p>
        </w:tc>
        <w:tc>
          <w:tcPr>
            <w:tcW w:w="984" w:type="dxa"/>
            <w:tcBorders>
              <w:top w:val="single" w:sz="4" w:space="0" w:color="auto"/>
              <w:left w:val="single" w:sz="4" w:space="0" w:color="auto"/>
              <w:bottom w:val="single" w:sz="4" w:space="0" w:color="auto"/>
              <w:right w:val="single" w:sz="4" w:space="0" w:color="auto"/>
            </w:tcBorders>
            <w:vAlign w:val="center"/>
            <w:hideMark/>
          </w:tcPr>
          <w:p w:rsidR="00A8556D" w:rsidRPr="007351D0" w:rsidRDefault="00A8556D" w:rsidP="00A8556D">
            <w:pPr>
              <w:jc w:val="center"/>
              <w:rPr>
                <w:rFonts w:cs="Lucida Sans Unicode"/>
                <w:b/>
                <w:bCs/>
                <w:spacing w:val="-6"/>
                <w:szCs w:val="20"/>
              </w:rPr>
            </w:pPr>
            <w:r w:rsidRPr="007351D0">
              <w:rPr>
                <w:rFonts w:cs="Lucida Sans Unicode"/>
                <w:b/>
                <w:bCs/>
                <w:spacing w:val="-6"/>
                <w:szCs w:val="20"/>
              </w:rPr>
              <w:t xml:space="preserve">Veränd. </w:t>
            </w:r>
            <w:r w:rsidRPr="007351D0">
              <w:rPr>
                <w:rFonts w:cs="Lucida Sans Unicode"/>
                <w:b/>
                <w:bCs/>
                <w:spacing w:val="-6"/>
                <w:szCs w:val="20"/>
              </w:rPr>
              <w:br/>
              <w:t>in %</w:t>
            </w:r>
          </w:p>
        </w:tc>
      </w:tr>
      <w:tr w:rsidR="00A8556D" w:rsidRPr="007351D0" w:rsidTr="00A8556D">
        <w:trPr>
          <w:trHeight w:val="300"/>
        </w:trPr>
        <w:tc>
          <w:tcPr>
            <w:tcW w:w="4605" w:type="dxa"/>
            <w:tcBorders>
              <w:top w:val="single" w:sz="4" w:space="0" w:color="auto"/>
              <w:left w:val="single" w:sz="4" w:space="0" w:color="auto"/>
              <w:bottom w:val="single" w:sz="4" w:space="0" w:color="auto"/>
              <w:right w:val="single" w:sz="4" w:space="0" w:color="auto"/>
            </w:tcBorders>
            <w:noWrap/>
            <w:vAlign w:val="bottom"/>
            <w:hideMark/>
          </w:tcPr>
          <w:p w:rsidR="00A8556D" w:rsidRPr="007351D0" w:rsidRDefault="00A8556D" w:rsidP="00A8556D">
            <w:pPr>
              <w:ind w:left="-55"/>
              <w:rPr>
                <w:rFonts w:cs="Lucida Sans Unicode"/>
                <w:szCs w:val="20"/>
              </w:rPr>
            </w:pPr>
            <w:r>
              <w:rPr>
                <w:rFonts w:cs="Lucida Sans Unicode"/>
                <w:szCs w:val="20"/>
              </w:rPr>
              <w:t>Umsatz</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A8556D" w:rsidRPr="007351D0" w:rsidRDefault="00A8556D" w:rsidP="00A8556D">
            <w:pPr>
              <w:jc w:val="right"/>
              <w:rPr>
                <w:rFonts w:cs="Lucida Sans Unicode"/>
                <w:szCs w:val="20"/>
              </w:rPr>
            </w:pPr>
            <w:r>
              <w:rPr>
                <w:rFonts w:cs="Lucida Sans Unicode"/>
                <w:szCs w:val="20"/>
              </w:rPr>
              <w:t>3.135</w:t>
            </w:r>
          </w:p>
        </w:tc>
        <w:tc>
          <w:tcPr>
            <w:tcW w:w="983"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r>
              <w:rPr>
                <w:rFonts w:cs="Lucida Sans Unicode"/>
                <w:szCs w:val="20"/>
              </w:rPr>
              <w:t>3.178</w:t>
            </w:r>
          </w:p>
        </w:tc>
        <w:tc>
          <w:tcPr>
            <w:tcW w:w="984"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r>
              <w:rPr>
                <w:rFonts w:cs="Lucida Sans Unicode"/>
                <w:szCs w:val="20"/>
              </w:rPr>
              <w:t>-1</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A8556D" w:rsidRPr="007351D0" w:rsidRDefault="00A8556D" w:rsidP="00A8556D">
            <w:pPr>
              <w:jc w:val="right"/>
              <w:rPr>
                <w:rFonts w:cs="Lucida Sans Unicode"/>
                <w:szCs w:val="20"/>
              </w:rPr>
            </w:pPr>
            <w:r>
              <w:rPr>
                <w:rFonts w:cs="Lucida Sans Unicode"/>
                <w:szCs w:val="20"/>
              </w:rPr>
              <w:t>12.874</w:t>
            </w:r>
          </w:p>
        </w:tc>
        <w:tc>
          <w:tcPr>
            <w:tcW w:w="937"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r>
              <w:rPr>
                <w:rFonts w:cs="Lucida Sans Unicode"/>
                <w:szCs w:val="20"/>
              </w:rPr>
              <w:t>13.365</w:t>
            </w:r>
          </w:p>
        </w:tc>
        <w:tc>
          <w:tcPr>
            <w:tcW w:w="984"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r>
              <w:rPr>
                <w:rFonts w:cs="Lucida Sans Unicode"/>
                <w:szCs w:val="20"/>
              </w:rPr>
              <w:t>-4</w:t>
            </w:r>
          </w:p>
        </w:tc>
      </w:tr>
      <w:tr w:rsidR="00A8556D" w:rsidRPr="007351D0" w:rsidTr="00A8556D">
        <w:trPr>
          <w:trHeight w:val="300"/>
        </w:trPr>
        <w:tc>
          <w:tcPr>
            <w:tcW w:w="4605" w:type="dxa"/>
            <w:tcBorders>
              <w:top w:val="single" w:sz="4" w:space="0" w:color="auto"/>
              <w:left w:val="single" w:sz="4" w:space="0" w:color="auto"/>
              <w:bottom w:val="single" w:sz="4" w:space="0" w:color="auto"/>
              <w:right w:val="single" w:sz="4" w:space="0" w:color="auto"/>
            </w:tcBorders>
            <w:noWrap/>
            <w:vAlign w:val="bottom"/>
            <w:hideMark/>
          </w:tcPr>
          <w:p w:rsidR="00A8556D" w:rsidRPr="007351D0" w:rsidRDefault="00A8556D" w:rsidP="00A8556D">
            <w:pPr>
              <w:ind w:left="-55"/>
              <w:rPr>
                <w:rFonts w:cs="Lucida Sans Unicode"/>
                <w:szCs w:val="20"/>
              </w:rPr>
            </w:pPr>
            <w:r w:rsidRPr="007351D0">
              <w:rPr>
                <w:rFonts w:cs="Lucida Sans Unicode"/>
                <w:szCs w:val="20"/>
              </w:rPr>
              <w:t>Bereinigtes EBITDA</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A8556D" w:rsidRPr="007351D0" w:rsidRDefault="00A8556D" w:rsidP="00A8556D">
            <w:pPr>
              <w:jc w:val="right"/>
              <w:rPr>
                <w:rFonts w:cs="Lucida Sans Unicode"/>
                <w:szCs w:val="20"/>
              </w:rPr>
            </w:pPr>
            <w:r>
              <w:rPr>
                <w:rFonts w:cs="Lucida Sans Unicode"/>
                <w:szCs w:val="20"/>
              </w:rPr>
              <w:t>386</w:t>
            </w:r>
          </w:p>
        </w:tc>
        <w:tc>
          <w:tcPr>
            <w:tcW w:w="983"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r>
              <w:rPr>
                <w:rFonts w:cs="Lucida Sans Unicode"/>
                <w:szCs w:val="20"/>
              </w:rPr>
              <w:t>452</w:t>
            </w:r>
          </w:p>
        </w:tc>
        <w:tc>
          <w:tcPr>
            <w:tcW w:w="984"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CA2756" w:rsidP="00A8556D">
            <w:pPr>
              <w:jc w:val="right"/>
              <w:rPr>
                <w:rFonts w:cs="Lucida Sans Unicode"/>
                <w:szCs w:val="20"/>
              </w:rPr>
            </w:pPr>
            <w:r>
              <w:rPr>
                <w:rFonts w:cs="Lucida Sans Unicode"/>
                <w:szCs w:val="20"/>
              </w:rPr>
              <w:t>-15</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A8556D" w:rsidRPr="007351D0" w:rsidRDefault="00A8556D" w:rsidP="00A8556D">
            <w:pPr>
              <w:jc w:val="right"/>
              <w:rPr>
                <w:rFonts w:cs="Lucida Sans Unicode"/>
                <w:szCs w:val="20"/>
              </w:rPr>
            </w:pPr>
            <w:r>
              <w:rPr>
                <w:rFonts w:cs="Lucida Sans Unicode"/>
                <w:szCs w:val="20"/>
              </w:rPr>
              <w:t>2.007</w:t>
            </w:r>
          </w:p>
        </w:tc>
        <w:tc>
          <w:tcPr>
            <w:tcW w:w="937"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r>
              <w:rPr>
                <w:rFonts w:cs="Lucida Sans Unicode"/>
                <w:szCs w:val="20"/>
              </w:rPr>
              <w:t>2.467</w:t>
            </w:r>
          </w:p>
        </w:tc>
        <w:tc>
          <w:tcPr>
            <w:tcW w:w="984"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r>
              <w:rPr>
                <w:rFonts w:cs="Lucida Sans Unicode"/>
                <w:szCs w:val="20"/>
              </w:rPr>
              <w:t>-19</w:t>
            </w:r>
          </w:p>
        </w:tc>
      </w:tr>
      <w:tr w:rsidR="00A8556D" w:rsidRPr="007351D0" w:rsidTr="00A8556D">
        <w:trPr>
          <w:trHeight w:val="300"/>
        </w:trPr>
        <w:tc>
          <w:tcPr>
            <w:tcW w:w="4605" w:type="dxa"/>
            <w:tcBorders>
              <w:top w:val="single" w:sz="4" w:space="0" w:color="auto"/>
              <w:left w:val="single" w:sz="4" w:space="0" w:color="auto"/>
              <w:bottom w:val="single" w:sz="4" w:space="0" w:color="auto"/>
              <w:right w:val="single" w:sz="4" w:space="0" w:color="auto"/>
            </w:tcBorders>
            <w:noWrap/>
            <w:vAlign w:val="bottom"/>
            <w:hideMark/>
          </w:tcPr>
          <w:p w:rsidR="00A8556D" w:rsidRPr="007351D0" w:rsidRDefault="00A8556D" w:rsidP="00A8556D">
            <w:pPr>
              <w:ind w:left="-55"/>
              <w:rPr>
                <w:rFonts w:cs="Lucida Sans Unicode"/>
                <w:szCs w:val="20"/>
              </w:rPr>
            </w:pPr>
            <w:r w:rsidRPr="007351D0">
              <w:rPr>
                <w:rFonts w:cs="Lucida Sans Unicode"/>
                <w:szCs w:val="20"/>
              </w:rPr>
              <w:t>Bereinigtes EBIT</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A8556D" w:rsidRPr="007351D0" w:rsidRDefault="00A8556D" w:rsidP="00A8556D">
            <w:pPr>
              <w:jc w:val="right"/>
              <w:rPr>
                <w:rFonts w:cs="Lucida Sans Unicode"/>
                <w:szCs w:val="20"/>
              </w:rPr>
            </w:pPr>
            <w:r>
              <w:rPr>
                <w:rFonts w:cs="Lucida Sans Unicode"/>
                <w:szCs w:val="20"/>
              </w:rPr>
              <w:t>229</w:t>
            </w:r>
          </w:p>
        </w:tc>
        <w:tc>
          <w:tcPr>
            <w:tcW w:w="983"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r>
              <w:rPr>
                <w:rFonts w:cs="Lucida Sans Unicode"/>
                <w:szCs w:val="20"/>
              </w:rPr>
              <w:t>310</w:t>
            </w:r>
          </w:p>
        </w:tc>
        <w:tc>
          <w:tcPr>
            <w:tcW w:w="984"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CA2756" w:rsidP="00A8556D">
            <w:pPr>
              <w:jc w:val="right"/>
              <w:rPr>
                <w:rFonts w:cs="Lucida Sans Unicode"/>
                <w:szCs w:val="20"/>
              </w:rPr>
            </w:pPr>
            <w:r>
              <w:rPr>
                <w:rFonts w:cs="Lucida Sans Unicode"/>
                <w:szCs w:val="20"/>
              </w:rPr>
              <w:t>-26</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A8556D" w:rsidRPr="007351D0" w:rsidRDefault="00A8556D" w:rsidP="00A8556D">
            <w:pPr>
              <w:jc w:val="right"/>
              <w:rPr>
                <w:rFonts w:cs="Lucida Sans Unicode"/>
                <w:szCs w:val="20"/>
              </w:rPr>
            </w:pPr>
            <w:r>
              <w:rPr>
                <w:rFonts w:cs="Lucida Sans Unicode"/>
                <w:szCs w:val="20"/>
              </w:rPr>
              <w:t>1.424</w:t>
            </w:r>
          </w:p>
        </w:tc>
        <w:tc>
          <w:tcPr>
            <w:tcW w:w="937"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r>
              <w:rPr>
                <w:rFonts w:cs="Lucida Sans Unicode"/>
                <w:szCs w:val="20"/>
              </w:rPr>
              <w:t>1.887</w:t>
            </w:r>
          </w:p>
        </w:tc>
        <w:tc>
          <w:tcPr>
            <w:tcW w:w="984"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r>
              <w:rPr>
                <w:rFonts w:cs="Lucida Sans Unicode"/>
                <w:szCs w:val="20"/>
              </w:rPr>
              <w:t>-25</w:t>
            </w:r>
          </w:p>
        </w:tc>
      </w:tr>
      <w:tr w:rsidR="00A8556D" w:rsidRPr="007351D0" w:rsidTr="00A8556D">
        <w:trPr>
          <w:trHeight w:val="300"/>
        </w:trPr>
        <w:tc>
          <w:tcPr>
            <w:tcW w:w="4605" w:type="dxa"/>
            <w:tcBorders>
              <w:top w:val="single" w:sz="4" w:space="0" w:color="auto"/>
              <w:left w:val="single" w:sz="4" w:space="0" w:color="auto"/>
              <w:bottom w:val="single" w:sz="4" w:space="0" w:color="auto"/>
              <w:right w:val="single" w:sz="4" w:space="0" w:color="auto"/>
            </w:tcBorders>
            <w:noWrap/>
            <w:vAlign w:val="bottom"/>
            <w:hideMark/>
          </w:tcPr>
          <w:p w:rsidR="00A8556D" w:rsidRPr="007351D0" w:rsidRDefault="00A8556D" w:rsidP="00A8556D">
            <w:pPr>
              <w:ind w:left="-55"/>
              <w:rPr>
                <w:rFonts w:cs="Lucida Sans Unicode"/>
                <w:szCs w:val="20"/>
              </w:rPr>
            </w:pPr>
            <w:r w:rsidRPr="007351D0">
              <w:rPr>
                <w:rFonts w:cs="Lucida Sans Unicode"/>
                <w:szCs w:val="20"/>
              </w:rPr>
              <w:t>Bereinigungen</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A8556D" w:rsidRPr="007351D0" w:rsidRDefault="00A8556D" w:rsidP="00A8556D">
            <w:pPr>
              <w:jc w:val="right"/>
              <w:rPr>
                <w:rFonts w:cs="Lucida Sans Unicode"/>
                <w:szCs w:val="20"/>
              </w:rPr>
            </w:pPr>
            <w:r>
              <w:rPr>
                <w:rFonts w:cs="Lucida Sans Unicode"/>
                <w:szCs w:val="20"/>
              </w:rPr>
              <w:t>-6</w:t>
            </w:r>
          </w:p>
        </w:tc>
        <w:tc>
          <w:tcPr>
            <w:tcW w:w="983"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r>
              <w:rPr>
                <w:rFonts w:cs="Lucida Sans Unicode"/>
                <w:szCs w:val="20"/>
              </w:rPr>
              <w:t>37</w:t>
            </w:r>
          </w:p>
        </w:tc>
        <w:tc>
          <w:tcPr>
            <w:tcW w:w="984"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ind w:left="-55"/>
              <w:jc w:val="right"/>
              <w:rPr>
                <w:rFonts w:cs="Lucida Sans Unicode"/>
                <w:szCs w:val="20"/>
              </w:rPr>
            </w:pP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A8556D" w:rsidRPr="007351D0" w:rsidRDefault="00A8556D" w:rsidP="00A8556D">
            <w:pPr>
              <w:jc w:val="right"/>
              <w:rPr>
                <w:rFonts w:cs="Lucida Sans Unicode"/>
                <w:szCs w:val="20"/>
              </w:rPr>
            </w:pPr>
            <w:r>
              <w:rPr>
                <w:rFonts w:cs="Lucida Sans Unicode"/>
                <w:szCs w:val="20"/>
              </w:rPr>
              <w:t>-333</w:t>
            </w:r>
          </w:p>
        </w:tc>
        <w:tc>
          <w:tcPr>
            <w:tcW w:w="937"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r>
              <w:rPr>
                <w:rFonts w:cs="Lucida Sans Unicode"/>
                <w:szCs w:val="20"/>
              </w:rPr>
              <w:t>-10</w:t>
            </w:r>
          </w:p>
        </w:tc>
        <w:tc>
          <w:tcPr>
            <w:tcW w:w="984"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ind w:left="-55"/>
              <w:jc w:val="right"/>
              <w:rPr>
                <w:rFonts w:cs="Lucida Sans Unicode"/>
                <w:bCs/>
                <w:spacing w:val="-6"/>
                <w:szCs w:val="20"/>
              </w:rPr>
            </w:pPr>
          </w:p>
        </w:tc>
      </w:tr>
      <w:tr w:rsidR="00A8556D" w:rsidRPr="007351D0" w:rsidTr="00A8556D">
        <w:trPr>
          <w:trHeight w:val="300"/>
        </w:trPr>
        <w:tc>
          <w:tcPr>
            <w:tcW w:w="4605" w:type="dxa"/>
            <w:tcBorders>
              <w:top w:val="single" w:sz="4" w:space="0" w:color="auto"/>
              <w:left w:val="single" w:sz="4" w:space="0" w:color="auto"/>
              <w:bottom w:val="single" w:sz="4" w:space="0" w:color="auto"/>
              <w:right w:val="single" w:sz="4" w:space="0" w:color="auto"/>
            </w:tcBorders>
            <w:noWrap/>
            <w:vAlign w:val="bottom"/>
            <w:hideMark/>
          </w:tcPr>
          <w:p w:rsidR="00A8556D" w:rsidRPr="007351D0" w:rsidRDefault="00A8556D" w:rsidP="00A8556D">
            <w:pPr>
              <w:ind w:left="-55"/>
              <w:rPr>
                <w:rFonts w:cs="Lucida Sans Unicode"/>
                <w:szCs w:val="20"/>
              </w:rPr>
            </w:pPr>
            <w:r w:rsidRPr="007351D0">
              <w:rPr>
                <w:rFonts w:cs="Lucida Sans Unicode"/>
                <w:szCs w:val="20"/>
              </w:rPr>
              <w:t>Zinsergebnis</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A8556D" w:rsidRPr="007351D0" w:rsidRDefault="00A8556D" w:rsidP="00A8556D">
            <w:pPr>
              <w:jc w:val="right"/>
              <w:rPr>
                <w:rFonts w:cs="Lucida Sans Unicode"/>
                <w:szCs w:val="20"/>
              </w:rPr>
            </w:pPr>
            <w:r>
              <w:rPr>
                <w:rFonts w:cs="Lucida Sans Unicode"/>
                <w:szCs w:val="20"/>
              </w:rPr>
              <w:t>-54</w:t>
            </w:r>
          </w:p>
        </w:tc>
        <w:tc>
          <w:tcPr>
            <w:tcW w:w="983"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r>
              <w:rPr>
                <w:rFonts w:cs="Lucida Sans Unicode"/>
                <w:szCs w:val="20"/>
              </w:rPr>
              <w:t>-82</w:t>
            </w:r>
          </w:p>
        </w:tc>
        <w:tc>
          <w:tcPr>
            <w:tcW w:w="984"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A8556D" w:rsidRPr="007351D0" w:rsidRDefault="00A8556D" w:rsidP="00A8556D">
            <w:pPr>
              <w:jc w:val="right"/>
              <w:rPr>
                <w:rFonts w:cs="Lucida Sans Unicode"/>
                <w:szCs w:val="20"/>
              </w:rPr>
            </w:pPr>
            <w:r>
              <w:rPr>
                <w:rFonts w:cs="Lucida Sans Unicode"/>
                <w:szCs w:val="20"/>
              </w:rPr>
              <w:t>-255</w:t>
            </w:r>
          </w:p>
        </w:tc>
        <w:tc>
          <w:tcPr>
            <w:tcW w:w="937"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r>
              <w:rPr>
                <w:rFonts w:cs="Lucida Sans Unicode"/>
                <w:szCs w:val="20"/>
              </w:rPr>
              <w:t>-321</w:t>
            </w:r>
          </w:p>
        </w:tc>
        <w:tc>
          <w:tcPr>
            <w:tcW w:w="984"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p>
        </w:tc>
      </w:tr>
      <w:tr w:rsidR="00A8556D" w:rsidRPr="00D30E4D" w:rsidTr="00A8556D">
        <w:trPr>
          <w:trHeight w:val="300"/>
        </w:trPr>
        <w:tc>
          <w:tcPr>
            <w:tcW w:w="4605" w:type="dxa"/>
            <w:tcBorders>
              <w:top w:val="single" w:sz="4" w:space="0" w:color="auto"/>
              <w:left w:val="single" w:sz="4" w:space="0" w:color="auto"/>
              <w:bottom w:val="single" w:sz="4" w:space="0" w:color="auto"/>
              <w:right w:val="single" w:sz="4" w:space="0" w:color="auto"/>
            </w:tcBorders>
            <w:noWrap/>
            <w:vAlign w:val="bottom"/>
            <w:hideMark/>
          </w:tcPr>
          <w:p w:rsidR="00A8556D" w:rsidRPr="00D30E4D" w:rsidRDefault="00A8556D" w:rsidP="003E1151">
            <w:pPr>
              <w:ind w:left="-55"/>
              <w:rPr>
                <w:rFonts w:cs="Lucida Sans Unicode"/>
                <w:bCs/>
                <w:szCs w:val="20"/>
              </w:rPr>
            </w:pPr>
            <w:r w:rsidRPr="00D30E4D">
              <w:rPr>
                <w:rFonts w:cs="Lucida Sans Unicode"/>
                <w:bCs/>
                <w:spacing w:val="-6"/>
                <w:szCs w:val="20"/>
              </w:rPr>
              <w:t xml:space="preserve">Ergebnis vor </w:t>
            </w:r>
            <w:r w:rsidR="003E1151">
              <w:rPr>
                <w:rFonts w:cs="Lucida Sans Unicode"/>
                <w:bCs/>
                <w:spacing w:val="-6"/>
                <w:szCs w:val="20"/>
              </w:rPr>
              <w:t>Ertrags</w:t>
            </w:r>
            <w:r w:rsidR="00511560">
              <w:rPr>
                <w:rFonts w:cs="Lucida Sans Unicode"/>
                <w:bCs/>
                <w:spacing w:val="-6"/>
                <w:szCs w:val="20"/>
              </w:rPr>
              <w:t>t</w:t>
            </w:r>
            <w:r w:rsidRPr="00D30E4D">
              <w:rPr>
                <w:rFonts w:cs="Lucida Sans Unicode"/>
                <w:bCs/>
                <w:spacing w:val="-6"/>
                <w:szCs w:val="20"/>
              </w:rPr>
              <w:t>euern fortgeführter Aktivitäten</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A8556D" w:rsidRPr="00D30E4D" w:rsidRDefault="00A8556D" w:rsidP="00A8556D">
            <w:pPr>
              <w:jc w:val="right"/>
              <w:rPr>
                <w:rFonts w:cs="Lucida Sans Unicode"/>
                <w:bCs/>
                <w:szCs w:val="20"/>
              </w:rPr>
            </w:pPr>
            <w:r>
              <w:rPr>
                <w:rFonts w:cs="Lucida Sans Unicode"/>
                <w:bCs/>
                <w:szCs w:val="20"/>
              </w:rPr>
              <w:t>169</w:t>
            </w:r>
          </w:p>
        </w:tc>
        <w:tc>
          <w:tcPr>
            <w:tcW w:w="983" w:type="dxa"/>
            <w:tcBorders>
              <w:top w:val="single" w:sz="4" w:space="0" w:color="auto"/>
              <w:left w:val="single" w:sz="4" w:space="0" w:color="auto"/>
              <w:bottom w:val="single" w:sz="4" w:space="0" w:color="auto"/>
              <w:right w:val="single" w:sz="4" w:space="0" w:color="auto"/>
            </w:tcBorders>
            <w:noWrap/>
            <w:vAlign w:val="bottom"/>
          </w:tcPr>
          <w:p w:rsidR="00A8556D" w:rsidRPr="00D30E4D" w:rsidRDefault="00A8556D" w:rsidP="00A8556D">
            <w:pPr>
              <w:jc w:val="right"/>
              <w:rPr>
                <w:rFonts w:cs="Lucida Sans Unicode"/>
                <w:bCs/>
                <w:szCs w:val="20"/>
              </w:rPr>
            </w:pPr>
            <w:r>
              <w:rPr>
                <w:rFonts w:cs="Lucida Sans Unicode"/>
                <w:bCs/>
                <w:szCs w:val="20"/>
              </w:rPr>
              <w:t>265</w:t>
            </w:r>
          </w:p>
        </w:tc>
        <w:tc>
          <w:tcPr>
            <w:tcW w:w="984" w:type="dxa"/>
            <w:tcBorders>
              <w:top w:val="single" w:sz="4" w:space="0" w:color="auto"/>
              <w:left w:val="single" w:sz="4" w:space="0" w:color="auto"/>
              <w:bottom w:val="single" w:sz="4" w:space="0" w:color="auto"/>
              <w:right w:val="single" w:sz="4" w:space="0" w:color="auto"/>
            </w:tcBorders>
            <w:noWrap/>
            <w:vAlign w:val="bottom"/>
          </w:tcPr>
          <w:p w:rsidR="00A8556D" w:rsidRPr="00D30E4D" w:rsidRDefault="009F4752" w:rsidP="00A8556D">
            <w:pPr>
              <w:jc w:val="right"/>
              <w:rPr>
                <w:rFonts w:cs="Lucida Sans Unicode"/>
                <w:bCs/>
                <w:szCs w:val="20"/>
              </w:rPr>
            </w:pPr>
            <w:r>
              <w:rPr>
                <w:rFonts w:cs="Lucida Sans Unicode"/>
                <w:bCs/>
                <w:szCs w:val="20"/>
              </w:rPr>
              <w:t>-36</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A8556D" w:rsidRPr="00D30E4D" w:rsidRDefault="00A8556D" w:rsidP="00A8556D">
            <w:pPr>
              <w:jc w:val="right"/>
              <w:rPr>
                <w:rFonts w:cs="Lucida Sans Unicode"/>
                <w:bCs/>
                <w:szCs w:val="20"/>
              </w:rPr>
            </w:pPr>
            <w:r>
              <w:rPr>
                <w:rFonts w:cs="Lucida Sans Unicode"/>
                <w:bCs/>
                <w:szCs w:val="20"/>
              </w:rPr>
              <w:t>836</w:t>
            </w:r>
          </w:p>
        </w:tc>
        <w:tc>
          <w:tcPr>
            <w:tcW w:w="937" w:type="dxa"/>
            <w:tcBorders>
              <w:top w:val="single" w:sz="4" w:space="0" w:color="auto"/>
              <w:left w:val="single" w:sz="4" w:space="0" w:color="auto"/>
              <w:bottom w:val="single" w:sz="4" w:space="0" w:color="auto"/>
              <w:right w:val="single" w:sz="4" w:space="0" w:color="auto"/>
            </w:tcBorders>
            <w:noWrap/>
            <w:vAlign w:val="bottom"/>
          </w:tcPr>
          <w:p w:rsidR="00A8556D" w:rsidRPr="00D30E4D" w:rsidRDefault="00A8556D" w:rsidP="00A8556D">
            <w:pPr>
              <w:jc w:val="right"/>
              <w:rPr>
                <w:rFonts w:cs="Lucida Sans Unicode"/>
                <w:bCs/>
                <w:szCs w:val="20"/>
              </w:rPr>
            </w:pPr>
            <w:r>
              <w:rPr>
                <w:rFonts w:cs="Lucida Sans Unicode"/>
                <w:bCs/>
                <w:szCs w:val="20"/>
              </w:rPr>
              <w:t>1.556</w:t>
            </w:r>
          </w:p>
        </w:tc>
        <w:tc>
          <w:tcPr>
            <w:tcW w:w="984" w:type="dxa"/>
            <w:tcBorders>
              <w:top w:val="single" w:sz="4" w:space="0" w:color="auto"/>
              <w:left w:val="single" w:sz="4" w:space="0" w:color="auto"/>
              <w:bottom w:val="single" w:sz="4" w:space="0" w:color="auto"/>
              <w:right w:val="single" w:sz="4" w:space="0" w:color="auto"/>
            </w:tcBorders>
            <w:noWrap/>
            <w:vAlign w:val="bottom"/>
          </w:tcPr>
          <w:p w:rsidR="00A8556D" w:rsidRPr="00D30E4D" w:rsidRDefault="00A8556D" w:rsidP="00A8556D">
            <w:pPr>
              <w:jc w:val="right"/>
              <w:rPr>
                <w:rFonts w:cs="Lucida Sans Unicode"/>
                <w:bCs/>
                <w:szCs w:val="20"/>
              </w:rPr>
            </w:pPr>
            <w:r>
              <w:rPr>
                <w:rFonts w:cs="Lucida Sans Unicode"/>
                <w:bCs/>
                <w:szCs w:val="20"/>
              </w:rPr>
              <w:t>-46</w:t>
            </w:r>
          </w:p>
        </w:tc>
      </w:tr>
      <w:tr w:rsidR="00A8556D" w:rsidRPr="007351D0" w:rsidTr="00A8556D">
        <w:trPr>
          <w:trHeight w:val="300"/>
        </w:trPr>
        <w:tc>
          <w:tcPr>
            <w:tcW w:w="4605" w:type="dxa"/>
            <w:tcBorders>
              <w:top w:val="single" w:sz="4" w:space="0" w:color="auto"/>
              <w:left w:val="single" w:sz="4" w:space="0" w:color="auto"/>
              <w:bottom w:val="single" w:sz="4" w:space="0" w:color="auto"/>
              <w:right w:val="single" w:sz="4" w:space="0" w:color="auto"/>
            </w:tcBorders>
            <w:noWrap/>
            <w:vAlign w:val="bottom"/>
            <w:hideMark/>
          </w:tcPr>
          <w:p w:rsidR="00A8556D" w:rsidRPr="007351D0" w:rsidRDefault="00A8556D" w:rsidP="00A8556D">
            <w:pPr>
              <w:ind w:left="-55"/>
              <w:rPr>
                <w:rFonts w:cs="Lucida Sans Unicode"/>
                <w:szCs w:val="20"/>
              </w:rPr>
            </w:pPr>
            <w:r w:rsidRPr="007351D0">
              <w:rPr>
                <w:rFonts w:cs="Lucida Sans Unicode"/>
                <w:szCs w:val="20"/>
              </w:rPr>
              <w:t>Ertragsteuern</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A8556D" w:rsidRPr="007351D0" w:rsidRDefault="00A8556D" w:rsidP="00A8556D">
            <w:pPr>
              <w:jc w:val="right"/>
              <w:rPr>
                <w:rFonts w:cs="Lucida Sans Unicode"/>
                <w:szCs w:val="20"/>
              </w:rPr>
            </w:pPr>
            <w:r>
              <w:rPr>
                <w:rFonts w:cs="Lucida Sans Unicode"/>
                <w:szCs w:val="20"/>
              </w:rPr>
              <w:t>-40</w:t>
            </w:r>
          </w:p>
        </w:tc>
        <w:tc>
          <w:tcPr>
            <w:tcW w:w="983"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r>
              <w:rPr>
                <w:rFonts w:cs="Lucida Sans Unicode"/>
                <w:szCs w:val="20"/>
              </w:rPr>
              <w:t>3</w:t>
            </w:r>
          </w:p>
        </w:tc>
        <w:tc>
          <w:tcPr>
            <w:tcW w:w="984"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A8556D" w:rsidRPr="007351D0" w:rsidRDefault="00A8556D" w:rsidP="00A8556D">
            <w:pPr>
              <w:jc w:val="right"/>
              <w:rPr>
                <w:rFonts w:cs="Lucida Sans Unicode"/>
                <w:szCs w:val="20"/>
              </w:rPr>
            </w:pPr>
            <w:r>
              <w:rPr>
                <w:rFonts w:cs="Lucida Sans Unicode"/>
                <w:szCs w:val="20"/>
              </w:rPr>
              <w:t>-220</w:t>
            </w:r>
          </w:p>
        </w:tc>
        <w:tc>
          <w:tcPr>
            <w:tcW w:w="937"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r>
              <w:rPr>
                <w:rFonts w:cs="Lucida Sans Unicode"/>
                <w:szCs w:val="20"/>
              </w:rPr>
              <w:t>-453</w:t>
            </w:r>
          </w:p>
        </w:tc>
        <w:tc>
          <w:tcPr>
            <w:tcW w:w="984"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p>
        </w:tc>
      </w:tr>
      <w:tr w:rsidR="00A8556D" w:rsidRPr="007351D0" w:rsidTr="00A8556D">
        <w:trPr>
          <w:trHeight w:val="300"/>
        </w:trPr>
        <w:tc>
          <w:tcPr>
            <w:tcW w:w="4605" w:type="dxa"/>
            <w:tcBorders>
              <w:top w:val="single" w:sz="4" w:space="0" w:color="auto"/>
              <w:left w:val="single" w:sz="4" w:space="0" w:color="auto"/>
              <w:bottom w:val="single" w:sz="4" w:space="0" w:color="auto"/>
              <w:right w:val="single" w:sz="4" w:space="0" w:color="auto"/>
            </w:tcBorders>
            <w:noWrap/>
            <w:vAlign w:val="bottom"/>
            <w:hideMark/>
          </w:tcPr>
          <w:p w:rsidR="00A8556D" w:rsidRPr="007351D0" w:rsidRDefault="00A8556D" w:rsidP="00F22BDA">
            <w:pPr>
              <w:ind w:left="-55"/>
              <w:rPr>
                <w:rFonts w:cs="Lucida Sans Unicode"/>
                <w:bCs/>
                <w:szCs w:val="20"/>
              </w:rPr>
            </w:pPr>
            <w:r w:rsidRPr="007351D0">
              <w:rPr>
                <w:rFonts w:cs="Lucida Sans Unicode"/>
                <w:bCs/>
                <w:spacing w:val="-6"/>
                <w:szCs w:val="20"/>
              </w:rPr>
              <w:t xml:space="preserve">Ergebnis nach </w:t>
            </w:r>
            <w:r w:rsidR="00F22BDA">
              <w:rPr>
                <w:rFonts w:cs="Lucida Sans Unicode"/>
                <w:bCs/>
                <w:spacing w:val="-6"/>
                <w:szCs w:val="20"/>
              </w:rPr>
              <w:t>S</w:t>
            </w:r>
            <w:r w:rsidRPr="007351D0">
              <w:rPr>
                <w:rFonts w:cs="Lucida Sans Unicode"/>
                <w:bCs/>
                <w:spacing w:val="-6"/>
                <w:szCs w:val="20"/>
              </w:rPr>
              <w:t>teuern fortgeführter Aktivitäten</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A8556D" w:rsidRPr="007351D0" w:rsidRDefault="00A8556D" w:rsidP="00A8556D">
            <w:pPr>
              <w:jc w:val="right"/>
              <w:rPr>
                <w:rFonts w:cs="Lucida Sans Unicode"/>
                <w:bCs/>
                <w:szCs w:val="20"/>
              </w:rPr>
            </w:pPr>
            <w:r>
              <w:rPr>
                <w:rFonts w:cs="Lucida Sans Unicode"/>
                <w:bCs/>
                <w:szCs w:val="20"/>
              </w:rPr>
              <w:t>129</w:t>
            </w:r>
          </w:p>
        </w:tc>
        <w:tc>
          <w:tcPr>
            <w:tcW w:w="983"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bCs/>
                <w:szCs w:val="20"/>
              </w:rPr>
            </w:pPr>
            <w:r>
              <w:rPr>
                <w:rFonts w:cs="Lucida Sans Unicode"/>
                <w:bCs/>
                <w:szCs w:val="20"/>
              </w:rPr>
              <w:t>268</w:t>
            </w:r>
          </w:p>
        </w:tc>
        <w:tc>
          <w:tcPr>
            <w:tcW w:w="984"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9F4752" w:rsidP="00A8556D">
            <w:pPr>
              <w:jc w:val="right"/>
              <w:rPr>
                <w:rFonts w:cs="Lucida Sans Unicode"/>
                <w:bCs/>
                <w:szCs w:val="20"/>
              </w:rPr>
            </w:pPr>
            <w:r>
              <w:rPr>
                <w:rFonts w:cs="Lucida Sans Unicode"/>
                <w:bCs/>
                <w:szCs w:val="20"/>
              </w:rPr>
              <w:t>-52</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A8556D" w:rsidRPr="007351D0" w:rsidRDefault="00A8556D" w:rsidP="00A8556D">
            <w:pPr>
              <w:jc w:val="right"/>
              <w:rPr>
                <w:rFonts w:cs="Lucida Sans Unicode"/>
                <w:bCs/>
                <w:szCs w:val="20"/>
              </w:rPr>
            </w:pPr>
            <w:r>
              <w:rPr>
                <w:rFonts w:cs="Lucida Sans Unicode"/>
                <w:bCs/>
                <w:szCs w:val="20"/>
              </w:rPr>
              <w:t>616</w:t>
            </w:r>
          </w:p>
        </w:tc>
        <w:tc>
          <w:tcPr>
            <w:tcW w:w="937"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bCs/>
                <w:szCs w:val="20"/>
              </w:rPr>
            </w:pPr>
            <w:r>
              <w:rPr>
                <w:rFonts w:cs="Lucida Sans Unicode"/>
                <w:bCs/>
                <w:szCs w:val="20"/>
              </w:rPr>
              <w:t>1</w:t>
            </w:r>
            <w:r w:rsidR="009F4752">
              <w:rPr>
                <w:rFonts w:cs="Lucida Sans Unicode"/>
                <w:bCs/>
                <w:szCs w:val="20"/>
              </w:rPr>
              <w:t>.</w:t>
            </w:r>
            <w:r>
              <w:rPr>
                <w:rFonts w:cs="Lucida Sans Unicode"/>
                <w:bCs/>
                <w:szCs w:val="20"/>
              </w:rPr>
              <w:t>103</w:t>
            </w:r>
          </w:p>
        </w:tc>
        <w:tc>
          <w:tcPr>
            <w:tcW w:w="984"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9F4752" w:rsidP="00A8556D">
            <w:pPr>
              <w:jc w:val="right"/>
              <w:rPr>
                <w:rFonts w:cs="Lucida Sans Unicode"/>
                <w:bCs/>
                <w:szCs w:val="20"/>
              </w:rPr>
            </w:pPr>
            <w:r>
              <w:rPr>
                <w:rFonts w:cs="Lucida Sans Unicode"/>
                <w:bCs/>
                <w:szCs w:val="20"/>
              </w:rPr>
              <w:t>-44</w:t>
            </w:r>
          </w:p>
        </w:tc>
      </w:tr>
      <w:tr w:rsidR="00A8556D" w:rsidRPr="007351D0" w:rsidTr="00A8556D">
        <w:trPr>
          <w:trHeight w:val="300"/>
        </w:trPr>
        <w:tc>
          <w:tcPr>
            <w:tcW w:w="4605" w:type="dxa"/>
            <w:tcBorders>
              <w:top w:val="single" w:sz="4" w:space="0" w:color="auto"/>
              <w:left w:val="single" w:sz="4" w:space="0" w:color="auto"/>
              <w:bottom w:val="single" w:sz="4" w:space="0" w:color="auto"/>
              <w:right w:val="single" w:sz="4" w:space="0" w:color="auto"/>
            </w:tcBorders>
            <w:noWrap/>
            <w:vAlign w:val="bottom"/>
            <w:hideMark/>
          </w:tcPr>
          <w:p w:rsidR="00A8556D" w:rsidRPr="007351D0" w:rsidRDefault="00A8556D" w:rsidP="00A8556D">
            <w:pPr>
              <w:ind w:left="-55"/>
              <w:rPr>
                <w:rFonts w:cs="Lucida Sans Unicode"/>
                <w:szCs w:val="20"/>
              </w:rPr>
            </w:pPr>
            <w:r w:rsidRPr="007351D0">
              <w:rPr>
                <w:rFonts w:cs="Lucida Sans Unicode"/>
                <w:szCs w:val="20"/>
              </w:rPr>
              <w:t>Ergebnis nach Steuern nicht fortgeführter Aktivitäten</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A8556D" w:rsidRPr="007351D0" w:rsidRDefault="00A8556D" w:rsidP="00A8556D">
            <w:pPr>
              <w:jc w:val="right"/>
              <w:rPr>
                <w:rFonts w:cs="Lucida Sans Unicode"/>
                <w:szCs w:val="20"/>
              </w:rPr>
            </w:pPr>
            <w:r>
              <w:rPr>
                <w:rFonts w:cs="Lucida Sans Unicode"/>
                <w:szCs w:val="20"/>
              </w:rPr>
              <w:t>34</w:t>
            </w:r>
          </w:p>
        </w:tc>
        <w:tc>
          <w:tcPr>
            <w:tcW w:w="983"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r>
              <w:rPr>
                <w:rFonts w:cs="Lucida Sans Unicode"/>
                <w:szCs w:val="20"/>
              </w:rPr>
              <w:t>22</w:t>
            </w:r>
          </w:p>
        </w:tc>
        <w:tc>
          <w:tcPr>
            <w:tcW w:w="984"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rPr>
                <w:rFonts w:cs="Lucida Sans Unicode"/>
                <w:szCs w:val="20"/>
              </w:rPr>
            </w:pP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A8556D" w:rsidRPr="007351D0" w:rsidRDefault="00A8556D" w:rsidP="00A8556D">
            <w:pPr>
              <w:jc w:val="right"/>
              <w:rPr>
                <w:rFonts w:cs="Lucida Sans Unicode"/>
                <w:szCs w:val="20"/>
              </w:rPr>
            </w:pPr>
            <w:r>
              <w:rPr>
                <w:rFonts w:cs="Lucida Sans Unicode"/>
                <w:szCs w:val="20"/>
              </w:rPr>
              <w:t>1.397</w:t>
            </w:r>
          </w:p>
        </w:tc>
        <w:tc>
          <w:tcPr>
            <w:tcW w:w="937"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r>
              <w:rPr>
                <w:rFonts w:cs="Lucida Sans Unicode"/>
                <w:szCs w:val="20"/>
              </w:rPr>
              <w:t>65</w:t>
            </w:r>
          </w:p>
        </w:tc>
        <w:tc>
          <w:tcPr>
            <w:tcW w:w="984"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rPr>
                <w:rFonts w:cs="Lucida Sans Unicode"/>
                <w:szCs w:val="20"/>
              </w:rPr>
            </w:pPr>
          </w:p>
        </w:tc>
      </w:tr>
      <w:tr w:rsidR="00A8556D" w:rsidRPr="00D30E4D" w:rsidTr="00A8556D">
        <w:trPr>
          <w:trHeight w:val="300"/>
        </w:trPr>
        <w:tc>
          <w:tcPr>
            <w:tcW w:w="4605" w:type="dxa"/>
            <w:tcBorders>
              <w:top w:val="single" w:sz="4" w:space="0" w:color="auto"/>
              <w:left w:val="single" w:sz="4" w:space="0" w:color="auto"/>
              <w:bottom w:val="single" w:sz="4" w:space="0" w:color="auto"/>
              <w:right w:val="single" w:sz="4" w:space="0" w:color="auto"/>
            </w:tcBorders>
            <w:noWrap/>
            <w:vAlign w:val="bottom"/>
            <w:hideMark/>
          </w:tcPr>
          <w:p w:rsidR="00A8556D" w:rsidRPr="00D30E4D" w:rsidRDefault="00A8556D" w:rsidP="00A8556D">
            <w:pPr>
              <w:ind w:left="-55"/>
              <w:rPr>
                <w:rFonts w:cs="Lucida Sans Unicode"/>
                <w:bCs/>
                <w:szCs w:val="20"/>
              </w:rPr>
            </w:pPr>
            <w:r w:rsidRPr="00D30E4D">
              <w:rPr>
                <w:rFonts w:cs="Lucida Sans Unicode"/>
                <w:bCs/>
                <w:szCs w:val="20"/>
              </w:rPr>
              <w:t>Ergebnis nach Steuern</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A8556D" w:rsidRPr="00D30E4D" w:rsidRDefault="00A8556D" w:rsidP="00A8556D">
            <w:pPr>
              <w:jc w:val="right"/>
              <w:rPr>
                <w:rFonts w:cs="Lucida Sans Unicode"/>
                <w:bCs/>
                <w:szCs w:val="20"/>
              </w:rPr>
            </w:pPr>
            <w:r>
              <w:rPr>
                <w:rFonts w:cs="Lucida Sans Unicode"/>
                <w:bCs/>
                <w:szCs w:val="20"/>
              </w:rPr>
              <w:t>163</w:t>
            </w:r>
          </w:p>
        </w:tc>
        <w:tc>
          <w:tcPr>
            <w:tcW w:w="983" w:type="dxa"/>
            <w:tcBorders>
              <w:top w:val="single" w:sz="4" w:space="0" w:color="auto"/>
              <w:left w:val="single" w:sz="4" w:space="0" w:color="auto"/>
              <w:bottom w:val="single" w:sz="4" w:space="0" w:color="auto"/>
              <w:right w:val="single" w:sz="4" w:space="0" w:color="auto"/>
            </w:tcBorders>
            <w:noWrap/>
            <w:vAlign w:val="bottom"/>
          </w:tcPr>
          <w:p w:rsidR="00A8556D" w:rsidRPr="00D30E4D" w:rsidRDefault="00A8556D" w:rsidP="00A8556D">
            <w:pPr>
              <w:jc w:val="right"/>
              <w:rPr>
                <w:rFonts w:cs="Lucida Sans Unicode"/>
                <w:bCs/>
                <w:szCs w:val="20"/>
              </w:rPr>
            </w:pPr>
            <w:r>
              <w:rPr>
                <w:rFonts w:cs="Lucida Sans Unicode"/>
                <w:bCs/>
                <w:szCs w:val="20"/>
              </w:rPr>
              <w:t>290</w:t>
            </w:r>
          </w:p>
        </w:tc>
        <w:tc>
          <w:tcPr>
            <w:tcW w:w="984" w:type="dxa"/>
            <w:tcBorders>
              <w:top w:val="single" w:sz="4" w:space="0" w:color="auto"/>
              <w:left w:val="single" w:sz="4" w:space="0" w:color="auto"/>
              <w:bottom w:val="single" w:sz="4" w:space="0" w:color="auto"/>
              <w:right w:val="single" w:sz="4" w:space="0" w:color="auto"/>
            </w:tcBorders>
            <w:noWrap/>
            <w:vAlign w:val="bottom"/>
          </w:tcPr>
          <w:p w:rsidR="00A8556D" w:rsidRPr="00D30E4D" w:rsidRDefault="009F4752" w:rsidP="00A8556D">
            <w:pPr>
              <w:jc w:val="right"/>
              <w:rPr>
                <w:rFonts w:cs="Lucida Sans Unicode"/>
                <w:bCs/>
                <w:szCs w:val="20"/>
              </w:rPr>
            </w:pPr>
            <w:r>
              <w:rPr>
                <w:rFonts w:cs="Lucida Sans Unicode"/>
                <w:bCs/>
                <w:szCs w:val="20"/>
              </w:rPr>
              <w:t>-44</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A8556D" w:rsidRPr="00D30E4D" w:rsidRDefault="00A8556D" w:rsidP="00A8556D">
            <w:pPr>
              <w:jc w:val="right"/>
              <w:rPr>
                <w:rFonts w:cs="Lucida Sans Unicode"/>
                <w:szCs w:val="20"/>
              </w:rPr>
            </w:pPr>
            <w:r>
              <w:rPr>
                <w:rFonts w:cs="Lucida Sans Unicode"/>
                <w:szCs w:val="20"/>
              </w:rPr>
              <w:t>2.013</w:t>
            </w:r>
          </w:p>
        </w:tc>
        <w:tc>
          <w:tcPr>
            <w:tcW w:w="937" w:type="dxa"/>
            <w:tcBorders>
              <w:top w:val="single" w:sz="4" w:space="0" w:color="auto"/>
              <w:left w:val="single" w:sz="4" w:space="0" w:color="auto"/>
              <w:bottom w:val="single" w:sz="4" w:space="0" w:color="auto"/>
              <w:right w:val="single" w:sz="4" w:space="0" w:color="auto"/>
            </w:tcBorders>
            <w:noWrap/>
            <w:vAlign w:val="bottom"/>
          </w:tcPr>
          <w:p w:rsidR="00A8556D" w:rsidRPr="00D30E4D" w:rsidRDefault="00A8556D" w:rsidP="00A8556D">
            <w:pPr>
              <w:jc w:val="right"/>
              <w:rPr>
                <w:rFonts w:cs="Lucida Sans Unicode"/>
                <w:szCs w:val="20"/>
              </w:rPr>
            </w:pPr>
            <w:r>
              <w:rPr>
                <w:rFonts w:cs="Lucida Sans Unicode"/>
                <w:szCs w:val="20"/>
              </w:rPr>
              <w:t>1.168</w:t>
            </w:r>
          </w:p>
        </w:tc>
        <w:tc>
          <w:tcPr>
            <w:tcW w:w="984" w:type="dxa"/>
            <w:tcBorders>
              <w:top w:val="single" w:sz="4" w:space="0" w:color="auto"/>
              <w:left w:val="single" w:sz="4" w:space="0" w:color="auto"/>
              <w:bottom w:val="single" w:sz="4" w:space="0" w:color="auto"/>
              <w:right w:val="single" w:sz="4" w:space="0" w:color="auto"/>
            </w:tcBorders>
            <w:noWrap/>
            <w:vAlign w:val="bottom"/>
          </w:tcPr>
          <w:p w:rsidR="00A8556D" w:rsidRPr="00D30E4D" w:rsidRDefault="00A8556D" w:rsidP="00A8556D">
            <w:pPr>
              <w:jc w:val="right"/>
              <w:rPr>
                <w:rFonts w:cs="Lucida Sans Unicode"/>
                <w:szCs w:val="20"/>
              </w:rPr>
            </w:pPr>
            <w:r>
              <w:rPr>
                <w:rFonts w:cs="Lucida Sans Unicode"/>
                <w:szCs w:val="20"/>
              </w:rPr>
              <w:t>72</w:t>
            </w:r>
          </w:p>
        </w:tc>
      </w:tr>
      <w:tr w:rsidR="00A8556D" w:rsidRPr="007351D0" w:rsidTr="00A8556D">
        <w:trPr>
          <w:trHeight w:val="255"/>
        </w:trPr>
        <w:tc>
          <w:tcPr>
            <w:tcW w:w="4605" w:type="dxa"/>
            <w:tcBorders>
              <w:top w:val="single" w:sz="4" w:space="0" w:color="auto"/>
              <w:left w:val="single" w:sz="4" w:space="0" w:color="auto"/>
              <w:bottom w:val="single" w:sz="4" w:space="0" w:color="auto"/>
              <w:right w:val="single" w:sz="4" w:space="0" w:color="auto"/>
            </w:tcBorders>
            <w:noWrap/>
            <w:vAlign w:val="bottom"/>
            <w:hideMark/>
          </w:tcPr>
          <w:p w:rsidR="00A8556D" w:rsidRPr="007351D0" w:rsidRDefault="00DC677E" w:rsidP="00A8556D">
            <w:pPr>
              <w:ind w:left="-55"/>
              <w:rPr>
                <w:rFonts w:cs="Lucida Sans Unicode"/>
                <w:szCs w:val="20"/>
              </w:rPr>
            </w:pPr>
            <w:r>
              <w:rPr>
                <w:rFonts w:cs="Lucida Sans Unicode"/>
                <w:szCs w:val="20"/>
              </w:rPr>
              <w:t>Ergebnis</w:t>
            </w:r>
            <w:r w:rsidR="00A8556D" w:rsidRPr="007351D0">
              <w:rPr>
                <w:rFonts w:cs="Lucida Sans Unicode"/>
                <w:szCs w:val="20"/>
              </w:rPr>
              <w:t xml:space="preserve"> anderer Gesellschafter</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A8556D" w:rsidRPr="007351D0" w:rsidRDefault="00A8556D" w:rsidP="00A8556D">
            <w:pPr>
              <w:jc w:val="right"/>
              <w:rPr>
                <w:rFonts w:cs="Lucida Sans Unicode"/>
                <w:szCs w:val="20"/>
              </w:rPr>
            </w:pPr>
            <w:r>
              <w:rPr>
                <w:rFonts w:cs="Lucida Sans Unicode"/>
                <w:szCs w:val="20"/>
              </w:rPr>
              <w:t>-60</w:t>
            </w:r>
          </w:p>
        </w:tc>
        <w:tc>
          <w:tcPr>
            <w:tcW w:w="983"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r>
              <w:rPr>
                <w:rFonts w:cs="Lucida Sans Unicode"/>
                <w:szCs w:val="20"/>
              </w:rPr>
              <w:t>-13</w:t>
            </w:r>
          </w:p>
        </w:tc>
        <w:tc>
          <w:tcPr>
            <w:tcW w:w="984"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rPr>
                <w:rFonts w:cs="Lucida Sans Unicode"/>
                <w:szCs w:val="20"/>
              </w:rPr>
            </w:pP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A8556D" w:rsidRPr="007351D0" w:rsidRDefault="00A8556D" w:rsidP="00A8556D">
            <w:pPr>
              <w:jc w:val="right"/>
              <w:rPr>
                <w:rFonts w:cs="Lucida Sans Unicode"/>
                <w:bCs/>
                <w:szCs w:val="20"/>
              </w:rPr>
            </w:pPr>
            <w:r>
              <w:rPr>
                <w:rFonts w:cs="Lucida Sans Unicode"/>
                <w:bCs/>
                <w:szCs w:val="20"/>
              </w:rPr>
              <w:t>41</w:t>
            </w:r>
          </w:p>
        </w:tc>
        <w:tc>
          <w:tcPr>
            <w:tcW w:w="937"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bCs/>
                <w:szCs w:val="20"/>
              </w:rPr>
            </w:pPr>
            <w:r>
              <w:rPr>
                <w:rFonts w:cs="Lucida Sans Unicode"/>
                <w:bCs/>
                <w:szCs w:val="20"/>
              </w:rPr>
              <w:t>-3</w:t>
            </w:r>
          </w:p>
        </w:tc>
        <w:tc>
          <w:tcPr>
            <w:tcW w:w="984" w:type="dxa"/>
            <w:tcBorders>
              <w:top w:val="single" w:sz="4" w:space="0" w:color="auto"/>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b/>
                <w:bCs/>
                <w:szCs w:val="20"/>
              </w:rPr>
            </w:pPr>
          </w:p>
        </w:tc>
      </w:tr>
      <w:tr w:rsidR="00A8556D" w:rsidRPr="00D30E4D" w:rsidTr="00A8556D">
        <w:trPr>
          <w:trHeight w:val="255"/>
        </w:trPr>
        <w:tc>
          <w:tcPr>
            <w:tcW w:w="4605" w:type="dxa"/>
            <w:tcBorders>
              <w:top w:val="single" w:sz="4" w:space="0" w:color="auto"/>
              <w:left w:val="single" w:sz="4" w:space="0" w:color="auto"/>
              <w:bottom w:val="single" w:sz="4" w:space="0" w:color="auto"/>
              <w:right w:val="single" w:sz="4" w:space="0" w:color="auto"/>
            </w:tcBorders>
            <w:noWrap/>
            <w:vAlign w:val="bottom"/>
            <w:hideMark/>
          </w:tcPr>
          <w:p w:rsidR="00A8556D" w:rsidRPr="00D30E4D" w:rsidRDefault="00A8556D" w:rsidP="00A8556D">
            <w:pPr>
              <w:ind w:left="-55"/>
              <w:rPr>
                <w:rFonts w:cs="Lucida Sans Unicode"/>
                <w:b/>
                <w:szCs w:val="20"/>
              </w:rPr>
            </w:pPr>
            <w:r w:rsidRPr="00D30E4D">
              <w:rPr>
                <w:rFonts w:cs="Lucida Sans Unicode"/>
                <w:b/>
                <w:szCs w:val="20"/>
              </w:rPr>
              <w:t>= Konzernergebnis</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A8556D" w:rsidRPr="00D30E4D" w:rsidRDefault="00A8556D" w:rsidP="00A8556D">
            <w:pPr>
              <w:jc w:val="right"/>
              <w:rPr>
                <w:rFonts w:cs="Lucida Sans Unicode"/>
                <w:b/>
                <w:bCs/>
                <w:szCs w:val="20"/>
              </w:rPr>
            </w:pPr>
            <w:r>
              <w:rPr>
                <w:rFonts w:cs="Lucida Sans Unicode"/>
                <w:b/>
                <w:bCs/>
                <w:szCs w:val="20"/>
              </w:rPr>
              <w:t>103</w:t>
            </w:r>
          </w:p>
        </w:tc>
        <w:tc>
          <w:tcPr>
            <w:tcW w:w="983" w:type="dxa"/>
            <w:tcBorders>
              <w:top w:val="single" w:sz="4" w:space="0" w:color="auto"/>
              <w:left w:val="single" w:sz="4" w:space="0" w:color="auto"/>
              <w:bottom w:val="single" w:sz="4" w:space="0" w:color="auto"/>
              <w:right w:val="single" w:sz="4" w:space="0" w:color="auto"/>
            </w:tcBorders>
            <w:noWrap/>
            <w:vAlign w:val="bottom"/>
          </w:tcPr>
          <w:p w:rsidR="00A8556D" w:rsidRPr="00D30E4D" w:rsidRDefault="00A8556D" w:rsidP="00A8556D">
            <w:pPr>
              <w:jc w:val="right"/>
              <w:rPr>
                <w:rFonts w:cs="Lucida Sans Unicode"/>
                <w:b/>
                <w:bCs/>
                <w:szCs w:val="20"/>
              </w:rPr>
            </w:pPr>
            <w:r>
              <w:rPr>
                <w:rFonts w:cs="Lucida Sans Unicode"/>
                <w:b/>
                <w:bCs/>
                <w:szCs w:val="20"/>
              </w:rPr>
              <w:t>277</w:t>
            </w:r>
          </w:p>
        </w:tc>
        <w:tc>
          <w:tcPr>
            <w:tcW w:w="984" w:type="dxa"/>
            <w:tcBorders>
              <w:top w:val="single" w:sz="4" w:space="0" w:color="auto"/>
              <w:left w:val="single" w:sz="4" w:space="0" w:color="auto"/>
              <w:bottom w:val="single" w:sz="4" w:space="0" w:color="auto"/>
              <w:right w:val="single" w:sz="4" w:space="0" w:color="auto"/>
            </w:tcBorders>
            <w:noWrap/>
            <w:vAlign w:val="bottom"/>
          </w:tcPr>
          <w:p w:rsidR="00A8556D" w:rsidRPr="00D30E4D" w:rsidRDefault="00CA2756" w:rsidP="00A8556D">
            <w:pPr>
              <w:jc w:val="right"/>
              <w:rPr>
                <w:rFonts w:cs="Lucida Sans Unicode"/>
                <w:b/>
                <w:bCs/>
                <w:szCs w:val="20"/>
              </w:rPr>
            </w:pPr>
            <w:r>
              <w:rPr>
                <w:rFonts w:cs="Lucida Sans Unicode"/>
                <w:b/>
                <w:bCs/>
                <w:szCs w:val="20"/>
              </w:rPr>
              <w:t>-63</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A8556D" w:rsidRPr="00D30E4D" w:rsidRDefault="00A8556D" w:rsidP="00A8556D">
            <w:pPr>
              <w:jc w:val="right"/>
              <w:rPr>
                <w:rFonts w:cs="Lucida Sans Unicode"/>
                <w:b/>
                <w:bCs/>
                <w:szCs w:val="20"/>
              </w:rPr>
            </w:pPr>
            <w:r>
              <w:rPr>
                <w:rFonts w:cs="Lucida Sans Unicode"/>
                <w:b/>
                <w:bCs/>
                <w:szCs w:val="20"/>
              </w:rPr>
              <w:t>2.054</w:t>
            </w:r>
          </w:p>
        </w:tc>
        <w:tc>
          <w:tcPr>
            <w:tcW w:w="937" w:type="dxa"/>
            <w:tcBorders>
              <w:top w:val="single" w:sz="4" w:space="0" w:color="auto"/>
              <w:left w:val="single" w:sz="4" w:space="0" w:color="auto"/>
              <w:bottom w:val="single" w:sz="4" w:space="0" w:color="auto"/>
              <w:right w:val="single" w:sz="4" w:space="0" w:color="auto"/>
            </w:tcBorders>
            <w:noWrap/>
            <w:vAlign w:val="bottom"/>
          </w:tcPr>
          <w:p w:rsidR="00A8556D" w:rsidRPr="00D30E4D" w:rsidRDefault="00A8556D" w:rsidP="00A8556D">
            <w:pPr>
              <w:jc w:val="right"/>
              <w:rPr>
                <w:rFonts w:cs="Lucida Sans Unicode"/>
                <w:b/>
                <w:bCs/>
                <w:szCs w:val="20"/>
              </w:rPr>
            </w:pPr>
            <w:r>
              <w:rPr>
                <w:rFonts w:cs="Lucida Sans Unicode"/>
                <w:b/>
                <w:bCs/>
                <w:szCs w:val="20"/>
              </w:rPr>
              <w:t>1.165</w:t>
            </w:r>
          </w:p>
        </w:tc>
        <w:tc>
          <w:tcPr>
            <w:tcW w:w="984" w:type="dxa"/>
            <w:tcBorders>
              <w:top w:val="single" w:sz="4" w:space="0" w:color="auto"/>
              <w:left w:val="single" w:sz="4" w:space="0" w:color="auto"/>
              <w:bottom w:val="single" w:sz="4" w:space="0" w:color="auto"/>
              <w:right w:val="single" w:sz="4" w:space="0" w:color="auto"/>
            </w:tcBorders>
            <w:noWrap/>
            <w:vAlign w:val="bottom"/>
          </w:tcPr>
          <w:p w:rsidR="00A8556D" w:rsidRPr="00D30E4D" w:rsidRDefault="00A8556D" w:rsidP="00A8556D">
            <w:pPr>
              <w:jc w:val="right"/>
              <w:rPr>
                <w:rFonts w:cs="Lucida Sans Unicode"/>
                <w:b/>
                <w:bCs/>
                <w:szCs w:val="20"/>
              </w:rPr>
            </w:pPr>
            <w:r>
              <w:rPr>
                <w:rFonts w:cs="Lucida Sans Unicode"/>
                <w:b/>
                <w:bCs/>
                <w:szCs w:val="20"/>
              </w:rPr>
              <w:t>76</w:t>
            </w:r>
          </w:p>
        </w:tc>
      </w:tr>
      <w:tr w:rsidR="00A8556D" w:rsidRPr="00D30E4D" w:rsidTr="00A8556D">
        <w:trPr>
          <w:trHeight w:val="255"/>
        </w:trPr>
        <w:tc>
          <w:tcPr>
            <w:tcW w:w="4605" w:type="dxa"/>
            <w:tcBorders>
              <w:top w:val="single" w:sz="4" w:space="0" w:color="auto"/>
              <w:left w:val="single" w:sz="4" w:space="0" w:color="auto"/>
              <w:bottom w:val="single" w:sz="4" w:space="0" w:color="auto"/>
              <w:right w:val="single" w:sz="4" w:space="0" w:color="auto"/>
            </w:tcBorders>
            <w:noWrap/>
            <w:vAlign w:val="bottom"/>
            <w:hideMark/>
          </w:tcPr>
          <w:p w:rsidR="00A8556D" w:rsidRPr="00D30E4D" w:rsidRDefault="00A8556D" w:rsidP="00A8556D">
            <w:pPr>
              <w:ind w:left="-55"/>
              <w:rPr>
                <w:rFonts w:cs="Lucida Sans Unicode"/>
                <w:b/>
                <w:szCs w:val="20"/>
              </w:rPr>
            </w:pPr>
            <w:r w:rsidRPr="00D30E4D">
              <w:rPr>
                <w:rFonts w:cs="Lucida Sans Unicode"/>
                <w:b/>
                <w:szCs w:val="20"/>
              </w:rPr>
              <w:t>Bereinigtes Konzernergebnis</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A8556D" w:rsidRPr="00D30E4D" w:rsidRDefault="00A8556D" w:rsidP="00A8556D">
            <w:pPr>
              <w:jc w:val="right"/>
              <w:rPr>
                <w:rFonts w:cs="Lucida Sans Unicode"/>
                <w:b/>
                <w:bCs/>
                <w:szCs w:val="20"/>
              </w:rPr>
            </w:pPr>
            <w:r>
              <w:rPr>
                <w:rFonts w:cs="Lucida Sans Unicode"/>
                <w:b/>
                <w:bCs/>
                <w:szCs w:val="20"/>
              </w:rPr>
              <w:t>127</w:t>
            </w:r>
          </w:p>
        </w:tc>
        <w:tc>
          <w:tcPr>
            <w:tcW w:w="983" w:type="dxa"/>
            <w:tcBorders>
              <w:top w:val="single" w:sz="4" w:space="0" w:color="auto"/>
              <w:left w:val="single" w:sz="4" w:space="0" w:color="auto"/>
              <w:bottom w:val="single" w:sz="4" w:space="0" w:color="auto"/>
              <w:right w:val="single" w:sz="4" w:space="0" w:color="auto"/>
            </w:tcBorders>
            <w:noWrap/>
            <w:vAlign w:val="bottom"/>
          </w:tcPr>
          <w:p w:rsidR="00A8556D" w:rsidRPr="00D30E4D" w:rsidRDefault="00A8556D" w:rsidP="00A8556D">
            <w:pPr>
              <w:jc w:val="right"/>
              <w:rPr>
                <w:rFonts w:cs="Lucida Sans Unicode"/>
                <w:b/>
                <w:bCs/>
                <w:szCs w:val="20"/>
              </w:rPr>
            </w:pPr>
            <w:r>
              <w:rPr>
                <w:rFonts w:cs="Lucida Sans Unicode"/>
                <w:b/>
                <w:bCs/>
                <w:szCs w:val="20"/>
              </w:rPr>
              <w:t>159</w:t>
            </w:r>
          </w:p>
        </w:tc>
        <w:tc>
          <w:tcPr>
            <w:tcW w:w="984" w:type="dxa"/>
            <w:tcBorders>
              <w:top w:val="single" w:sz="4" w:space="0" w:color="auto"/>
              <w:left w:val="single" w:sz="4" w:space="0" w:color="auto"/>
              <w:bottom w:val="single" w:sz="4" w:space="0" w:color="auto"/>
              <w:right w:val="single" w:sz="4" w:space="0" w:color="auto"/>
            </w:tcBorders>
            <w:noWrap/>
            <w:vAlign w:val="bottom"/>
          </w:tcPr>
          <w:p w:rsidR="00A8556D" w:rsidRPr="00D30E4D" w:rsidRDefault="00CA2756" w:rsidP="00A8556D">
            <w:pPr>
              <w:jc w:val="right"/>
              <w:rPr>
                <w:rFonts w:cs="Lucida Sans Unicode"/>
                <w:b/>
                <w:bCs/>
                <w:szCs w:val="20"/>
              </w:rPr>
            </w:pPr>
            <w:r>
              <w:rPr>
                <w:rFonts w:cs="Lucida Sans Unicode"/>
                <w:b/>
                <w:bCs/>
                <w:szCs w:val="20"/>
              </w:rPr>
              <w:t>-20</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A8556D" w:rsidRPr="00D30E4D" w:rsidRDefault="00A8556D" w:rsidP="00A8556D">
            <w:pPr>
              <w:jc w:val="right"/>
              <w:rPr>
                <w:rFonts w:cs="Lucida Sans Unicode"/>
                <w:b/>
                <w:bCs/>
                <w:szCs w:val="20"/>
              </w:rPr>
            </w:pPr>
            <w:r>
              <w:rPr>
                <w:rFonts w:cs="Lucida Sans Unicode"/>
                <w:b/>
                <w:bCs/>
                <w:szCs w:val="20"/>
              </w:rPr>
              <w:t>830</w:t>
            </w:r>
          </w:p>
        </w:tc>
        <w:tc>
          <w:tcPr>
            <w:tcW w:w="937" w:type="dxa"/>
            <w:tcBorders>
              <w:top w:val="single" w:sz="4" w:space="0" w:color="auto"/>
              <w:left w:val="single" w:sz="4" w:space="0" w:color="auto"/>
              <w:bottom w:val="single" w:sz="4" w:space="0" w:color="auto"/>
              <w:right w:val="single" w:sz="4" w:space="0" w:color="auto"/>
            </w:tcBorders>
            <w:noWrap/>
            <w:vAlign w:val="bottom"/>
          </w:tcPr>
          <w:p w:rsidR="00A8556D" w:rsidRPr="00D30E4D" w:rsidRDefault="00A8556D" w:rsidP="00A8556D">
            <w:pPr>
              <w:jc w:val="right"/>
              <w:rPr>
                <w:rFonts w:cs="Lucida Sans Unicode"/>
                <w:b/>
                <w:bCs/>
                <w:szCs w:val="20"/>
              </w:rPr>
            </w:pPr>
            <w:r>
              <w:rPr>
                <w:rFonts w:cs="Lucida Sans Unicode"/>
                <w:b/>
                <w:bCs/>
                <w:szCs w:val="20"/>
              </w:rPr>
              <w:t>1.076</w:t>
            </w:r>
          </w:p>
        </w:tc>
        <w:tc>
          <w:tcPr>
            <w:tcW w:w="984" w:type="dxa"/>
            <w:tcBorders>
              <w:top w:val="single" w:sz="4" w:space="0" w:color="auto"/>
              <w:left w:val="single" w:sz="4" w:space="0" w:color="auto"/>
              <w:bottom w:val="single" w:sz="4" w:space="0" w:color="auto"/>
              <w:right w:val="single" w:sz="4" w:space="0" w:color="auto"/>
            </w:tcBorders>
            <w:noWrap/>
            <w:vAlign w:val="bottom"/>
          </w:tcPr>
          <w:p w:rsidR="00A8556D" w:rsidRPr="00D30E4D" w:rsidRDefault="00A8556D" w:rsidP="00A8556D">
            <w:pPr>
              <w:jc w:val="right"/>
              <w:rPr>
                <w:rFonts w:cs="Lucida Sans Unicode"/>
                <w:b/>
                <w:bCs/>
                <w:szCs w:val="20"/>
              </w:rPr>
            </w:pPr>
            <w:r>
              <w:rPr>
                <w:rFonts w:cs="Lucida Sans Unicode"/>
                <w:b/>
                <w:bCs/>
                <w:szCs w:val="20"/>
              </w:rPr>
              <w:t>-23</w:t>
            </w:r>
          </w:p>
        </w:tc>
      </w:tr>
    </w:tbl>
    <w:p w:rsidR="00A8556D" w:rsidRPr="00725E7B" w:rsidRDefault="00A8556D" w:rsidP="00A8556D">
      <w:pPr>
        <w:spacing w:after="120"/>
        <w:rPr>
          <w:rFonts w:cs="Lucida Sans Unicode"/>
          <w:bCs/>
          <w:sz w:val="16"/>
          <w:szCs w:val="16"/>
        </w:rPr>
      </w:pPr>
      <w:r w:rsidRPr="00725E7B">
        <w:rPr>
          <w:rFonts w:cs="Lucida Sans Unicode"/>
          <w:bCs/>
          <w:sz w:val="16"/>
          <w:szCs w:val="16"/>
        </w:rPr>
        <w:t>Vorjahreszahlen angepasst</w:t>
      </w:r>
    </w:p>
    <w:p w:rsidR="00A8556D" w:rsidRPr="007351D0" w:rsidRDefault="00A8556D" w:rsidP="00A8556D">
      <w:pPr>
        <w:spacing w:line="100" w:lineRule="exact"/>
        <w:outlineLvl w:val="0"/>
        <w:rPr>
          <w:rFonts w:cs="Lucida Sans Unicode"/>
          <w:b/>
          <w:bCs/>
          <w:sz w:val="20"/>
          <w:szCs w:val="20"/>
        </w:rPr>
      </w:pPr>
    </w:p>
    <w:p w:rsidR="00A8556D" w:rsidRPr="007351D0" w:rsidRDefault="00A8556D" w:rsidP="00A8556D">
      <w:pPr>
        <w:spacing w:line="200" w:lineRule="exact"/>
        <w:rPr>
          <w:rFonts w:cs="Lucida Sans Unicode"/>
          <w:sz w:val="16"/>
          <w:szCs w:val="16"/>
        </w:rPr>
      </w:pPr>
    </w:p>
    <w:p w:rsidR="00A8556D" w:rsidRPr="007351D0" w:rsidRDefault="00A8556D" w:rsidP="00A8556D">
      <w:pPr>
        <w:spacing w:line="300" w:lineRule="exact"/>
        <w:outlineLvl w:val="0"/>
        <w:rPr>
          <w:rFonts w:cs="Lucida Sans Unicode"/>
          <w:b/>
          <w:bCs/>
          <w:sz w:val="20"/>
          <w:szCs w:val="20"/>
        </w:rPr>
      </w:pPr>
      <w:r w:rsidRPr="007351D0">
        <w:rPr>
          <w:rFonts w:cs="Lucida Sans Unicode"/>
          <w:b/>
          <w:bCs/>
          <w:sz w:val="20"/>
          <w:szCs w:val="20"/>
        </w:rPr>
        <w:t>Entwicklung in den Segmenten</w:t>
      </w:r>
    </w:p>
    <w:p w:rsidR="00A8556D" w:rsidRPr="007351D0" w:rsidRDefault="00A8556D" w:rsidP="00A8556D">
      <w:pPr>
        <w:spacing w:line="100" w:lineRule="exact"/>
        <w:outlineLvl w:val="0"/>
        <w:rPr>
          <w:rFonts w:cs="Lucida Sans Unicode"/>
          <w:b/>
          <w:bCs/>
          <w:sz w:val="20"/>
          <w:szCs w:val="20"/>
        </w:rPr>
      </w:pPr>
    </w:p>
    <w:tbl>
      <w:tblPr>
        <w:tblW w:w="10136" w:type="dxa"/>
        <w:tblInd w:w="55" w:type="dxa"/>
        <w:tblCellMar>
          <w:left w:w="70" w:type="dxa"/>
          <w:right w:w="70" w:type="dxa"/>
        </w:tblCellMar>
        <w:tblLook w:val="04A0" w:firstRow="1" w:lastRow="0" w:firstColumn="1" w:lastColumn="0" w:noHBand="0" w:noVBand="1"/>
      </w:tblPr>
      <w:tblGrid>
        <w:gridCol w:w="3134"/>
        <w:gridCol w:w="1214"/>
        <w:gridCol w:w="1229"/>
        <w:gridCol w:w="1125"/>
        <w:gridCol w:w="1114"/>
        <w:gridCol w:w="1198"/>
        <w:gridCol w:w="45"/>
        <w:gridCol w:w="1077"/>
      </w:tblGrid>
      <w:tr w:rsidR="00A8556D" w:rsidRPr="007351D0" w:rsidTr="00A8556D">
        <w:trPr>
          <w:trHeight w:val="271"/>
        </w:trPr>
        <w:tc>
          <w:tcPr>
            <w:tcW w:w="3134" w:type="dxa"/>
            <w:tcBorders>
              <w:top w:val="single" w:sz="4" w:space="0" w:color="auto"/>
              <w:left w:val="single" w:sz="4" w:space="0" w:color="auto"/>
              <w:bottom w:val="nil"/>
              <w:right w:val="single" w:sz="4" w:space="0" w:color="auto"/>
            </w:tcBorders>
            <w:noWrap/>
            <w:vAlign w:val="center"/>
            <w:hideMark/>
          </w:tcPr>
          <w:p w:rsidR="00A8556D" w:rsidRPr="007351D0" w:rsidRDefault="00A8556D" w:rsidP="00A8556D">
            <w:pPr>
              <w:jc w:val="right"/>
              <w:rPr>
                <w:rFonts w:cs="Lucida Sans Unicode"/>
                <w:b/>
                <w:bCs/>
                <w:szCs w:val="20"/>
              </w:rPr>
            </w:pPr>
            <w:r w:rsidRPr="007351D0">
              <w:rPr>
                <w:rFonts w:cs="Lucida Sans Unicode"/>
                <w:b/>
                <w:bCs/>
                <w:szCs w:val="20"/>
              </w:rPr>
              <w:t> </w:t>
            </w:r>
          </w:p>
        </w:tc>
        <w:tc>
          <w:tcPr>
            <w:tcW w:w="3568" w:type="dxa"/>
            <w:gridSpan w:val="3"/>
            <w:tcBorders>
              <w:top w:val="single" w:sz="4" w:space="0" w:color="auto"/>
              <w:left w:val="nil"/>
              <w:bottom w:val="single" w:sz="4" w:space="0" w:color="auto"/>
              <w:right w:val="single" w:sz="4" w:space="0" w:color="000000"/>
            </w:tcBorders>
            <w:noWrap/>
            <w:vAlign w:val="bottom"/>
            <w:hideMark/>
          </w:tcPr>
          <w:p w:rsidR="00A8556D" w:rsidRPr="007351D0" w:rsidRDefault="00A8556D" w:rsidP="00A8556D">
            <w:pPr>
              <w:jc w:val="center"/>
              <w:rPr>
                <w:rFonts w:cs="Lucida Sans Unicode"/>
                <w:b/>
                <w:bCs/>
                <w:szCs w:val="20"/>
              </w:rPr>
            </w:pPr>
            <w:r w:rsidRPr="007351D0">
              <w:rPr>
                <w:rFonts w:cs="Lucida Sans Unicode"/>
                <w:b/>
                <w:bCs/>
                <w:szCs w:val="20"/>
              </w:rPr>
              <w:t>Umsatz</w:t>
            </w:r>
          </w:p>
        </w:tc>
        <w:tc>
          <w:tcPr>
            <w:tcW w:w="3434" w:type="dxa"/>
            <w:gridSpan w:val="4"/>
            <w:tcBorders>
              <w:top w:val="single" w:sz="4" w:space="0" w:color="auto"/>
              <w:left w:val="nil"/>
              <w:bottom w:val="single" w:sz="4" w:space="0" w:color="auto"/>
              <w:right w:val="single" w:sz="4" w:space="0" w:color="auto"/>
            </w:tcBorders>
            <w:noWrap/>
            <w:vAlign w:val="bottom"/>
            <w:hideMark/>
          </w:tcPr>
          <w:p w:rsidR="00A8556D" w:rsidRPr="007351D0" w:rsidRDefault="00A8556D" w:rsidP="00A8556D">
            <w:pPr>
              <w:jc w:val="center"/>
              <w:rPr>
                <w:rFonts w:cs="Lucida Sans Unicode"/>
                <w:b/>
                <w:bCs/>
                <w:szCs w:val="20"/>
              </w:rPr>
            </w:pPr>
            <w:r w:rsidRPr="007351D0">
              <w:rPr>
                <w:rFonts w:cs="Lucida Sans Unicode"/>
                <w:b/>
                <w:bCs/>
                <w:szCs w:val="20"/>
              </w:rPr>
              <w:t>Bereinigtes EBITDA</w:t>
            </w:r>
          </w:p>
        </w:tc>
      </w:tr>
      <w:tr w:rsidR="00A8556D" w:rsidRPr="007351D0" w:rsidTr="00A8556D">
        <w:trPr>
          <w:trHeight w:val="255"/>
        </w:trPr>
        <w:tc>
          <w:tcPr>
            <w:tcW w:w="3134" w:type="dxa"/>
            <w:tcBorders>
              <w:top w:val="nil"/>
              <w:left w:val="single" w:sz="4" w:space="0" w:color="auto"/>
              <w:bottom w:val="nil"/>
              <w:right w:val="single" w:sz="4" w:space="0" w:color="auto"/>
            </w:tcBorders>
            <w:noWrap/>
            <w:vAlign w:val="center"/>
          </w:tcPr>
          <w:p w:rsidR="00A8556D" w:rsidRPr="007351D0" w:rsidRDefault="00A8556D" w:rsidP="00A8556D">
            <w:pPr>
              <w:rPr>
                <w:rFonts w:cs="Lucida Sans Unicode"/>
                <w:b/>
                <w:bCs/>
                <w:szCs w:val="20"/>
              </w:rPr>
            </w:pPr>
          </w:p>
        </w:tc>
        <w:tc>
          <w:tcPr>
            <w:tcW w:w="1214" w:type="dxa"/>
            <w:tcBorders>
              <w:top w:val="single" w:sz="4" w:space="0" w:color="auto"/>
              <w:left w:val="nil"/>
              <w:bottom w:val="nil"/>
              <w:right w:val="single" w:sz="4" w:space="0" w:color="auto"/>
            </w:tcBorders>
            <w:shd w:val="clear" w:color="auto" w:fill="C0C0C0"/>
            <w:noWrap/>
            <w:vAlign w:val="bottom"/>
            <w:hideMark/>
          </w:tcPr>
          <w:p w:rsidR="00A8556D" w:rsidRPr="007351D0" w:rsidRDefault="00A8556D" w:rsidP="00A8556D">
            <w:pPr>
              <w:jc w:val="center"/>
              <w:rPr>
                <w:rFonts w:cs="Lucida Sans Unicode"/>
                <w:b/>
                <w:bCs/>
                <w:spacing w:val="-6"/>
                <w:szCs w:val="20"/>
              </w:rPr>
            </w:pPr>
            <w:r>
              <w:rPr>
                <w:rFonts w:cs="Lucida Sans Unicode"/>
                <w:b/>
                <w:bCs/>
                <w:spacing w:val="-6"/>
                <w:szCs w:val="20"/>
              </w:rPr>
              <w:t>Q4</w:t>
            </w:r>
            <w:r w:rsidRPr="007351D0">
              <w:rPr>
                <w:rFonts w:cs="Lucida Sans Unicode"/>
                <w:b/>
                <w:bCs/>
                <w:spacing w:val="-6"/>
                <w:szCs w:val="20"/>
              </w:rPr>
              <w:t>/2013</w:t>
            </w:r>
          </w:p>
        </w:tc>
        <w:tc>
          <w:tcPr>
            <w:tcW w:w="1229" w:type="dxa"/>
            <w:tcBorders>
              <w:top w:val="single" w:sz="4" w:space="0" w:color="auto"/>
              <w:left w:val="single" w:sz="4" w:space="0" w:color="auto"/>
              <w:bottom w:val="nil"/>
              <w:right w:val="single" w:sz="4" w:space="0" w:color="auto"/>
            </w:tcBorders>
            <w:noWrap/>
            <w:vAlign w:val="bottom"/>
            <w:hideMark/>
          </w:tcPr>
          <w:p w:rsidR="00A8556D" w:rsidRPr="007351D0" w:rsidRDefault="00A8556D" w:rsidP="00A8556D">
            <w:pPr>
              <w:jc w:val="center"/>
              <w:rPr>
                <w:rFonts w:cs="Lucida Sans Unicode"/>
                <w:b/>
                <w:bCs/>
                <w:spacing w:val="-6"/>
                <w:szCs w:val="20"/>
              </w:rPr>
            </w:pPr>
            <w:r w:rsidRPr="007351D0">
              <w:rPr>
                <w:rFonts w:cs="Lucida Sans Unicode"/>
                <w:b/>
                <w:bCs/>
                <w:spacing w:val="-6"/>
                <w:szCs w:val="20"/>
              </w:rPr>
              <w:t>Q</w:t>
            </w:r>
            <w:r>
              <w:rPr>
                <w:rFonts w:cs="Lucida Sans Unicode"/>
                <w:b/>
                <w:bCs/>
                <w:spacing w:val="-6"/>
                <w:szCs w:val="20"/>
              </w:rPr>
              <w:t>4</w:t>
            </w:r>
            <w:r w:rsidRPr="007351D0">
              <w:rPr>
                <w:rFonts w:cs="Lucida Sans Unicode"/>
                <w:b/>
                <w:bCs/>
                <w:spacing w:val="-6"/>
                <w:szCs w:val="20"/>
              </w:rPr>
              <w:t>/2012</w:t>
            </w:r>
          </w:p>
        </w:tc>
        <w:tc>
          <w:tcPr>
            <w:tcW w:w="1125" w:type="dxa"/>
            <w:tcBorders>
              <w:top w:val="single" w:sz="4" w:space="0" w:color="auto"/>
              <w:left w:val="single" w:sz="4" w:space="0" w:color="auto"/>
              <w:bottom w:val="nil"/>
              <w:right w:val="single" w:sz="4" w:space="0" w:color="auto"/>
            </w:tcBorders>
            <w:noWrap/>
            <w:vAlign w:val="bottom"/>
            <w:hideMark/>
          </w:tcPr>
          <w:p w:rsidR="00A8556D" w:rsidRPr="007351D0" w:rsidRDefault="00A8556D" w:rsidP="00A8556D">
            <w:pPr>
              <w:jc w:val="center"/>
              <w:rPr>
                <w:rFonts w:cs="Lucida Sans Unicode"/>
                <w:b/>
                <w:bCs/>
                <w:spacing w:val="-6"/>
                <w:szCs w:val="20"/>
              </w:rPr>
            </w:pPr>
            <w:r w:rsidRPr="007351D0">
              <w:rPr>
                <w:rFonts w:cs="Lucida Sans Unicode"/>
                <w:b/>
                <w:bCs/>
                <w:spacing w:val="-6"/>
                <w:szCs w:val="20"/>
              </w:rPr>
              <w:t>Veränd.</w:t>
            </w:r>
          </w:p>
        </w:tc>
        <w:tc>
          <w:tcPr>
            <w:tcW w:w="1114" w:type="dxa"/>
            <w:tcBorders>
              <w:top w:val="single" w:sz="4" w:space="0" w:color="auto"/>
              <w:left w:val="nil"/>
              <w:bottom w:val="nil"/>
              <w:right w:val="single" w:sz="4" w:space="0" w:color="auto"/>
            </w:tcBorders>
            <w:shd w:val="clear" w:color="auto" w:fill="C0C0C0"/>
            <w:noWrap/>
            <w:vAlign w:val="bottom"/>
            <w:hideMark/>
          </w:tcPr>
          <w:p w:rsidR="00A8556D" w:rsidRPr="007351D0" w:rsidRDefault="00A8556D" w:rsidP="00A8556D">
            <w:pPr>
              <w:jc w:val="center"/>
              <w:rPr>
                <w:rFonts w:cs="Lucida Sans Unicode"/>
                <w:b/>
                <w:bCs/>
                <w:spacing w:val="-6"/>
                <w:szCs w:val="20"/>
              </w:rPr>
            </w:pPr>
            <w:r>
              <w:rPr>
                <w:rFonts w:cs="Lucida Sans Unicode"/>
                <w:b/>
                <w:bCs/>
                <w:spacing w:val="-6"/>
                <w:szCs w:val="20"/>
              </w:rPr>
              <w:t>Q4</w:t>
            </w:r>
            <w:r w:rsidRPr="007351D0">
              <w:rPr>
                <w:rFonts w:cs="Lucida Sans Unicode"/>
                <w:b/>
                <w:bCs/>
                <w:spacing w:val="-6"/>
                <w:szCs w:val="20"/>
              </w:rPr>
              <w:t>/2013</w:t>
            </w:r>
          </w:p>
        </w:tc>
        <w:tc>
          <w:tcPr>
            <w:tcW w:w="1243" w:type="dxa"/>
            <w:gridSpan w:val="2"/>
            <w:tcBorders>
              <w:top w:val="single" w:sz="4" w:space="0" w:color="auto"/>
              <w:left w:val="single" w:sz="4" w:space="0" w:color="auto"/>
              <w:bottom w:val="nil"/>
              <w:right w:val="single" w:sz="4" w:space="0" w:color="auto"/>
            </w:tcBorders>
            <w:noWrap/>
            <w:vAlign w:val="bottom"/>
            <w:hideMark/>
          </w:tcPr>
          <w:p w:rsidR="00A8556D" w:rsidRPr="007351D0" w:rsidRDefault="00A8556D" w:rsidP="00511560">
            <w:pPr>
              <w:jc w:val="center"/>
              <w:rPr>
                <w:rFonts w:cs="Lucida Sans Unicode"/>
                <w:b/>
                <w:bCs/>
                <w:spacing w:val="-6"/>
                <w:szCs w:val="20"/>
              </w:rPr>
            </w:pPr>
            <w:r>
              <w:rPr>
                <w:rFonts w:cs="Lucida Sans Unicode"/>
                <w:b/>
                <w:bCs/>
                <w:spacing w:val="-6"/>
                <w:szCs w:val="20"/>
              </w:rPr>
              <w:t>Q4</w:t>
            </w:r>
            <w:r w:rsidRPr="007351D0">
              <w:rPr>
                <w:rFonts w:cs="Lucida Sans Unicode"/>
                <w:b/>
                <w:bCs/>
                <w:spacing w:val="-6"/>
                <w:szCs w:val="20"/>
              </w:rPr>
              <w:t>/201</w:t>
            </w:r>
            <w:r w:rsidR="00511560">
              <w:rPr>
                <w:rFonts w:cs="Lucida Sans Unicode"/>
                <w:b/>
                <w:bCs/>
                <w:spacing w:val="-6"/>
                <w:szCs w:val="20"/>
              </w:rPr>
              <w:t>2</w:t>
            </w:r>
          </w:p>
        </w:tc>
        <w:tc>
          <w:tcPr>
            <w:tcW w:w="1077" w:type="dxa"/>
            <w:tcBorders>
              <w:top w:val="single" w:sz="4" w:space="0" w:color="auto"/>
              <w:left w:val="single" w:sz="4" w:space="0" w:color="auto"/>
              <w:bottom w:val="nil"/>
              <w:right w:val="single" w:sz="4" w:space="0" w:color="auto"/>
            </w:tcBorders>
            <w:noWrap/>
            <w:vAlign w:val="bottom"/>
            <w:hideMark/>
          </w:tcPr>
          <w:p w:rsidR="00A8556D" w:rsidRPr="007351D0" w:rsidRDefault="00A8556D" w:rsidP="00A8556D">
            <w:pPr>
              <w:jc w:val="center"/>
              <w:rPr>
                <w:rFonts w:cs="Lucida Sans Unicode"/>
                <w:b/>
                <w:bCs/>
                <w:spacing w:val="-6"/>
                <w:szCs w:val="20"/>
              </w:rPr>
            </w:pPr>
            <w:r w:rsidRPr="007351D0">
              <w:rPr>
                <w:rFonts w:cs="Lucida Sans Unicode"/>
                <w:b/>
                <w:bCs/>
                <w:spacing w:val="-6"/>
                <w:szCs w:val="20"/>
              </w:rPr>
              <w:t>Veränd.</w:t>
            </w:r>
          </w:p>
        </w:tc>
      </w:tr>
      <w:tr w:rsidR="00A8556D" w:rsidRPr="007351D0" w:rsidTr="00A8556D">
        <w:trPr>
          <w:trHeight w:val="255"/>
        </w:trPr>
        <w:tc>
          <w:tcPr>
            <w:tcW w:w="3134" w:type="dxa"/>
            <w:tcBorders>
              <w:top w:val="nil"/>
              <w:left w:val="single" w:sz="4" w:space="0" w:color="auto"/>
              <w:bottom w:val="single" w:sz="4" w:space="0" w:color="auto"/>
              <w:right w:val="single" w:sz="4" w:space="0" w:color="auto"/>
            </w:tcBorders>
            <w:noWrap/>
            <w:vAlign w:val="center"/>
            <w:hideMark/>
          </w:tcPr>
          <w:p w:rsidR="00A8556D" w:rsidRPr="007351D0" w:rsidRDefault="00A8556D" w:rsidP="00A8556D">
            <w:pPr>
              <w:rPr>
                <w:rFonts w:cs="Lucida Sans Unicode"/>
                <w:b/>
                <w:bCs/>
                <w:szCs w:val="20"/>
              </w:rPr>
            </w:pPr>
            <w:r w:rsidRPr="007351D0">
              <w:rPr>
                <w:rFonts w:cs="Lucida Sans Unicode"/>
                <w:b/>
                <w:bCs/>
                <w:szCs w:val="20"/>
              </w:rPr>
              <w:t> </w:t>
            </w:r>
          </w:p>
        </w:tc>
        <w:tc>
          <w:tcPr>
            <w:tcW w:w="1214" w:type="dxa"/>
            <w:tcBorders>
              <w:top w:val="nil"/>
              <w:left w:val="nil"/>
              <w:bottom w:val="single" w:sz="4" w:space="0" w:color="auto"/>
              <w:right w:val="single" w:sz="4" w:space="0" w:color="auto"/>
            </w:tcBorders>
            <w:shd w:val="clear" w:color="auto" w:fill="C0C0C0"/>
            <w:vAlign w:val="center"/>
            <w:hideMark/>
          </w:tcPr>
          <w:p w:rsidR="00A8556D" w:rsidRPr="007351D0" w:rsidRDefault="00A8556D" w:rsidP="00A8556D">
            <w:pPr>
              <w:jc w:val="center"/>
              <w:rPr>
                <w:rFonts w:cs="Lucida Sans Unicode"/>
                <w:b/>
                <w:bCs/>
                <w:spacing w:val="-6"/>
                <w:szCs w:val="20"/>
              </w:rPr>
            </w:pPr>
            <w:r w:rsidRPr="007351D0">
              <w:rPr>
                <w:rFonts w:cs="Lucida Sans Unicode"/>
                <w:b/>
                <w:bCs/>
                <w:spacing w:val="-6"/>
                <w:szCs w:val="20"/>
              </w:rPr>
              <w:t>Mio. Euro</w:t>
            </w:r>
          </w:p>
        </w:tc>
        <w:tc>
          <w:tcPr>
            <w:tcW w:w="1229" w:type="dxa"/>
            <w:tcBorders>
              <w:top w:val="nil"/>
              <w:left w:val="single" w:sz="4" w:space="0" w:color="auto"/>
              <w:bottom w:val="single" w:sz="4" w:space="0" w:color="auto"/>
              <w:right w:val="single" w:sz="4" w:space="0" w:color="auto"/>
            </w:tcBorders>
            <w:vAlign w:val="center"/>
            <w:hideMark/>
          </w:tcPr>
          <w:p w:rsidR="00A8556D" w:rsidRPr="007351D0" w:rsidRDefault="00A8556D" w:rsidP="00A8556D">
            <w:pPr>
              <w:jc w:val="center"/>
              <w:rPr>
                <w:rFonts w:cs="Lucida Sans Unicode"/>
                <w:b/>
                <w:bCs/>
                <w:spacing w:val="-6"/>
                <w:szCs w:val="20"/>
              </w:rPr>
            </w:pPr>
            <w:r w:rsidRPr="007351D0">
              <w:rPr>
                <w:rFonts w:cs="Lucida Sans Unicode"/>
                <w:b/>
                <w:bCs/>
                <w:spacing w:val="-6"/>
                <w:szCs w:val="20"/>
              </w:rPr>
              <w:t>Mio. Euro</w:t>
            </w:r>
          </w:p>
        </w:tc>
        <w:tc>
          <w:tcPr>
            <w:tcW w:w="1125" w:type="dxa"/>
            <w:tcBorders>
              <w:top w:val="nil"/>
              <w:left w:val="single" w:sz="4" w:space="0" w:color="auto"/>
              <w:bottom w:val="single" w:sz="4" w:space="0" w:color="auto"/>
              <w:right w:val="single" w:sz="4" w:space="0" w:color="auto"/>
            </w:tcBorders>
            <w:vAlign w:val="center"/>
            <w:hideMark/>
          </w:tcPr>
          <w:p w:rsidR="00A8556D" w:rsidRPr="007351D0" w:rsidRDefault="00A8556D" w:rsidP="00A8556D">
            <w:pPr>
              <w:jc w:val="center"/>
              <w:rPr>
                <w:rFonts w:cs="Lucida Sans Unicode"/>
                <w:b/>
                <w:bCs/>
                <w:spacing w:val="-6"/>
                <w:szCs w:val="20"/>
              </w:rPr>
            </w:pPr>
            <w:r w:rsidRPr="007351D0">
              <w:rPr>
                <w:rFonts w:cs="Lucida Sans Unicode"/>
                <w:b/>
                <w:bCs/>
                <w:spacing w:val="-6"/>
                <w:szCs w:val="20"/>
              </w:rPr>
              <w:t>in %</w:t>
            </w:r>
          </w:p>
        </w:tc>
        <w:tc>
          <w:tcPr>
            <w:tcW w:w="1114" w:type="dxa"/>
            <w:tcBorders>
              <w:top w:val="nil"/>
              <w:left w:val="nil"/>
              <w:bottom w:val="single" w:sz="4" w:space="0" w:color="auto"/>
              <w:right w:val="single" w:sz="4" w:space="0" w:color="auto"/>
            </w:tcBorders>
            <w:shd w:val="clear" w:color="auto" w:fill="C0C0C0"/>
            <w:vAlign w:val="center"/>
            <w:hideMark/>
          </w:tcPr>
          <w:p w:rsidR="00A8556D" w:rsidRPr="007351D0" w:rsidRDefault="00A8556D" w:rsidP="00A8556D">
            <w:pPr>
              <w:jc w:val="center"/>
              <w:rPr>
                <w:rFonts w:cs="Lucida Sans Unicode"/>
                <w:b/>
                <w:bCs/>
                <w:spacing w:val="-6"/>
                <w:szCs w:val="20"/>
              </w:rPr>
            </w:pPr>
            <w:r w:rsidRPr="007351D0">
              <w:rPr>
                <w:rFonts w:cs="Lucida Sans Unicode"/>
                <w:b/>
                <w:bCs/>
                <w:spacing w:val="-6"/>
                <w:szCs w:val="20"/>
              </w:rPr>
              <w:t>Mio. Euro</w:t>
            </w:r>
          </w:p>
        </w:tc>
        <w:tc>
          <w:tcPr>
            <w:tcW w:w="1243" w:type="dxa"/>
            <w:gridSpan w:val="2"/>
            <w:tcBorders>
              <w:top w:val="nil"/>
              <w:left w:val="single" w:sz="4" w:space="0" w:color="auto"/>
              <w:bottom w:val="single" w:sz="4" w:space="0" w:color="auto"/>
              <w:right w:val="single" w:sz="4" w:space="0" w:color="auto"/>
            </w:tcBorders>
            <w:vAlign w:val="center"/>
            <w:hideMark/>
          </w:tcPr>
          <w:p w:rsidR="00A8556D" w:rsidRPr="007351D0" w:rsidRDefault="00A8556D" w:rsidP="00A8556D">
            <w:pPr>
              <w:jc w:val="center"/>
              <w:rPr>
                <w:rFonts w:cs="Lucida Sans Unicode"/>
                <w:b/>
                <w:bCs/>
                <w:spacing w:val="-6"/>
                <w:szCs w:val="20"/>
              </w:rPr>
            </w:pPr>
            <w:r w:rsidRPr="007351D0">
              <w:rPr>
                <w:rFonts w:cs="Lucida Sans Unicode"/>
                <w:b/>
                <w:bCs/>
                <w:spacing w:val="-6"/>
                <w:szCs w:val="20"/>
              </w:rPr>
              <w:t>Mio. Euro</w:t>
            </w:r>
          </w:p>
        </w:tc>
        <w:tc>
          <w:tcPr>
            <w:tcW w:w="1077" w:type="dxa"/>
            <w:tcBorders>
              <w:top w:val="nil"/>
              <w:left w:val="single" w:sz="4" w:space="0" w:color="auto"/>
              <w:bottom w:val="single" w:sz="4" w:space="0" w:color="auto"/>
              <w:right w:val="single" w:sz="4" w:space="0" w:color="auto"/>
            </w:tcBorders>
            <w:vAlign w:val="center"/>
            <w:hideMark/>
          </w:tcPr>
          <w:p w:rsidR="00A8556D" w:rsidRPr="007351D0" w:rsidRDefault="00A8556D" w:rsidP="00A8556D">
            <w:pPr>
              <w:jc w:val="center"/>
              <w:rPr>
                <w:rFonts w:cs="Lucida Sans Unicode"/>
                <w:b/>
                <w:bCs/>
                <w:spacing w:val="-6"/>
                <w:szCs w:val="20"/>
              </w:rPr>
            </w:pPr>
            <w:r w:rsidRPr="007351D0">
              <w:rPr>
                <w:rFonts w:cs="Lucida Sans Unicode"/>
                <w:b/>
                <w:bCs/>
                <w:spacing w:val="-6"/>
                <w:szCs w:val="20"/>
              </w:rPr>
              <w:t>in %</w:t>
            </w:r>
          </w:p>
        </w:tc>
      </w:tr>
      <w:tr w:rsidR="00A8556D" w:rsidRPr="007351D0" w:rsidTr="00A8556D">
        <w:trPr>
          <w:trHeight w:val="300"/>
        </w:trPr>
        <w:tc>
          <w:tcPr>
            <w:tcW w:w="3134" w:type="dxa"/>
            <w:tcBorders>
              <w:top w:val="single" w:sz="4" w:space="0" w:color="auto"/>
              <w:left w:val="single" w:sz="4" w:space="0" w:color="auto"/>
              <w:bottom w:val="single" w:sz="4" w:space="0" w:color="auto"/>
              <w:right w:val="single" w:sz="4" w:space="0" w:color="auto"/>
            </w:tcBorders>
            <w:noWrap/>
            <w:vAlign w:val="center"/>
            <w:hideMark/>
          </w:tcPr>
          <w:p w:rsidR="00A8556D" w:rsidRPr="007351D0" w:rsidRDefault="00A8556D" w:rsidP="00A8556D">
            <w:pPr>
              <w:rPr>
                <w:rFonts w:cs="Lucida Sans Unicode"/>
                <w:szCs w:val="20"/>
              </w:rPr>
            </w:pPr>
            <w:r w:rsidRPr="007351D0">
              <w:rPr>
                <w:rFonts w:cs="Lucida Sans Unicode"/>
                <w:szCs w:val="20"/>
              </w:rPr>
              <w:t>Consumer, Health &amp; Nutrition</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A8556D" w:rsidRPr="007351D0" w:rsidRDefault="00A8556D" w:rsidP="00A8556D">
            <w:pPr>
              <w:jc w:val="right"/>
              <w:rPr>
                <w:rFonts w:cs="Lucida Sans Unicode"/>
                <w:szCs w:val="20"/>
              </w:rPr>
            </w:pPr>
            <w:r>
              <w:rPr>
                <w:rFonts w:cs="Lucida Sans Unicode"/>
                <w:szCs w:val="20"/>
              </w:rPr>
              <w:t>1.072</w:t>
            </w:r>
          </w:p>
        </w:tc>
        <w:tc>
          <w:tcPr>
            <w:tcW w:w="1229" w:type="dxa"/>
            <w:tcBorders>
              <w:top w:val="single" w:sz="4" w:space="0" w:color="auto"/>
              <w:left w:val="single" w:sz="4" w:space="0" w:color="auto"/>
              <w:bottom w:val="single" w:sz="4" w:space="0" w:color="auto"/>
              <w:right w:val="single" w:sz="4" w:space="0" w:color="auto"/>
            </w:tcBorders>
            <w:noWrap/>
            <w:vAlign w:val="center"/>
          </w:tcPr>
          <w:p w:rsidR="00A8556D" w:rsidRPr="007351D0" w:rsidRDefault="00A8556D" w:rsidP="00A8556D">
            <w:pPr>
              <w:jc w:val="right"/>
              <w:rPr>
                <w:rFonts w:cs="Lucida Sans Unicode"/>
                <w:szCs w:val="20"/>
              </w:rPr>
            </w:pPr>
            <w:r>
              <w:rPr>
                <w:rFonts w:cs="Lucida Sans Unicode"/>
                <w:szCs w:val="20"/>
              </w:rPr>
              <w:t>1.039</w:t>
            </w:r>
          </w:p>
        </w:tc>
        <w:tc>
          <w:tcPr>
            <w:tcW w:w="1125" w:type="dxa"/>
            <w:tcBorders>
              <w:top w:val="nil"/>
              <w:left w:val="single" w:sz="4" w:space="0" w:color="auto"/>
              <w:bottom w:val="single" w:sz="4" w:space="0" w:color="auto"/>
              <w:right w:val="single" w:sz="4" w:space="0" w:color="auto"/>
            </w:tcBorders>
            <w:noWrap/>
            <w:vAlign w:val="bottom"/>
          </w:tcPr>
          <w:p w:rsidR="00A8556D" w:rsidRPr="007351D0" w:rsidRDefault="00CF6A1E" w:rsidP="00A8556D">
            <w:pPr>
              <w:jc w:val="right"/>
              <w:rPr>
                <w:rFonts w:cs="Lucida Sans Unicode"/>
                <w:szCs w:val="20"/>
              </w:rPr>
            </w:pPr>
            <w:r>
              <w:rPr>
                <w:rFonts w:cs="Lucida Sans Unicode"/>
                <w:szCs w:val="20"/>
              </w:rPr>
              <w:t>3</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A8556D" w:rsidRPr="007351D0" w:rsidRDefault="00A8556D" w:rsidP="00A8556D">
            <w:pPr>
              <w:jc w:val="right"/>
              <w:rPr>
                <w:rFonts w:cs="Lucida Sans Unicode"/>
                <w:szCs w:val="20"/>
              </w:rPr>
            </w:pPr>
            <w:r>
              <w:rPr>
                <w:rFonts w:cs="Lucida Sans Unicode"/>
                <w:szCs w:val="20"/>
              </w:rPr>
              <w:t>204</w:t>
            </w:r>
          </w:p>
        </w:tc>
        <w:tc>
          <w:tcPr>
            <w:tcW w:w="1243" w:type="dxa"/>
            <w:gridSpan w:val="2"/>
            <w:tcBorders>
              <w:top w:val="single" w:sz="4" w:space="0" w:color="auto"/>
              <w:left w:val="single" w:sz="4" w:space="0" w:color="auto"/>
              <w:bottom w:val="single" w:sz="4" w:space="0" w:color="auto"/>
              <w:right w:val="single" w:sz="4" w:space="0" w:color="auto"/>
            </w:tcBorders>
            <w:noWrap/>
            <w:vAlign w:val="center"/>
          </w:tcPr>
          <w:p w:rsidR="00A8556D" w:rsidRPr="007351D0" w:rsidRDefault="00A8556D" w:rsidP="00A8556D">
            <w:pPr>
              <w:jc w:val="right"/>
              <w:rPr>
                <w:rFonts w:cs="Lucida Sans Unicode"/>
                <w:szCs w:val="20"/>
              </w:rPr>
            </w:pPr>
            <w:r>
              <w:rPr>
                <w:rFonts w:cs="Lucida Sans Unicode"/>
                <w:szCs w:val="20"/>
              </w:rPr>
              <w:t>229</w:t>
            </w:r>
          </w:p>
        </w:tc>
        <w:tc>
          <w:tcPr>
            <w:tcW w:w="1077" w:type="dxa"/>
            <w:tcBorders>
              <w:top w:val="nil"/>
              <w:left w:val="single" w:sz="4" w:space="0" w:color="auto"/>
              <w:bottom w:val="single" w:sz="4" w:space="0" w:color="auto"/>
              <w:right w:val="single" w:sz="4" w:space="0" w:color="auto"/>
            </w:tcBorders>
            <w:noWrap/>
            <w:vAlign w:val="bottom"/>
          </w:tcPr>
          <w:p w:rsidR="00A8556D" w:rsidRPr="007351D0" w:rsidRDefault="009F4752" w:rsidP="00A8556D">
            <w:pPr>
              <w:jc w:val="right"/>
              <w:rPr>
                <w:rFonts w:cs="Lucida Sans Unicode"/>
                <w:szCs w:val="20"/>
              </w:rPr>
            </w:pPr>
            <w:r>
              <w:rPr>
                <w:rFonts w:cs="Lucida Sans Unicode"/>
                <w:szCs w:val="20"/>
              </w:rPr>
              <w:t>-11</w:t>
            </w:r>
          </w:p>
        </w:tc>
      </w:tr>
      <w:tr w:rsidR="00A8556D" w:rsidRPr="007351D0" w:rsidTr="00A8556D">
        <w:trPr>
          <w:trHeight w:val="300"/>
        </w:trPr>
        <w:tc>
          <w:tcPr>
            <w:tcW w:w="3134" w:type="dxa"/>
            <w:tcBorders>
              <w:top w:val="nil"/>
              <w:left w:val="single" w:sz="4" w:space="0" w:color="auto"/>
              <w:bottom w:val="single" w:sz="4" w:space="0" w:color="auto"/>
              <w:right w:val="single" w:sz="4" w:space="0" w:color="auto"/>
            </w:tcBorders>
            <w:noWrap/>
            <w:vAlign w:val="center"/>
            <w:hideMark/>
          </w:tcPr>
          <w:p w:rsidR="00A8556D" w:rsidRPr="007351D0" w:rsidRDefault="00A8556D" w:rsidP="00A8556D">
            <w:pPr>
              <w:rPr>
                <w:rFonts w:cs="Lucida Sans Unicode"/>
                <w:szCs w:val="20"/>
              </w:rPr>
            </w:pPr>
            <w:r w:rsidRPr="007351D0">
              <w:rPr>
                <w:rFonts w:cs="Lucida Sans Unicode"/>
                <w:szCs w:val="20"/>
              </w:rPr>
              <w:t>Resource Efficiency</w:t>
            </w:r>
          </w:p>
        </w:tc>
        <w:tc>
          <w:tcPr>
            <w:tcW w:w="1214" w:type="dxa"/>
            <w:tcBorders>
              <w:top w:val="nil"/>
              <w:left w:val="nil"/>
              <w:bottom w:val="single" w:sz="4" w:space="0" w:color="auto"/>
              <w:right w:val="single" w:sz="4" w:space="0" w:color="auto"/>
            </w:tcBorders>
            <w:shd w:val="clear" w:color="auto" w:fill="C0C0C0"/>
            <w:noWrap/>
            <w:vAlign w:val="center"/>
          </w:tcPr>
          <w:p w:rsidR="00A8556D" w:rsidRPr="007351D0" w:rsidRDefault="00A8556D" w:rsidP="00A8556D">
            <w:pPr>
              <w:jc w:val="right"/>
              <w:rPr>
                <w:rFonts w:cs="Lucida Sans Unicode"/>
                <w:szCs w:val="20"/>
              </w:rPr>
            </w:pPr>
            <w:r>
              <w:rPr>
                <w:rFonts w:cs="Lucida Sans Unicode"/>
                <w:szCs w:val="20"/>
              </w:rPr>
              <w:t>717</w:t>
            </w:r>
          </w:p>
        </w:tc>
        <w:tc>
          <w:tcPr>
            <w:tcW w:w="1229" w:type="dxa"/>
            <w:tcBorders>
              <w:top w:val="nil"/>
              <w:left w:val="single" w:sz="4" w:space="0" w:color="auto"/>
              <w:bottom w:val="single" w:sz="4" w:space="0" w:color="auto"/>
              <w:right w:val="single" w:sz="4" w:space="0" w:color="auto"/>
            </w:tcBorders>
            <w:noWrap/>
            <w:vAlign w:val="center"/>
          </w:tcPr>
          <w:p w:rsidR="00A8556D" w:rsidRPr="007351D0" w:rsidRDefault="00A8556D" w:rsidP="00A8556D">
            <w:pPr>
              <w:jc w:val="right"/>
              <w:rPr>
                <w:rFonts w:cs="Lucida Sans Unicode"/>
                <w:szCs w:val="20"/>
              </w:rPr>
            </w:pPr>
            <w:r>
              <w:rPr>
                <w:rFonts w:cs="Lucida Sans Unicode"/>
                <w:szCs w:val="20"/>
              </w:rPr>
              <w:t>692</w:t>
            </w:r>
          </w:p>
        </w:tc>
        <w:tc>
          <w:tcPr>
            <w:tcW w:w="1125" w:type="dxa"/>
            <w:tcBorders>
              <w:top w:val="nil"/>
              <w:left w:val="single" w:sz="4" w:space="0" w:color="auto"/>
              <w:bottom w:val="single" w:sz="4" w:space="0" w:color="auto"/>
              <w:right w:val="single" w:sz="4" w:space="0" w:color="auto"/>
            </w:tcBorders>
            <w:noWrap/>
            <w:vAlign w:val="bottom"/>
          </w:tcPr>
          <w:p w:rsidR="00A8556D" w:rsidRPr="007351D0" w:rsidRDefault="00CF6A1E" w:rsidP="00A8556D">
            <w:pPr>
              <w:jc w:val="right"/>
              <w:rPr>
                <w:rFonts w:cs="Lucida Sans Unicode"/>
                <w:szCs w:val="20"/>
              </w:rPr>
            </w:pPr>
            <w:r>
              <w:rPr>
                <w:rFonts w:cs="Lucida Sans Unicode"/>
                <w:szCs w:val="20"/>
              </w:rPr>
              <w:t>4</w:t>
            </w:r>
          </w:p>
        </w:tc>
        <w:tc>
          <w:tcPr>
            <w:tcW w:w="1114" w:type="dxa"/>
            <w:tcBorders>
              <w:top w:val="nil"/>
              <w:left w:val="nil"/>
              <w:bottom w:val="single" w:sz="4" w:space="0" w:color="auto"/>
              <w:right w:val="single" w:sz="4" w:space="0" w:color="auto"/>
            </w:tcBorders>
            <w:shd w:val="clear" w:color="auto" w:fill="C0C0C0"/>
            <w:noWrap/>
            <w:vAlign w:val="center"/>
          </w:tcPr>
          <w:p w:rsidR="00A8556D" w:rsidRPr="007351D0" w:rsidRDefault="00A8556D" w:rsidP="00A8556D">
            <w:pPr>
              <w:jc w:val="right"/>
              <w:rPr>
                <w:rFonts w:cs="Lucida Sans Unicode"/>
                <w:szCs w:val="20"/>
              </w:rPr>
            </w:pPr>
            <w:r>
              <w:rPr>
                <w:rFonts w:cs="Lucida Sans Unicode"/>
                <w:szCs w:val="20"/>
              </w:rPr>
              <w:t>140</w:t>
            </w:r>
          </w:p>
        </w:tc>
        <w:tc>
          <w:tcPr>
            <w:tcW w:w="1243" w:type="dxa"/>
            <w:gridSpan w:val="2"/>
            <w:tcBorders>
              <w:top w:val="nil"/>
              <w:left w:val="single" w:sz="4" w:space="0" w:color="auto"/>
              <w:bottom w:val="single" w:sz="4" w:space="0" w:color="auto"/>
              <w:right w:val="single" w:sz="4" w:space="0" w:color="auto"/>
            </w:tcBorders>
            <w:noWrap/>
            <w:vAlign w:val="center"/>
          </w:tcPr>
          <w:p w:rsidR="00A8556D" w:rsidRPr="007351D0" w:rsidRDefault="00A8556D" w:rsidP="00A8556D">
            <w:pPr>
              <w:jc w:val="right"/>
              <w:rPr>
                <w:rFonts w:cs="Lucida Sans Unicode"/>
                <w:szCs w:val="20"/>
              </w:rPr>
            </w:pPr>
            <w:r>
              <w:rPr>
                <w:rFonts w:cs="Lucida Sans Unicode"/>
                <w:szCs w:val="20"/>
              </w:rPr>
              <w:t>117</w:t>
            </w:r>
          </w:p>
        </w:tc>
        <w:tc>
          <w:tcPr>
            <w:tcW w:w="1077" w:type="dxa"/>
            <w:tcBorders>
              <w:top w:val="nil"/>
              <w:left w:val="single" w:sz="4" w:space="0" w:color="auto"/>
              <w:bottom w:val="single" w:sz="4" w:space="0" w:color="auto"/>
              <w:right w:val="single" w:sz="4" w:space="0" w:color="auto"/>
            </w:tcBorders>
            <w:noWrap/>
            <w:vAlign w:val="bottom"/>
          </w:tcPr>
          <w:p w:rsidR="00A8556D" w:rsidRPr="007351D0" w:rsidRDefault="009F4752" w:rsidP="00A8556D">
            <w:pPr>
              <w:jc w:val="right"/>
              <w:rPr>
                <w:rFonts w:cs="Lucida Sans Unicode"/>
                <w:szCs w:val="20"/>
              </w:rPr>
            </w:pPr>
            <w:r>
              <w:rPr>
                <w:rFonts w:cs="Lucida Sans Unicode"/>
                <w:szCs w:val="20"/>
              </w:rPr>
              <w:t>20</w:t>
            </w:r>
          </w:p>
        </w:tc>
      </w:tr>
      <w:tr w:rsidR="00A8556D" w:rsidRPr="007351D0" w:rsidTr="00A8556D">
        <w:trPr>
          <w:trHeight w:val="300"/>
        </w:trPr>
        <w:tc>
          <w:tcPr>
            <w:tcW w:w="3134" w:type="dxa"/>
            <w:tcBorders>
              <w:top w:val="nil"/>
              <w:left w:val="single" w:sz="4" w:space="0" w:color="auto"/>
              <w:bottom w:val="single" w:sz="4" w:space="0" w:color="auto"/>
              <w:right w:val="single" w:sz="4" w:space="0" w:color="auto"/>
            </w:tcBorders>
            <w:noWrap/>
            <w:vAlign w:val="center"/>
            <w:hideMark/>
          </w:tcPr>
          <w:p w:rsidR="00A8556D" w:rsidRPr="007351D0" w:rsidRDefault="00A8556D" w:rsidP="00A8556D">
            <w:pPr>
              <w:rPr>
                <w:rFonts w:cs="Lucida Sans Unicode"/>
                <w:szCs w:val="20"/>
              </w:rPr>
            </w:pPr>
            <w:r w:rsidRPr="007351D0">
              <w:rPr>
                <w:rFonts w:cs="Lucida Sans Unicode"/>
                <w:szCs w:val="20"/>
              </w:rPr>
              <w:t>Specialty Materials</w:t>
            </w:r>
          </w:p>
        </w:tc>
        <w:tc>
          <w:tcPr>
            <w:tcW w:w="1214" w:type="dxa"/>
            <w:tcBorders>
              <w:top w:val="nil"/>
              <w:left w:val="nil"/>
              <w:bottom w:val="single" w:sz="4" w:space="0" w:color="auto"/>
              <w:right w:val="single" w:sz="4" w:space="0" w:color="auto"/>
            </w:tcBorders>
            <w:shd w:val="clear" w:color="auto" w:fill="C0C0C0"/>
            <w:noWrap/>
            <w:vAlign w:val="center"/>
          </w:tcPr>
          <w:p w:rsidR="00A8556D" w:rsidRPr="007351D0" w:rsidRDefault="00A8556D" w:rsidP="00A8556D">
            <w:pPr>
              <w:jc w:val="right"/>
              <w:rPr>
                <w:rFonts w:cs="Lucida Sans Unicode"/>
                <w:szCs w:val="20"/>
              </w:rPr>
            </w:pPr>
            <w:r>
              <w:rPr>
                <w:rFonts w:cs="Lucida Sans Unicode"/>
                <w:szCs w:val="20"/>
              </w:rPr>
              <w:t>1.059</w:t>
            </w:r>
          </w:p>
        </w:tc>
        <w:tc>
          <w:tcPr>
            <w:tcW w:w="1229" w:type="dxa"/>
            <w:tcBorders>
              <w:top w:val="nil"/>
              <w:left w:val="single" w:sz="4" w:space="0" w:color="auto"/>
              <w:bottom w:val="single" w:sz="4" w:space="0" w:color="auto"/>
              <w:right w:val="single" w:sz="4" w:space="0" w:color="auto"/>
            </w:tcBorders>
            <w:noWrap/>
            <w:vAlign w:val="center"/>
          </w:tcPr>
          <w:p w:rsidR="00A8556D" w:rsidRPr="007351D0" w:rsidRDefault="00A8556D" w:rsidP="00A8556D">
            <w:pPr>
              <w:jc w:val="right"/>
              <w:rPr>
                <w:rFonts w:cs="Lucida Sans Unicode"/>
                <w:szCs w:val="20"/>
              </w:rPr>
            </w:pPr>
            <w:r>
              <w:rPr>
                <w:rFonts w:cs="Lucida Sans Unicode"/>
                <w:szCs w:val="20"/>
              </w:rPr>
              <w:t>1.123</w:t>
            </w:r>
          </w:p>
        </w:tc>
        <w:tc>
          <w:tcPr>
            <w:tcW w:w="1125" w:type="dxa"/>
            <w:tcBorders>
              <w:top w:val="nil"/>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r>
              <w:rPr>
                <w:rFonts w:cs="Lucida Sans Unicode"/>
                <w:szCs w:val="20"/>
              </w:rPr>
              <w:t>-6</w:t>
            </w:r>
          </w:p>
        </w:tc>
        <w:tc>
          <w:tcPr>
            <w:tcW w:w="1114" w:type="dxa"/>
            <w:tcBorders>
              <w:top w:val="nil"/>
              <w:left w:val="nil"/>
              <w:bottom w:val="single" w:sz="4" w:space="0" w:color="auto"/>
              <w:right w:val="single" w:sz="4" w:space="0" w:color="auto"/>
            </w:tcBorders>
            <w:shd w:val="clear" w:color="auto" w:fill="C0C0C0"/>
            <w:noWrap/>
            <w:vAlign w:val="center"/>
          </w:tcPr>
          <w:p w:rsidR="00A8556D" w:rsidRPr="007351D0" w:rsidRDefault="00A8556D" w:rsidP="00A8556D">
            <w:pPr>
              <w:jc w:val="right"/>
              <w:rPr>
                <w:rFonts w:cs="Lucida Sans Unicode"/>
                <w:szCs w:val="20"/>
              </w:rPr>
            </w:pPr>
            <w:r>
              <w:rPr>
                <w:rFonts w:cs="Lucida Sans Unicode"/>
                <w:szCs w:val="20"/>
              </w:rPr>
              <w:t>95</w:t>
            </w:r>
          </w:p>
        </w:tc>
        <w:tc>
          <w:tcPr>
            <w:tcW w:w="1243" w:type="dxa"/>
            <w:gridSpan w:val="2"/>
            <w:tcBorders>
              <w:top w:val="nil"/>
              <w:left w:val="single" w:sz="4" w:space="0" w:color="auto"/>
              <w:bottom w:val="single" w:sz="4" w:space="0" w:color="auto"/>
              <w:right w:val="single" w:sz="4" w:space="0" w:color="auto"/>
            </w:tcBorders>
            <w:noWrap/>
            <w:vAlign w:val="center"/>
          </w:tcPr>
          <w:p w:rsidR="00A8556D" w:rsidRPr="007351D0" w:rsidRDefault="00A8556D" w:rsidP="00A8556D">
            <w:pPr>
              <w:jc w:val="right"/>
              <w:rPr>
                <w:rFonts w:cs="Lucida Sans Unicode"/>
                <w:szCs w:val="20"/>
              </w:rPr>
            </w:pPr>
            <w:r>
              <w:rPr>
                <w:rFonts w:cs="Lucida Sans Unicode"/>
                <w:szCs w:val="20"/>
              </w:rPr>
              <w:t>174</w:t>
            </w:r>
          </w:p>
        </w:tc>
        <w:tc>
          <w:tcPr>
            <w:tcW w:w="1077" w:type="dxa"/>
            <w:tcBorders>
              <w:top w:val="nil"/>
              <w:left w:val="single" w:sz="4" w:space="0" w:color="auto"/>
              <w:bottom w:val="single" w:sz="4" w:space="0" w:color="auto"/>
              <w:right w:val="single" w:sz="4" w:space="0" w:color="auto"/>
            </w:tcBorders>
            <w:noWrap/>
            <w:vAlign w:val="bottom"/>
          </w:tcPr>
          <w:p w:rsidR="00A8556D" w:rsidRPr="007351D0" w:rsidRDefault="009F4752" w:rsidP="00A8556D">
            <w:pPr>
              <w:jc w:val="right"/>
              <w:rPr>
                <w:rFonts w:cs="Lucida Sans Unicode"/>
                <w:szCs w:val="20"/>
              </w:rPr>
            </w:pPr>
            <w:r>
              <w:rPr>
                <w:rFonts w:cs="Lucida Sans Unicode"/>
                <w:szCs w:val="20"/>
              </w:rPr>
              <w:t>-45</w:t>
            </w:r>
          </w:p>
        </w:tc>
      </w:tr>
      <w:tr w:rsidR="00A8556D" w:rsidRPr="007351D0" w:rsidTr="00A8556D">
        <w:trPr>
          <w:trHeight w:val="300"/>
        </w:trPr>
        <w:tc>
          <w:tcPr>
            <w:tcW w:w="3134" w:type="dxa"/>
            <w:tcBorders>
              <w:top w:val="nil"/>
              <w:left w:val="single" w:sz="4" w:space="0" w:color="auto"/>
              <w:bottom w:val="single" w:sz="4" w:space="0" w:color="auto"/>
              <w:right w:val="single" w:sz="4" w:space="0" w:color="auto"/>
            </w:tcBorders>
            <w:noWrap/>
            <w:vAlign w:val="center"/>
            <w:hideMark/>
          </w:tcPr>
          <w:p w:rsidR="00A8556D" w:rsidRPr="007351D0" w:rsidRDefault="00A8556D" w:rsidP="00A8556D">
            <w:pPr>
              <w:rPr>
                <w:rFonts w:cs="Lucida Sans Unicode"/>
                <w:szCs w:val="20"/>
              </w:rPr>
            </w:pPr>
            <w:r w:rsidRPr="007351D0">
              <w:rPr>
                <w:rFonts w:cs="Lucida Sans Unicode"/>
                <w:szCs w:val="20"/>
              </w:rPr>
              <w:t>Services</w:t>
            </w:r>
          </w:p>
        </w:tc>
        <w:tc>
          <w:tcPr>
            <w:tcW w:w="1214" w:type="dxa"/>
            <w:tcBorders>
              <w:top w:val="nil"/>
              <w:left w:val="nil"/>
              <w:bottom w:val="single" w:sz="4" w:space="0" w:color="auto"/>
              <w:right w:val="single" w:sz="4" w:space="0" w:color="auto"/>
            </w:tcBorders>
            <w:shd w:val="clear" w:color="auto" w:fill="C0C0C0"/>
            <w:noWrap/>
            <w:vAlign w:val="center"/>
          </w:tcPr>
          <w:p w:rsidR="00A8556D" w:rsidRPr="007351D0" w:rsidRDefault="00A8556D" w:rsidP="00A8556D">
            <w:pPr>
              <w:jc w:val="right"/>
              <w:rPr>
                <w:rFonts w:cs="Lucida Sans Unicode"/>
                <w:szCs w:val="20"/>
              </w:rPr>
            </w:pPr>
            <w:r>
              <w:rPr>
                <w:rFonts w:cs="Lucida Sans Unicode"/>
                <w:szCs w:val="20"/>
              </w:rPr>
              <w:t>239</w:t>
            </w:r>
          </w:p>
        </w:tc>
        <w:tc>
          <w:tcPr>
            <w:tcW w:w="1229" w:type="dxa"/>
            <w:tcBorders>
              <w:top w:val="nil"/>
              <w:left w:val="single" w:sz="4" w:space="0" w:color="auto"/>
              <w:bottom w:val="single" w:sz="4" w:space="0" w:color="auto"/>
              <w:right w:val="single" w:sz="4" w:space="0" w:color="auto"/>
            </w:tcBorders>
            <w:noWrap/>
            <w:vAlign w:val="center"/>
          </w:tcPr>
          <w:p w:rsidR="00A8556D" w:rsidRPr="007351D0" w:rsidRDefault="00A8556D" w:rsidP="00A8556D">
            <w:pPr>
              <w:jc w:val="right"/>
              <w:rPr>
                <w:rFonts w:cs="Lucida Sans Unicode"/>
                <w:szCs w:val="20"/>
              </w:rPr>
            </w:pPr>
            <w:r>
              <w:rPr>
                <w:rFonts w:cs="Lucida Sans Unicode"/>
                <w:szCs w:val="20"/>
              </w:rPr>
              <w:t>270</w:t>
            </w:r>
          </w:p>
        </w:tc>
        <w:tc>
          <w:tcPr>
            <w:tcW w:w="1125" w:type="dxa"/>
            <w:tcBorders>
              <w:top w:val="nil"/>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r>
              <w:rPr>
                <w:rFonts w:cs="Lucida Sans Unicode"/>
                <w:szCs w:val="20"/>
              </w:rPr>
              <w:t>-</w:t>
            </w:r>
            <w:r w:rsidR="00CF6A1E">
              <w:rPr>
                <w:rFonts w:cs="Lucida Sans Unicode"/>
                <w:szCs w:val="20"/>
              </w:rPr>
              <w:t>11</w:t>
            </w:r>
          </w:p>
        </w:tc>
        <w:tc>
          <w:tcPr>
            <w:tcW w:w="1114" w:type="dxa"/>
            <w:tcBorders>
              <w:top w:val="nil"/>
              <w:left w:val="nil"/>
              <w:bottom w:val="single" w:sz="4" w:space="0" w:color="auto"/>
              <w:right w:val="single" w:sz="4" w:space="0" w:color="auto"/>
            </w:tcBorders>
            <w:shd w:val="clear" w:color="auto" w:fill="C0C0C0"/>
            <w:noWrap/>
            <w:vAlign w:val="center"/>
          </w:tcPr>
          <w:p w:rsidR="00A8556D" w:rsidRPr="007351D0" w:rsidRDefault="00A8556D" w:rsidP="00A8556D">
            <w:pPr>
              <w:jc w:val="right"/>
              <w:rPr>
                <w:rFonts w:cs="Lucida Sans Unicode"/>
                <w:szCs w:val="20"/>
              </w:rPr>
            </w:pPr>
            <w:r>
              <w:rPr>
                <w:rFonts w:cs="Lucida Sans Unicode"/>
                <w:szCs w:val="20"/>
              </w:rPr>
              <w:t>25</w:t>
            </w:r>
          </w:p>
        </w:tc>
        <w:tc>
          <w:tcPr>
            <w:tcW w:w="1243" w:type="dxa"/>
            <w:gridSpan w:val="2"/>
            <w:tcBorders>
              <w:top w:val="nil"/>
              <w:left w:val="single" w:sz="4" w:space="0" w:color="auto"/>
              <w:bottom w:val="single" w:sz="4" w:space="0" w:color="auto"/>
              <w:right w:val="single" w:sz="4" w:space="0" w:color="auto"/>
            </w:tcBorders>
            <w:noWrap/>
            <w:vAlign w:val="center"/>
          </w:tcPr>
          <w:p w:rsidR="00A8556D" w:rsidRPr="007351D0" w:rsidRDefault="00A8556D" w:rsidP="00A8556D">
            <w:pPr>
              <w:jc w:val="right"/>
              <w:rPr>
                <w:rFonts w:cs="Lucida Sans Unicode"/>
                <w:szCs w:val="20"/>
              </w:rPr>
            </w:pPr>
            <w:r>
              <w:rPr>
                <w:rFonts w:cs="Lucida Sans Unicode"/>
                <w:szCs w:val="20"/>
              </w:rPr>
              <w:t>22</w:t>
            </w:r>
          </w:p>
        </w:tc>
        <w:tc>
          <w:tcPr>
            <w:tcW w:w="1077" w:type="dxa"/>
            <w:tcBorders>
              <w:top w:val="nil"/>
              <w:left w:val="single" w:sz="4" w:space="0" w:color="auto"/>
              <w:bottom w:val="single" w:sz="4" w:space="0" w:color="auto"/>
              <w:right w:val="single" w:sz="4" w:space="0" w:color="auto"/>
            </w:tcBorders>
            <w:noWrap/>
            <w:vAlign w:val="bottom"/>
          </w:tcPr>
          <w:p w:rsidR="00A8556D" w:rsidRPr="007351D0" w:rsidRDefault="009F4752" w:rsidP="00A8556D">
            <w:pPr>
              <w:jc w:val="right"/>
              <w:rPr>
                <w:rFonts w:cs="Lucida Sans Unicode"/>
                <w:szCs w:val="20"/>
              </w:rPr>
            </w:pPr>
            <w:r>
              <w:rPr>
                <w:rFonts w:cs="Lucida Sans Unicode"/>
                <w:szCs w:val="20"/>
              </w:rPr>
              <w:t>14</w:t>
            </w:r>
          </w:p>
        </w:tc>
      </w:tr>
      <w:tr w:rsidR="00A8556D" w:rsidRPr="007351D0" w:rsidTr="00A8556D">
        <w:trPr>
          <w:trHeight w:val="300"/>
        </w:trPr>
        <w:tc>
          <w:tcPr>
            <w:tcW w:w="3134" w:type="dxa"/>
            <w:tcBorders>
              <w:top w:val="nil"/>
              <w:left w:val="single" w:sz="4" w:space="0" w:color="auto"/>
              <w:bottom w:val="single" w:sz="4" w:space="0" w:color="auto"/>
              <w:right w:val="single" w:sz="4" w:space="0" w:color="auto"/>
            </w:tcBorders>
            <w:noWrap/>
            <w:vAlign w:val="center"/>
            <w:hideMark/>
          </w:tcPr>
          <w:p w:rsidR="00A8556D" w:rsidRPr="007351D0" w:rsidRDefault="00A8556D" w:rsidP="00A8556D">
            <w:pPr>
              <w:rPr>
                <w:rFonts w:cs="Lucida Sans Unicode"/>
                <w:szCs w:val="20"/>
              </w:rPr>
            </w:pPr>
            <w:r w:rsidRPr="00725E7B">
              <w:rPr>
                <w:rFonts w:cs="Lucida Sans Unicode"/>
                <w:szCs w:val="20"/>
              </w:rPr>
              <w:t>Sonstige Aktivitäten</w:t>
            </w:r>
          </w:p>
        </w:tc>
        <w:tc>
          <w:tcPr>
            <w:tcW w:w="1214" w:type="dxa"/>
            <w:tcBorders>
              <w:top w:val="nil"/>
              <w:left w:val="nil"/>
              <w:bottom w:val="single" w:sz="4" w:space="0" w:color="auto"/>
              <w:right w:val="single" w:sz="4" w:space="0" w:color="auto"/>
            </w:tcBorders>
            <w:shd w:val="clear" w:color="auto" w:fill="C0C0C0"/>
            <w:noWrap/>
            <w:vAlign w:val="center"/>
          </w:tcPr>
          <w:p w:rsidR="00A8556D" w:rsidRPr="007351D0" w:rsidRDefault="00A8556D" w:rsidP="00A8556D">
            <w:pPr>
              <w:jc w:val="right"/>
              <w:rPr>
                <w:rFonts w:cs="Lucida Sans Unicode"/>
                <w:szCs w:val="20"/>
              </w:rPr>
            </w:pPr>
            <w:r>
              <w:rPr>
                <w:rFonts w:cs="Lucida Sans Unicode"/>
                <w:szCs w:val="20"/>
              </w:rPr>
              <w:t>48</w:t>
            </w:r>
          </w:p>
        </w:tc>
        <w:tc>
          <w:tcPr>
            <w:tcW w:w="1229" w:type="dxa"/>
            <w:tcBorders>
              <w:top w:val="nil"/>
              <w:left w:val="single" w:sz="4" w:space="0" w:color="auto"/>
              <w:bottom w:val="single" w:sz="4" w:space="0" w:color="auto"/>
              <w:right w:val="single" w:sz="4" w:space="0" w:color="auto"/>
            </w:tcBorders>
            <w:noWrap/>
            <w:vAlign w:val="center"/>
          </w:tcPr>
          <w:p w:rsidR="00A8556D" w:rsidRPr="007351D0" w:rsidRDefault="00A8556D" w:rsidP="00A8556D">
            <w:pPr>
              <w:jc w:val="right"/>
              <w:rPr>
                <w:rFonts w:cs="Lucida Sans Unicode"/>
                <w:szCs w:val="20"/>
              </w:rPr>
            </w:pPr>
            <w:r>
              <w:rPr>
                <w:rFonts w:cs="Lucida Sans Unicode"/>
                <w:szCs w:val="20"/>
              </w:rPr>
              <w:t>54</w:t>
            </w:r>
          </w:p>
        </w:tc>
        <w:tc>
          <w:tcPr>
            <w:tcW w:w="1125" w:type="dxa"/>
            <w:tcBorders>
              <w:top w:val="nil"/>
              <w:left w:val="single" w:sz="4" w:space="0" w:color="auto"/>
              <w:bottom w:val="single" w:sz="4" w:space="0" w:color="auto"/>
              <w:right w:val="single" w:sz="4" w:space="0" w:color="auto"/>
            </w:tcBorders>
            <w:noWrap/>
            <w:vAlign w:val="bottom"/>
          </w:tcPr>
          <w:p w:rsidR="00A8556D" w:rsidRPr="007351D0" w:rsidRDefault="009F4752" w:rsidP="00A8556D">
            <w:pPr>
              <w:jc w:val="right"/>
              <w:rPr>
                <w:rFonts w:cs="Lucida Sans Unicode"/>
                <w:szCs w:val="20"/>
              </w:rPr>
            </w:pPr>
            <w:r>
              <w:rPr>
                <w:rFonts w:cs="Lucida Sans Unicode"/>
                <w:szCs w:val="20"/>
              </w:rPr>
              <w:t>-11</w:t>
            </w:r>
          </w:p>
        </w:tc>
        <w:tc>
          <w:tcPr>
            <w:tcW w:w="1114" w:type="dxa"/>
            <w:tcBorders>
              <w:top w:val="nil"/>
              <w:left w:val="nil"/>
              <w:bottom w:val="single" w:sz="4" w:space="0" w:color="auto"/>
              <w:right w:val="single" w:sz="4" w:space="0" w:color="auto"/>
            </w:tcBorders>
            <w:shd w:val="clear" w:color="auto" w:fill="C0C0C0"/>
            <w:noWrap/>
            <w:vAlign w:val="center"/>
          </w:tcPr>
          <w:p w:rsidR="00A8556D" w:rsidRPr="007351D0" w:rsidRDefault="00A8556D" w:rsidP="00A8556D">
            <w:pPr>
              <w:jc w:val="right"/>
              <w:rPr>
                <w:rFonts w:cs="Lucida Sans Unicode"/>
                <w:szCs w:val="20"/>
              </w:rPr>
            </w:pPr>
            <w:r>
              <w:rPr>
                <w:rFonts w:cs="Lucida Sans Unicode"/>
                <w:szCs w:val="20"/>
              </w:rPr>
              <w:t>-78</w:t>
            </w:r>
          </w:p>
        </w:tc>
        <w:tc>
          <w:tcPr>
            <w:tcW w:w="1243" w:type="dxa"/>
            <w:gridSpan w:val="2"/>
            <w:tcBorders>
              <w:top w:val="nil"/>
              <w:left w:val="single" w:sz="4" w:space="0" w:color="auto"/>
              <w:bottom w:val="single" w:sz="4" w:space="0" w:color="auto"/>
              <w:right w:val="single" w:sz="4" w:space="0" w:color="auto"/>
            </w:tcBorders>
            <w:noWrap/>
            <w:vAlign w:val="center"/>
          </w:tcPr>
          <w:p w:rsidR="00A8556D" w:rsidRPr="007351D0" w:rsidRDefault="00A8556D" w:rsidP="00A8556D">
            <w:pPr>
              <w:jc w:val="right"/>
              <w:rPr>
                <w:rFonts w:cs="Lucida Sans Unicode"/>
                <w:szCs w:val="20"/>
              </w:rPr>
            </w:pPr>
            <w:r>
              <w:rPr>
                <w:rFonts w:cs="Lucida Sans Unicode"/>
                <w:szCs w:val="20"/>
              </w:rPr>
              <w:t>-90</w:t>
            </w:r>
          </w:p>
        </w:tc>
        <w:tc>
          <w:tcPr>
            <w:tcW w:w="1077" w:type="dxa"/>
            <w:tcBorders>
              <w:top w:val="nil"/>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p>
        </w:tc>
      </w:tr>
      <w:tr w:rsidR="00A8556D" w:rsidRPr="00870A91" w:rsidTr="00A8556D">
        <w:trPr>
          <w:trHeight w:val="300"/>
        </w:trPr>
        <w:tc>
          <w:tcPr>
            <w:tcW w:w="3134" w:type="dxa"/>
            <w:tcBorders>
              <w:top w:val="single" w:sz="4" w:space="0" w:color="auto"/>
              <w:left w:val="single" w:sz="4" w:space="0" w:color="auto"/>
              <w:bottom w:val="single" w:sz="4" w:space="0" w:color="auto"/>
              <w:right w:val="single" w:sz="4" w:space="0" w:color="auto"/>
            </w:tcBorders>
            <w:noWrap/>
            <w:vAlign w:val="center"/>
            <w:hideMark/>
          </w:tcPr>
          <w:p w:rsidR="00A8556D" w:rsidRPr="00870A91" w:rsidRDefault="00A8556D" w:rsidP="00A8556D">
            <w:pPr>
              <w:rPr>
                <w:rFonts w:cs="Lucida Sans Unicode"/>
                <w:b/>
                <w:bCs/>
                <w:szCs w:val="20"/>
              </w:rPr>
            </w:pPr>
            <w:r w:rsidRPr="00870A91">
              <w:rPr>
                <w:rFonts w:cs="Lucida Sans Unicode"/>
                <w:b/>
                <w:bCs/>
                <w:szCs w:val="20"/>
              </w:rPr>
              <w:t>Konzern</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A8556D" w:rsidRPr="00870A91" w:rsidRDefault="00A8556D" w:rsidP="00A8556D">
            <w:pPr>
              <w:jc w:val="right"/>
              <w:rPr>
                <w:rFonts w:cs="Lucida Sans Unicode"/>
                <w:b/>
                <w:bCs/>
                <w:szCs w:val="20"/>
              </w:rPr>
            </w:pPr>
            <w:r>
              <w:rPr>
                <w:rFonts w:cs="Lucida Sans Unicode"/>
                <w:b/>
                <w:bCs/>
                <w:szCs w:val="20"/>
              </w:rPr>
              <w:t>3.135</w:t>
            </w:r>
          </w:p>
        </w:tc>
        <w:tc>
          <w:tcPr>
            <w:tcW w:w="1229" w:type="dxa"/>
            <w:tcBorders>
              <w:top w:val="single" w:sz="4" w:space="0" w:color="auto"/>
              <w:left w:val="single" w:sz="4" w:space="0" w:color="auto"/>
              <w:bottom w:val="single" w:sz="4" w:space="0" w:color="auto"/>
              <w:right w:val="single" w:sz="4" w:space="0" w:color="auto"/>
            </w:tcBorders>
            <w:noWrap/>
            <w:vAlign w:val="center"/>
          </w:tcPr>
          <w:p w:rsidR="00A8556D" w:rsidRPr="00870A91" w:rsidRDefault="00A8556D" w:rsidP="00A8556D">
            <w:pPr>
              <w:jc w:val="right"/>
              <w:rPr>
                <w:rFonts w:cs="Lucida Sans Unicode"/>
                <w:b/>
                <w:bCs/>
                <w:szCs w:val="20"/>
              </w:rPr>
            </w:pPr>
            <w:r>
              <w:rPr>
                <w:rFonts w:cs="Lucida Sans Unicode"/>
                <w:b/>
                <w:bCs/>
                <w:szCs w:val="20"/>
              </w:rPr>
              <w:t>3.178</w:t>
            </w:r>
          </w:p>
        </w:tc>
        <w:tc>
          <w:tcPr>
            <w:tcW w:w="1125" w:type="dxa"/>
            <w:tcBorders>
              <w:top w:val="single" w:sz="4" w:space="0" w:color="auto"/>
              <w:left w:val="single" w:sz="4" w:space="0" w:color="auto"/>
              <w:bottom w:val="single" w:sz="4" w:space="0" w:color="auto"/>
              <w:right w:val="single" w:sz="4" w:space="0" w:color="auto"/>
            </w:tcBorders>
            <w:noWrap/>
            <w:vAlign w:val="bottom"/>
          </w:tcPr>
          <w:p w:rsidR="00A8556D" w:rsidRPr="00870A91" w:rsidRDefault="009F4752" w:rsidP="00A8556D">
            <w:pPr>
              <w:jc w:val="right"/>
              <w:rPr>
                <w:rFonts w:cs="Lucida Sans Unicode"/>
                <w:b/>
                <w:bCs/>
                <w:szCs w:val="20"/>
              </w:rPr>
            </w:pPr>
            <w:r>
              <w:rPr>
                <w:rFonts w:cs="Lucida Sans Unicode"/>
                <w:b/>
                <w:bCs/>
                <w:szCs w:val="20"/>
              </w:rPr>
              <w:t>-1</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A8556D" w:rsidRPr="00870A91" w:rsidRDefault="00A8556D" w:rsidP="00A8556D">
            <w:pPr>
              <w:jc w:val="right"/>
              <w:rPr>
                <w:rFonts w:cs="Lucida Sans Unicode"/>
                <w:b/>
                <w:bCs/>
                <w:szCs w:val="20"/>
              </w:rPr>
            </w:pPr>
            <w:r>
              <w:rPr>
                <w:rFonts w:cs="Lucida Sans Unicode"/>
                <w:b/>
                <w:bCs/>
                <w:szCs w:val="20"/>
              </w:rPr>
              <w:t>386</w:t>
            </w:r>
          </w:p>
        </w:tc>
        <w:tc>
          <w:tcPr>
            <w:tcW w:w="1243" w:type="dxa"/>
            <w:gridSpan w:val="2"/>
            <w:tcBorders>
              <w:top w:val="single" w:sz="4" w:space="0" w:color="auto"/>
              <w:left w:val="single" w:sz="4" w:space="0" w:color="auto"/>
              <w:bottom w:val="single" w:sz="4" w:space="0" w:color="auto"/>
              <w:right w:val="single" w:sz="4" w:space="0" w:color="auto"/>
            </w:tcBorders>
            <w:noWrap/>
            <w:vAlign w:val="center"/>
          </w:tcPr>
          <w:p w:rsidR="00A8556D" w:rsidRPr="00870A91" w:rsidRDefault="00A8556D" w:rsidP="00A8556D">
            <w:pPr>
              <w:jc w:val="right"/>
              <w:rPr>
                <w:rFonts w:cs="Lucida Sans Unicode"/>
                <w:b/>
                <w:bCs/>
                <w:szCs w:val="20"/>
              </w:rPr>
            </w:pPr>
            <w:r>
              <w:rPr>
                <w:rFonts w:cs="Lucida Sans Unicode"/>
                <w:b/>
                <w:bCs/>
                <w:szCs w:val="20"/>
              </w:rPr>
              <w:t>452</w:t>
            </w:r>
          </w:p>
        </w:tc>
        <w:tc>
          <w:tcPr>
            <w:tcW w:w="1077" w:type="dxa"/>
            <w:tcBorders>
              <w:top w:val="single" w:sz="4" w:space="0" w:color="auto"/>
              <w:left w:val="single" w:sz="4" w:space="0" w:color="auto"/>
              <w:bottom w:val="single" w:sz="4" w:space="0" w:color="auto"/>
              <w:right w:val="single" w:sz="4" w:space="0" w:color="auto"/>
            </w:tcBorders>
            <w:noWrap/>
            <w:vAlign w:val="bottom"/>
          </w:tcPr>
          <w:p w:rsidR="00A8556D" w:rsidRPr="00870A91" w:rsidRDefault="009F4752" w:rsidP="00A8556D">
            <w:pPr>
              <w:jc w:val="right"/>
              <w:rPr>
                <w:rFonts w:cs="Lucida Sans Unicode"/>
                <w:b/>
                <w:bCs/>
                <w:szCs w:val="20"/>
              </w:rPr>
            </w:pPr>
            <w:r>
              <w:rPr>
                <w:rFonts w:cs="Lucida Sans Unicode"/>
                <w:b/>
                <w:bCs/>
                <w:szCs w:val="20"/>
              </w:rPr>
              <w:t>-15</w:t>
            </w:r>
          </w:p>
        </w:tc>
      </w:tr>
      <w:tr w:rsidR="00A8556D" w:rsidRPr="007351D0" w:rsidTr="00A8556D">
        <w:trPr>
          <w:trHeight w:val="255"/>
        </w:trPr>
        <w:tc>
          <w:tcPr>
            <w:tcW w:w="3134" w:type="dxa"/>
            <w:tcBorders>
              <w:top w:val="single" w:sz="4" w:space="0" w:color="auto"/>
              <w:left w:val="single" w:sz="4" w:space="0" w:color="auto"/>
              <w:bottom w:val="nil"/>
              <w:right w:val="single" w:sz="4" w:space="0" w:color="auto"/>
            </w:tcBorders>
            <w:noWrap/>
            <w:vAlign w:val="center"/>
            <w:hideMark/>
          </w:tcPr>
          <w:p w:rsidR="00A8556D" w:rsidRPr="007351D0" w:rsidRDefault="00A8556D" w:rsidP="00A8556D">
            <w:pPr>
              <w:jc w:val="right"/>
              <w:rPr>
                <w:rFonts w:cs="Lucida Sans Unicode"/>
                <w:b/>
                <w:bCs/>
                <w:szCs w:val="20"/>
              </w:rPr>
            </w:pPr>
            <w:r w:rsidRPr="007351D0">
              <w:rPr>
                <w:rFonts w:cs="Lucida Sans Unicode"/>
                <w:b/>
                <w:bCs/>
                <w:szCs w:val="20"/>
              </w:rPr>
              <w:t> </w:t>
            </w:r>
          </w:p>
        </w:tc>
        <w:tc>
          <w:tcPr>
            <w:tcW w:w="3568" w:type="dxa"/>
            <w:gridSpan w:val="3"/>
            <w:tcBorders>
              <w:top w:val="single" w:sz="4" w:space="0" w:color="auto"/>
              <w:left w:val="nil"/>
              <w:bottom w:val="single" w:sz="4" w:space="0" w:color="auto"/>
              <w:right w:val="single" w:sz="4" w:space="0" w:color="auto"/>
            </w:tcBorders>
            <w:noWrap/>
            <w:vAlign w:val="bottom"/>
            <w:hideMark/>
          </w:tcPr>
          <w:p w:rsidR="00A8556D" w:rsidRPr="007351D0" w:rsidRDefault="00A8556D" w:rsidP="00A8556D">
            <w:pPr>
              <w:jc w:val="center"/>
              <w:rPr>
                <w:rFonts w:cs="Lucida Sans Unicode"/>
                <w:b/>
                <w:bCs/>
                <w:szCs w:val="20"/>
              </w:rPr>
            </w:pPr>
            <w:r w:rsidRPr="007351D0">
              <w:rPr>
                <w:rFonts w:cs="Lucida Sans Unicode"/>
                <w:b/>
                <w:bCs/>
                <w:szCs w:val="20"/>
              </w:rPr>
              <w:t>Umsatz</w:t>
            </w:r>
          </w:p>
        </w:tc>
        <w:tc>
          <w:tcPr>
            <w:tcW w:w="3434" w:type="dxa"/>
            <w:gridSpan w:val="4"/>
            <w:tcBorders>
              <w:top w:val="single" w:sz="4" w:space="0" w:color="auto"/>
              <w:left w:val="single" w:sz="4" w:space="0" w:color="auto"/>
              <w:bottom w:val="single" w:sz="4" w:space="0" w:color="auto"/>
              <w:right w:val="single" w:sz="4" w:space="0" w:color="auto"/>
            </w:tcBorders>
            <w:noWrap/>
            <w:vAlign w:val="bottom"/>
            <w:hideMark/>
          </w:tcPr>
          <w:p w:rsidR="00A8556D" w:rsidRPr="007351D0" w:rsidRDefault="00A8556D" w:rsidP="00A8556D">
            <w:pPr>
              <w:jc w:val="center"/>
              <w:rPr>
                <w:rFonts w:cs="Lucida Sans Unicode"/>
                <w:b/>
                <w:bCs/>
                <w:szCs w:val="20"/>
              </w:rPr>
            </w:pPr>
            <w:r w:rsidRPr="007351D0">
              <w:rPr>
                <w:rFonts w:cs="Lucida Sans Unicode"/>
                <w:b/>
                <w:bCs/>
                <w:szCs w:val="20"/>
              </w:rPr>
              <w:t>Bereinigtes EBITDA</w:t>
            </w:r>
          </w:p>
        </w:tc>
      </w:tr>
      <w:tr w:rsidR="00A8556D" w:rsidRPr="007351D0" w:rsidTr="00A8556D">
        <w:trPr>
          <w:trHeight w:val="255"/>
        </w:trPr>
        <w:tc>
          <w:tcPr>
            <w:tcW w:w="3134" w:type="dxa"/>
            <w:tcBorders>
              <w:top w:val="nil"/>
              <w:left w:val="single" w:sz="4" w:space="0" w:color="auto"/>
              <w:bottom w:val="nil"/>
              <w:right w:val="single" w:sz="4" w:space="0" w:color="auto"/>
            </w:tcBorders>
            <w:noWrap/>
            <w:vAlign w:val="center"/>
          </w:tcPr>
          <w:p w:rsidR="00A8556D" w:rsidRPr="007351D0" w:rsidRDefault="00A8556D" w:rsidP="00A8556D">
            <w:pPr>
              <w:rPr>
                <w:rFonts w:cs="Lucida Sans Unicode"/>
                <w:b/>
                <w:bCs/>
                <w:szCs w:val="20"/>
              </w:rPr>
            </w:pPr>
          </w:p>
        </w:tc>
        <w:tc>
          <w:tcPr>
            <w:tcW w:w="1214" w:type="dxa"/>
            <w:tcBorders>
              <w:top w:val="single" w:sz="4" w:space="0" w:color="auto"/>
              <w:left w:val="nil"/>
              <w:bottom w:val="nil"/>
              <w:right w:val="single" w:sz="4" w:space="0" w:color="auto"/>
            </w:tcBorders>
            <w:shd w:val="clear" w:color="auto" w:fill="C0C0C0"/>
            <w:noWrap/>
            <w:vAlign w:val="bottom"/>
            <w:hideMark/>
          </w:tcPr>
          <w:p w:rsidR="00A8556D" w:rsidRPr="007351D0" w:rsidRDefault="00A8556D" w:rsidP="00A8556D">
            <w:pPr>
              <w:jc w:val="center"/>
              <w:rPr>
                <w:rFonts w:cs="Lucida Sans Unicode"/>
                <w:b/>
                <w:bCs/>
                <w:spacing w:val="-6"/>
                <w:szCs w:val="20"/>
              </w:rPr>
            </w:pPr>
            <w:r>
              <w:rPr>
                <w:rFonts w:cs="Lucida Sans Unicode"/>
                <w:b/>
                <w:bCs/>
                <w:spacing w:val="-6"/>
                <w:szCs w:val="20"/>
              </w:rPr>
              <w:t>2013</w:t>
            </w:r>
          </w:p>
        </w:tc>
        <w:tc>
          <w:tcPr>
            <w:tcW w:w="1229" w:type="dxa"/>
            <w:tcBorders>
              <w:top w:val="single" w:sz="4" w:space="0" w:color="auto"/>
              <w:left w:val="single" w:sz="4" w:space="0" w:color="auto"/>
              <w:bottom w:val="nil"/>
              <w:right w:val="single" w:sz="4" w:space="0" w:color="auto"/>
            </w:tcBorders>
            <w:noWrap/>
            <w:vAlign w:val="bottom"/>
            <w:hideMark/>
          </w:tcPr>
          <w:p w:rsidR="00A8556D" w:rsidRPr="007351D0" w:rsidRDefault="00A8556D" w:rsidP="00A8556D">
            <w:pPr>
              <w:jc w:val="center"/>
              <w:rPr>
                <w:rFonts w:cs="Lucida Sans Unicode"/>
                <w:b/>
                <w:bCs/>
                <w:spacing w:val="-6"/>
                <w:szCs w:val="20"/>
              </w:rPr>
            </w:pPr>
            <w:r w:rsidRPr="007351D0">
              <w:rPr>
                <w:rFonts w:cs="Lucida Sans Unicode"/>
                <w:b/>
                <w:bCs/>
                <w:spacing w:val="-6"/>
                <w:szCs w:val="20"/>
              </w:rPr>
              <w:t>2012</w:t>
            </w:r>
          </w:p>
        </w:tc>
        <w:tc>
          <w:tcPr>
            <w:tcW w:w="1125" w:type="dxa"/>
            <w:tcBorders>
              <w:top w:val="single" w:sz="4" w:space="0" w:color="auto"/>
              <w:left w:val="single" w:sz="4" w:space="0" w:color="auto"/>
              <w:bottom w:val="nil"/>
              <w:right w:val="single" w:sz="4" w:space="0" w:color="auto"/>
            </w:tcBorders>
            <w:noWrap/>
            <w:vAlign w:val="bottom"/>
            <w:hideMark/>
          </w:tcPr>
          <w:p w:rsidR="00A8556D" w:rsidRPr="007351D0" w:rsidRDefault="00A8556D" w:rsidP="00A8556D">
            <w:pPr>
              <w:jc w:val="center"/>
              <w:rPr>
                <w:rFonts w:cs="Lucida Sans Unicode"/>
                <w:b/>
                <w:bCs/>
                <w:spacing w:val="-6"/>
                <w:szCs w:val="20"/>
              </w:rPr>
            </w:pPr>
            <w:r w:rsidRPr="007351D0">
              <w:rPr>
                <w:rFonts w:cs="Lucida Sans Unicode"/>
                <w:b/>
                <w:bCs/>
                <w:spacing w:val="-6"/>
                <w:szCs w:val="20"/>
              </w:rPr>
              <w:t>Veränd.</w:t>
            </w:r>
          </w:p>
        </w:tc>
        <w:tc>
          <w:tcPr>
            <w:tcW w:w="1114" w:type="dxa"/>
            <w:tcBorders>
              <w:top w:val="single" w:sz="4" w:space="0" w:color="auto"/>
              <w:left w:val="nil"/>
              <w:bottom w:val="nil"/>
              <w:right w:val="single" w:sz="4" w:space="0" w:color="auto"/>
            </w:tcBorders>
            <w:shd w:val="clear" w:color="auto" w:fill="C0C0C0"/>
            <w:noWrap/>
            <w:vAlign w:val="bottom"/>
            <w:hideMark/>
          </w:tcPr>
          <w:p w:rsidR="00A8556D" w:rsidRPr="007351D0" w:rsidRDefault="00A8556D" w:rsidP="00A8556D">
            <w:pPr>
              <w:jc w:val="center"/>
              <w:rPr>
                <w:rFonts w:cs="Lucida Sans Unicode"/>
                <w:b/>
                <w:bCs/>
                <w:spacing w:val="-6"/>
                <w:szCs w:val="20"/>
              </w:rPr>
            </w:pPr>
            <w:r w:rsidRPr="007351D0">
              <w:rPr>
                <w:rFonts w:cs="Lucida Sans Unicode"/>
                <w:b/>
                <w:bCs/>
                <w:spacing w:val="-6"/>
                <w:szCs w:val="20"/>
              </w:rPr>
              <w:t>2013</w:t>
            </w:r>
          </w:p>
        </w:tc>
        <w:tc>
          <w:tcPr>
            <w:tcW w:w="1198" w:type="dxa"/>
            <w:tcBorders>
              <w:top w:val="single" w:sz="4" w:space="0" w:color="auto"/>
              <w:left w:val="single" w:sz="4" w:space="0" w:color="auto"/>
              <w:bottom w:val="nil"/>
              <w:right w:val="single" w:sz="4" w:space="0" w:color="auto"/>
            </w:tcBorders>
            <w:noWrap/>
            <w:vAlign w:val="bottom"/>
            <w:hideMark/>
          </w:tcPr>
          <w:p w:rsidR="00A8556D" w:rsidRPr="007351D0" w:rsidRDefault="00A8556D" w:rsidP="00A8556D">
            <w:pPr>
              <w:jc w:val="center"/>
              <w:rPr>
                <w:rFonts w:cs="Lucida Sans Unicode"/>
                <w:b/>
                <w:bCs/>
                <w:spacing w:val="-6"/>
                <w:szCs w:val="20"/>
              </w:rPr>
            </w:pPr>
            <w:r w:rsidRPr="007351D0">
              <w:rPr>
                <w:rFonts w:cs="Lucida Sans Unicode"/>
                <w:b/>
                <w:bCs/>
                <w:spacing w:val="-6"/>
                <w:szCs w:val="20"/>
              </w:rPr>
              <w:t>2012</w:t>
            </w:r>
          </w:p>
        </w:tc>
        <w:tc>
          <w:tcPr>
            <w:tcW w:w="1122" w:type="dxa"/>
            <w:gridSpan w:val="2"/>
            <w:tcBorders>
              <w:top w:val="single" w:sz="4" w:space="0" w:color="auto"/>
              <w:left w:val="single" w:sz="4" w:space="0" w:color="auto"/>
              <w:bottom w:val="nil"/>
              <w:right w:val="single" w:sz="4" w:space="0" w:color="auto"/>
            </w:tcBorders>
            <w:noWrap/>
            <w:vAlign w:val="bottom"/>
            <w:hideMark/>
          </w:tcPr>
          <w:p w:rsidR="00A8556D" w:rsidRPr="007351D0" w:rsidRDefault="00A8556D" w:rsidP="00A8556D">
            <w:pPr>
              <w:jc w:val="center"/>
              <w:rPr>
                <w:rFonts w:cs="Lucida Sans Unicode"/>
                <w:b/>
                <w:bCs/>
                <w:spacing w:val="-6"/>
                <w:szCs w:val="20"/>
              </w:rPr>
            </w:pPr>
            <w:r w:rsidRPr="007351D0">
              <w:rPr>
                <w:rFonts w:cs="Lucida Sans Unicode"/>
                <w:b/>
                <w:bCs/>
                <w:spacing w:val="-6"/>
                <w:szCs w:val="20"/>
              </w:rPr>
              <w:t>Veränd.</w:t>
            </w:r>
          </w:p>
        </w:tc>
      </w:tr>
      <w:tr w:rsidR="00A8556D" w:rsidRPr="007351D0" w:rsidTr="00A8556D">
        <w:trPr>
          <w:trHeight w:val="255"/>
        </w:trPr>
        <w:tc>
          <w:tcPr>
            <w:tcW w:w="3134" w:type="dxa"/>
            <w:tcBorders>
              <w:top w:val="nil"/>
              <w:left w:val="single" w:sz="4" w:space="0" w:color="auto"/>
              <w:bottom w:val="single" w:sz="4" w:space="0" w:color="auto"/>
              <w:right w:val="single" w:sz="4" w:space="0" w:color="auto"/>
            </w:tcBorders>
            <w:noWrap/>
            <w:vAlign w:val="center"/>
            <w:hideMark/>
          </w:tcPr>
          <w:p w:rsidR="00A8556D" w:rsidRPr="007351D0" w:rsidRDefault="00A8556D" w:rsidP="00A8556D">
            <w:pPr>
              <w:rPr>
                <w:rFonts w:cs="Lucida Sans Unicode"/>
                <w:b/>
                <w:bCs/>
                <w:szCs w:val="20"/>
              </w:rPr>
            </w:pPr>
            <w:r w:rsidRPr="007351D0">
              <w:rPr>
                <w:rFonts w:cs="Lucida Sans Unicode"/>
                <w:b/>
                <w:bCs/>
                <w:szCs w:val="20"/>
              </w:rPr>
              <w:t> </w:t>
            </w:r>
          </w:p>
        </w:tc>
        <w:tc>
          <w:tcPr>
            <w:tcW w:w="1214" w:type="dxa"/>
            <w:tcBorders>
              <w:top w:val="nil"/>
              <w:left w:val="nil"/>
              <w:bottom w:val="single" w:sz="4" w:space="0" w:color="auto"/>
              <w:right w:val="single" w:sz="4" w:space="0" w:color="auto"/>
            </w:tcBorders>
            <w:shd w:val="clear" w:color="auto" w:fill="C0C0C0"/>
            <w:vAlign w:val="center"/>
            <w:hideMark/>
          </w:tcPr>
          <w:p w:rsidR="00A8556D" w:rsidRPr="007351D0" w:rsidRDefault="00A8556D" w:rsidP="00A8556D">
            <w:pPr>
              <w:jc w:val="center"/>
              <w:rPr>
                <w:rFonts w:cs="Lucida Sans Unicode"/>
                <w:b/>
                <w:bCs/>
                <w:spacing w:val="-6"/>
                <w:szCs w:val="20"/>
              </w:rPr>
            </w:pPr>
            <w:r w:rsidRPr="007351D0">
              <w:rPr>
                <w:rFonts w:cs="Lucida Sans Unicode"/>
                <w:b/>
                <w:bCs/>
                <w:spacing w:val="-6"/>
                <w:szCs w:val="20"/>
              </w:rPr>
              <w:t>Mio. Euro</w:t>
            </w:r>
          </w:p>
        </w:tc>
        <w:tc>
          <w:tcPr>
            <w:tcW w:w="1229" w:type="dxa"/>
            <w:tcBorders>
              <w:top w:val="nil"/>
              <w:left w:val="single" w:sz="4" w:space="0" w:color="auto"/>
              <w:bottom w:val="single" w:sz="4" w:space="0" w:color="auto"/>
              <w:right w:val="single" w:sz="4" w:space="0" w:color="auto"/>
            </w:tcBorders>
            <w:vAlign w:val="center"/>
            <w:hideMark/>
          </w:tcPr>
          <w:p w:rsidR="00A8556D" w:rsidRPr="007351D0" w:rsidRDefault="00A8556D" w:rsidP="00A8556D">
            <w:pPr>
              <w:jc w:val="center"/>
              <w:rPr>
                <w:rFonts w:cs="Lucida Sans Unicode"/>
                <w:b/>
                <w:bCs/>
                <w:spacing w:val="-6"/>
                <w:szCs w:val="20"/>
              </w:rPr>
            </w:pPr>
            <w:r w:rsidRPr="007351D0">
              <w:rPr>
                <w:rFonts w:cs="Lucida Sans Unicode"/>
                <w:b/>
                <w:bCs/>
                <w:spacing w:val="-6"/>
                <w:szCs w:val="20"/>
              </w:rPr>
              <w:t>Mio. Euro</w:t>
            </w:r>
          </w:p>
        </w:tc>
        <w:tc>
          <w:tcPr>
            <w:tcW w:w="1125" w:type="dxa"/>
            <w:tcBorders>
              <w:top w:val="nil"/>
              <w:left w:val="single" w:sz="4" w:space="0" w:color="auto"/>
              <w:bottom w:val="single" w:sz="4" w:space="0" w:color="auto"/>
              <w:right w:val="single" w:sz="4" w:space="0" w:color="auto"/>
            </w:tcBorders>
            <w:vAlign w:val="center"/>
            <w:hideMark/>
          </w:tcPr>
          <w:p w:rsidR="00A8556D" w:rsidRPr="007351D0" w:rsidRDefault="00A8556D" w:rsidP="00A8556D">
            <w:pPr>
              <w:jc w:val="center"/>
              <w:rPr>
                <w:rFonts w:cs="Lucida Sans Unicode"/>
                <w:b/>
                <w:bCs/>
                <w:spacing w:val="-6"/>
                <w:szCs w:val="20"/>
              </w:rPr>
            </w:pPr>
            <w:r w:rsidRPr="007351D0">
              <w:rPr>
                <w:rFonts w:cs="Lucida Sans Unicode"/>
                <w:b/>
                <w:bCs/>
                <w:spacing w:val="-6"/>
                <w:szCs w:val="20"/>
              </w:rPr>
              <w:t>in %</w:t>
            </w:r>
          </w:p>
        </w:tc>
        <w:tc>
          <w:tcPr>
            <w:tcW w:w="1114" w:type="dxa"/>
            <w:tcBorders>
              <w:top w:val="nil"/>
              <w:left w:val="nil"/>
              <w:bottom w:val="single" w:sz="4" w:space="0" w:color="auto"/>
              <w:right w:val="single" w:sz="4" w:space="0" w:color="auto"/>
            </w:tcBorders>
            <w:shd w:val="clear" w:color="auto" w:fill="C0C0C0"/>
            <w:vAlign w:val="center"/>
            <w:hideMark/>
          </w:tcPr>
          <w:p w:rsidR="00A8556D" w:rsidRPr="007351D0" w:rsidRDefault="00A8556D" w:rsidP="00A8556D">
            <w:pPr>
              <w:jc w:val="center"/>
              <w:rPr>
                <w:rFonts w:cs="Lucida Sans Unicode"/>
                <w:b/>
                <w:bCs/>
                <w:spacing w:val="-6"/>
                <w:szCs w:val="20"/>
              </w:rPr>
            </w:pPr>
            <w:r w:rsidRPr="007351D0">
              <w:rPr>
                <w:rFonts w:cs="Lucida Sans Unicode"/>
                <w:b/>
                <w:bCs/>
                <w:spacing w:val="-6"/>
                <w:szCs w:val="20"/>
              </w:rPr>
              <w:t>Mio. Euro</w:t>
            </w:r>
          </w:p>
        </w:tc>
        <w:tc>
          <w:tcPr>
            <w:tcW w:w="1198" w:type="dxa"/>
            <w:tcBorders>
              <w:top w:val="nil"/>
              <w:left w:val="single" w:sz="4" w:space="0" w:color="auto"/>
              <w:bottom w:val="single" w:sz="4" w:space="0" w:color="auto"/>
              <w:right w:val="single" w:sz="4" w:space="0" w:color="auto"/>
            </w:tcBorders>
            <w:vAlign w:val="center"/>
            <w:hideMark/>
          </w:tcPr>
          <w:p w:rsidR="00A8556D" w:rsidRPr="007351D0" w:rsidRDefault="00A8556D" w:rsidP="00A8556D">
            <w:pPr>
              <w:jc w:val="center"/>
              <w:rPr>
                <w:rFonts w:cs="Lucida Sans Unicode"/>
                <w:b/>
                <w:bCs/>
                <w:spacing w:val="-6"/>
                <w:szCs w:val="20"/>
              </w:rPr>
            </w:pPr>
            <w:r w:rsidRPr="007351D0">
              <w:rPr>
                <w:rFonts w:cs="Lucida Sans Unicode"/>
                <w:b/>
                <w:bCs/>
                <w:spacing w:val="-6"/>
                <w:szCs w:val="20"/>
              </w:rPr>
              <w:t>Mio. Euro</w:t>
            </w:r>
          </w:p>
        </w:tc>
        <w:tc>
          <w:tcPr>
            <w:tcW w:w="1122" w:type="dxa"/>
            <w:gridSpan w:val="2"/>
            <w:tcBorders>
              <w:top w:val="nil"/>
              <w:left w:val="single" w:sz="4" w:space="0" w:color="auto"/>
              <w:bottom w:val="single" w:sz="4" w:space="0" w:color="auto"/>
              <w:right w:val="single" w:sz="4" w:space="0" w:color="auto"/>
            </w:tcBorders>
            <w:vAlign w:val="center"/>
            <w:hideMark/>
          </w:tcPr>
          <w:p w:rsidR="00A8556D" w:rsidRPr="007351D0" w:rsidRDefault="00A8556D" w:rsidP="00A8556D">
            <w:pPr>
              <w:jc w:val="center"/>
              <w:rPr>
                <w:rFonts w:cs="Lucida Sans Unicode"/>
                <w:b/>
                <w:bCs/>
                <w:spacing w:val="-6"/>
                <w:szCs w:val="20"/>
              </w:rPr>
            </w:pPr>
            <w:r w:rsidRPr="007351D0">
              <w:rPr>
                <w:rFonts w:cs="Lucida Sans Unicode"/>
                <w:b/>
                <w:bCs/>
                <w:spacing w:val="-6"/>
                <w:szCs w:val="20"/>
              </w:rPr>
              <w:t>in %</w:t>
            </w:r>
          </w:p>
        </w:tc>
      </w:tr>
      <w:tr w:rsidR="00A8556D" w:rsidRPr="007351D0" w:rsidTr="00A8556D">
        <w:trPr>
          <w:trHeight w:val="255"/>
        </w:trPr>
        <w:tc>
          <w:tcPr>
            <w:tcW w:w="3134" w:type="dxa"/>
            <w:tcBorders>
              <w:top w:val="single" w:sz="4" w:space="0" w:color="auto"/>
              <w:left w:val="single" w:sz="4" w:space="0" w:color="auto"/>
              <w:bottom w:val="single" w:sz="4" w:space="0" w:color="auto"/>
              <w:right w:val="single" w:sz="4" w:space="0" w:color="auto"/>
            </w:tcBorders>
            <w:noWrap/>
            <w:vAlign w:val="center"/>
            <w:hideMark/>
          </w:tcPr>
          <w:p w:rsidR="00A8556D" w:rsidRPr="007351D0" w:rsidRDefault="00A8556D" w:rsidP="00A8556D">
            <w:pPr>
              <w:rPr>
                <w:rFonts w:cs="Lucida Sans Unicode"/>
                <w:szCs w:val="20"/>
              </w:rPr>
            </w:pPr>
            <w:r w:rsidRPr="007351D0">
              <w:rPr>
                <w:rFonts w:cs="Lucida Sans Unicode"/>
                <w:szCs w:val="20"/>
              </w:rPr>
              <w:t>Consumer, Health &amp; Nutrition</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A8556D" w:rsidRPr="007351D0" w:rsidRDefault="00A8556D" w:rsidP="00A8556D">
            <w:pPr>
              <w:jc w:val="right"/>
              <w:rPr>
                <w:rFonts w:cs="Lucida Sans Unicode"/>
                <w:szCs w:val="20"/>
              </w:rPr>
            </w:pPr>
            <w:r>
              <w:rPr>
                <w:rFonts w:cs="Lucida Sans Unicode"/>
                <w:szCs w:val="20"/>
              </w:rPr>
              <w:t>4.207</w:t>
            </w:r>
          </w:p>
        </w:tc>
        <w:tc>
          <w:tcPr>
            <w:tcW w:w="1229" w:type="dxa"/>
            <w:tcBorders>
              <w:top w:val="single" w:sz="4" w:space="0" w:color="auto"/>
              <w:left w:val="single" w:sz="4" w:space="0" w:color="auto"/>
              <w:bottom w:val="single" w:sz="4" w:space="0" w:color="auto"/>
              <w:right w:val="single" w:sz="4" w:space="0" w:color="auto"/>
            </w:tcBorders>
            <w:noWrap/>
            <w:vAlign w:val="center"/>
          </w:tcPr>
          <w:p w:rsidR="00A8556D" w:rsidRPr="007351D0" w:rsidRDefault="00A8556D" w:rsidP="00A8556D">
            <w:pPr>
              <w:jc w:val="right"/>
              <w:rPr>
                <w:rFonts w:cs="Lucida Sans Unicode"/>
                <w:szCs w:val="20"/>
              </w:rPr>
            </w:pPr>
            <w:r>
              <w:rPr>
                <w:rFonts w:cs="Lucida Sans Unicode"/>
                <w:szCs w:val="20"/>
              </w:rPr>
              <w:t>4.204</w:t>
            </w:r>
          </w:p>
        </w:tc>
        <w:tc>
          <w:tcPr>
            <w:tcW w:w="1125" w:type="dxa"/>
            <w:tcBorders>
              <w:top w:val="nil"/>
              <w:left w:val="single" w:sz="4" w:space="0" w:color="auto"/>
              <w:bottom w:val="single" w:sz="4" w:space="0" w:color="auto"/>
              <w:right w:val="single" w:sz="4" w:space="0" w:color="auto"/>
            </w:tcBorders>
            <w:noWrap/>
            <w:vAlign w:val="bottom"/>
          </w:tcPr>
          <w:p w:rsidR="00A8556D" w:rsidRPr="007351D0" w:rsidRDefault="00CF6A1E" w:rsidP="00A8556D">
            <w:pPr>
              <w:jc w:val="right"/>
              <w:rPr>
                <w:rFonts w:cs="Lucida Sans Unicode"/>
                <w:szCs w:val="20"/>
              </w:rPr>
            </w:pPr>
            <w:r>
              <w:rPr>
                <w:rFonts w:cs="Lucida Sans Unicode"/>
                <w:szCs w:val="20"/>
              </w:rPr>
              <w:t>0</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A8556D" w:rsidRPr="007351D0" w:rsidRDefault="00A8556D" w:rsidP="00A8556D">
            <w:pPr>
              <w:jc w:val="right"/>
              <w:rPr>
                <w:rFonts w:cs="Lucida Sans Unicode"/>
                <w:szCs w:val="20"/>
              </w:rPr>
            </w:pPr>
            <w:r>
              <w:rPr>
                <w:rFonts w:cs="Lucida Sans Unicode"/>
                <w:szCs w:val="20"/>
              </w:rPr>
              <w:t>910</w:t>
            </w:r>
          </w:p>
        </w:tc>
        <w:tc>
          <w:tcPr>
            <w:tcW w:w="1198" w:type="dxa"/>
            <w:tcBorders>
              <w:top w:val="single" w:sz="4" w:space="0" w:color="auto"/>
              <w:left w:val="single" w:sz="4" w:space="0" w:color="auto"/>
              <w:bottom w:val="single" w:sz="4" w:space="0" w:color="auto"/>
              <w:right w:val="single" w:sz="4" w:space="0" w:color="auto"/>
            </w:tcBorders>
            <w:noWrap/>
            <w:vAlign w:val="center"/>
          </w:tcPr>
          <w:p w:rsidR="00A8556D" w:rsidRPr="007351D0" w:rsidRDefault="00A8556D" w:rsidP="00A8556D">
            <w:pPr>
              <w:jc w:val="right"/>
              <w:rPr>
                <w:rFonts w:cs="Lucida Sans Unicode"/>
                <w:szCs w:val="20"/>
              </w:rPr>
            </w:pPr>
            <w:r>
              <w:rPr>
                <w:rFonts w:cs="Lucida Sans Unicode"/>
                <w:szCs w:val="20"/>
              </w:rPr>
              <w:t>1.055</w:t>
            </w:r>
          </w:p>
        </w:tc>
        <w:tc>
          <w:tcPr>
            <w:tcW w:w="1122" w:type="dxa"/>
            <w:gridSpan w:val="2"/>
            <w:tcBorders>
              <w:top w:val="nil"/>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r>
              <w:rPr>
                <w:rFonts w:cs="Lucida Sans Unicode"/>
                <w:szCs w:val="20"/>
              </w:rPr>
              <w:t>-14</w:t>
            </w:r>
          </w:p>
        </w:tc>
      </w:tr>
      <w:tr w:rsidR="00A8556D" w:rsidRPr="007351D0" w:rsidTr="00A8556D">
        <w:trPr>
          <w:trHeight w:val="255"/>
        </w:trPr>
        <w:tc>
          <w:tcPr>
            <w:tcW w:w="3134" w:type="dxa"/>
            <w:tcBorders>
              <w:top w:val="single" w:sz="4" w:space="0" w:color="auto"/>
              <w:left w:val="single" w:sz="4" w:space="0" w:color="auto"/>
              <w:bottom w:val="single" w:sz="4" w:space="0" w:color="auto"/>
              <w:right w:val="single" w:sz="4" w:space="0" w:color="auto"/>
            </w:tcBorders>
            <w:noWrap/>
            <w:vAlign w:val="center"/>
            <w:hideMark/>
          </w:tcPr>
          <w:p w:rsidR="00A8556D" w:rsidRPr="007351D0" w:rsidRDefault="00A8556D" w:rsidP="00A8556D">
            <w:pPr>
              <w:rPr>
                <w:rFonts w:cs="Lucida Sans Unicode"/>
                <w:szCs w:val="20"/>
              </w:rPr>
            </w:pPr>
            <w:r w:rsidRPr="007351D0">
              <w:rPr>
                <w:rFonts w:cs="Lucida Sans Unicode"/>
                <w:szCs w:val="20"/>
              </w:rPr>
              <w:t>Resource Efficiency</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A8556D" w:rsidRPr="007351D0" w:rsidRDefault="00A8556D" w:rsidP="00A8556D">
            <w:pPr>
              <w:jc w:val="right"/>
              <w:rPr>
                <w:rFonts w:cs="Lucida Sans Unicode"/>
                <w:szCs w:val="20"/>
              </w:rPr>
            </w:pPr>
            <w:r>
              <w:rPr>
                <w:rFonts w:cs="Lucida Sans Unicode"/>
                <w:szCs w:val="20"/>
              </w:rPr>
              <w:t>3.084</w:t>
            </w:r>
          </w:p>
        </w:tc>
        <w:tc>
          <w:tcPr>
            <w:tcW w:w="1229" w:type="dxa"/>
            <w:tcBorders>
              <w:top w:val="single" w:sz="4" w:space="0" w:color="auto"/>
              <w:left w:val="single" w:sz="4" w:space="0" w:color="auto"/>
              <w:bottom w:val="single" w:sz="4" w:space="0" w:color="auto"/>
              <w:right w:val="single" w:sz="4" w:space="0" w:color="auto"/>
            </w:tcBorders>
            <w:noWrap/>
            <w:vAlign w:val="center"/>
          </w:tcPr>
          <w:p w:rsidR="00A8556D" w:rsidRPr="007351D0" w:rsidRDefault="00A8556D" w:rsidP="00A8556D">
            <w:pPr>
              <w:jc w:val="right"/>
              <w:rPr>
                <w:rFonts w:cs="Lucida Sans Unicode"/>
                <w:szCs w:val="20"/>
              </w:rPr>
            </w:pPr>
            <w:r>
              <w:rPr>
                <w:rFonts w:cs="Lucida Sans Unicode"/>
                <w:szCs w:val="20"/>
              </w:rPr>
              <w:t>3.131</w:t>
            </w:r>
          </w:p>
        </w:tc>
        <w:tc>
          <w:tcPr>
            <w:tcW w:w="1125" w:type="dxa"/>
            <w:tcBorders>
              <w:top w:val="nil"/>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r>
              <w:rPr>
                <w:rFonts w:cs="Lucida Sans Unicode"/>
                <w:szCs w:val="20"/>
              </w:rPr>
              <w:t>-</w:t>
            </w:r>
            <w:r w:rsidR="00CF6A1E">
              <w:rPr>
                <w:rFonts w:cs="Lucida Sans Unicode"/>
                <w:szCs w:val="20"/>
              </w:rPr>
              <w:t>2</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A8556D" w:rsidRPr="007351D0" w:rsidRDefault="00A8556D" w:rsidP="00A8556D">
            <w:pPr>
              <w:jc w:val="right"/>
              <w:rPr>
                <w:rFonts w:cs="Lucida Sans Unicode"/>
                <w:szCs w:val="20"/>
              </w:rPr>
            </w:pPr>
            <w:r>
              <w:rPr>
                <w:rFonts w:cs="Lucida Sans Unicode"/>
                <w:szCs w:val="20"/>
              </w:rPr>
              <w:t>656</w:t>
            </w:r>
          </w:p>
        </w:tc>
        <w:tc>
          <w:tcPr>
            <w:tcW w:w="1198" w:type="dxa"/>
            <w:tcBorders>
              <w:top w:val="single" w:sz="4" w:space="0" w:color="auto"/>
              <w:left w:val="single" w:sz="4" w:space="0" w:color="auto"/>
              <w:bottom w:val="single" w:sz="4" w:space="0" w:color="auto"/>
              <w:right w:val="single" w:sz="4" w:space="0" w:color="auto"/>
            </w:tcBorders>
            <w:noWrap/>
            <w:vAlign w:val="center"/>
          </w:tcPr>
          <w:p w:rsidR="00A8556D" w:rsidRPr="007351D0" w:rsidRDefault="00A8556D" w:rsidP="00A8556D">
            <w:pPr>
              <w:jc w:val="right"/>
              <w:rPr>
                <w:rFonts w:cs="Lucida Sans Unicode"/>
                <w:szCs w:val="20"/>
              </w:rPr>
            </w:pPr>
            <w:r>
              <w:rPr>
                <w:rFonts w:cs="Lucida Sans Unicode"/>
                <w:szCs w:val="20"/>
              </w:rPr>
              <w:t>663</w:t>
            </w:r>
          </w:p>
        </w:tc>
        <w:tc>
          <w:tcPr>
            <w:tcW w:w="1122" w:type="dxa"/>
            <w:gridSpan w:val="2"/>
            <w:tcBorders>
              <w:top w:val="nil"/>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r>
              <w:rPr>
                <w:rFonts w:cs="Lucida Sans Unicode"/>
                <w:szCs w:val="20"/>
              </w:rPr>
              <w:t>-</w:t>
            </w:r>
            <w:r w:rsidR="00CF6A1E">
              <w:rPr>
                <w:rFonts w:cs="Lucida Sans Unicode"/>
                <w:szCs w:val="20"/>
              </w:rPr>
              <w:t>1</w:t>
            </w:r>
          </w:p>
        </w:tc>
      </w:tr>
      <w:tr w:rsidR="00A8556D" w:rsidRPr="007351D0" w:rsidTr="00A8556D">
        <w:trPr>
          <w:trHeight w:val="255"/>
        </w:trPr>
        <w:tc>
          <w:tcPr>
            <w:tcW w:w="3134" w:type="dxa"/>
            <w:tcBorders>
              <w:top w:val="single" w:sz="4" w:space="0" w:color="auto"/>
              <w:left w:val="single" w:sz="4" w:space="0" w:color="auto"/>
              <w:bottom w:val="single" w:sz="4" w:space="0" w:color="auto"/>
              <w:right w:val="single" w:sz="4" w:space="0" w:color="auto"/>
            </w:tcBorders>
            <w:noWrap/>
            <w:vAlign w:val="center"/>
            <w:hideMark/>
          </w:tcPr>
          <w:p w:rsidR="00A8556D" w:rsidRPr="007351D0" w:rsidRDefault="00A8556D" w:rsidP="00A8556D">
            <w:pPr>
              <w:rPr>
                <w:rFonts w:cs="Lucida Sans Unicode"/>
                <w:szCs w:val="20"/>
              </w:rPr>
            </w:pPr>
            <w:r w:rsidRPr="007351D0">
              <w:rPr>
                <w:rFonts w:cs="Lucida Sans Unicode"/>
                <w:szCs w:val="20"/>
              </w:rPr>
              <w:t>Specialty Materials</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A8556D" w:rsidRPr="007351D0" w:rsidRDefault="00A8556D" w:rsidP="00A8556D">
            <w:pPr>
              <w:jc w:val="right"/>
              <w:rPr>
                <w:rFonts w:cs="Lucida Sans Unicode"/>
                <w:szCs w:val="20"/>
              </w:rPr>
            </w:pPr>
            <w:r>
              <w:rPr>
                <w:rFonts w:cs="Lucida Sans Unicode"/>
                <w:szCs w:val="20"/>
              </w:rPr>
              <w:t>4.490</w:t>
            </w:r>
          </w:p>
        </w:tc>
        <w:tc>
          <w:tcPr>
            <w:tcW w:w="1229" w:type="dxa"/>
            <w:tcBorders>
              <w:top w:val="single" w:sz="4" w:space="0" w:color="auto"/>
              <w:left w:val="single" w:sz="4" w:space="0" w:color="auto"/>
              <w:bottom w:val="single" w:sz="4" w:space="0" w:color="auto"/>
              <w:right w:val="single" w:sz="4" w:space="0" w:color="auto"/>
            </w:tcBorders>
            <w:noWrap/>
            <w:vAlign w:val="center"/>
          </w:tcPr>
          <w:p w:rsidR="00A8556D" w:rsidRPr="007351D0" w:rsidRDefault="00A8556D" w:rsidP="00A8556D">
            <w:pPr>
              <w:jc w:val="right"/>
              <w:rPr>
                <w:rFonts w:cs="Lucida Sans Unicode"/>
                <w:szCs w:val="20"/>
              </w:rPr>
            </w:pPr>
            <w:r>
              <w:rPr>
                <w:rFonts w:cs="Lucida Sans Unicode"/>
                <w:szCs w:val="20"/>
              </w:rPr>
              <w:t>4.843</w:t>
            </w:r>
          </w:p>
        </w:tc>
        <w:tc>
          <w:tcPr>
            <w:tcW w:w="1125" w:type="dxa"/>
            <w:tcBorders>
              <w:top w:val="nil"/>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r>
              <w:rPr>
                <w:rFonts w:cs="Lucida Sans Unicode"/>
                <w:szCs w:val="20"/>
              </w:rPr>
              <w:t>-</w:t>
            </w:r>
            <w:r w:rsidR="00CF6A1E">
              <w:rPr>
                <w:rFonts w:cs="Lucida Sans Unicode"/>
                <w:szCs w:val="20"/>
              </w:rPr>
              <w:t>7</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A8556D" w:rsidRPr="007351D0" w:rsidRDefault="00A8556D" w:rsidP="00A8556D">
            <w:pPr>
              <w:jc w:val="right"/>
              <w:rPr>
                <w:rFonts w:cs="Lucida Sans Unicode"/>
                <w:szCs w:val="20"/>
              </w:rPr>
            </w:pPr>
            <w:r>
              <w:rPr>
                <w:rFonts w:cs="Lucida Sans Unicode"/>
                <w:szCs w:val="20"/>
              </w:rPr>
              <w:t>552</w:t>
            </w:r>
          </w:p>
        </w:tc>
        <w:tc>
          <w:tcPr>
            <w:tcW w:w="1198" w:type="dxa"/>
            <w:tcBorders>
              <w:top w:val="single" w:sz="4" w:space="0" w:color="auto"/>
              <w:left w:val="single" w:sz="4" w:space="0" w:color="auto"/>
              <w:bottom w:val="single" w:sz="4" w:space="0" w:color="auto"/>
              <w:right w:val="single" w:sz="4" w:space="0" w:color="auto"/>
            </w:tcBorders>
            <w:noWrap/>
            <w:vAlign w:val="center"/>
          </w:tcPr>
          <w:p w:rsidR="00A8556D" w:rsidRPr="007351D0" w:rsidRDefault="00A8556D" w:rsidP="00A8556D">
            <w:pPr>
              <w:jc w:val="right"/>
              <w:rPr>
                <w:rFonts w:cs="Lucida Sans Unicode"/>
                <w:szCs w:val="20"/>
              </w:rPr>
            </w:pPr>
            <w:r>
              <w:rPr>
                <w:rFonts w:cs="Lucida Sans Unicode"/>
                <w:szCs w:val="20"/>
              </w:rPr>
              <w:t>853</w:t>
            </w:r>
          </w:p>
        </w:tc>
        <w:tc>
          <w:tcPr>
            <w:tcW w:w="1122" w:type="dxa"/>
            <w:gridSpan w:val="2"/>
            <w:tcBorders>
              <w:top w:val="nil"/>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r>
              <w:rPr>
                <w:rFonts w:cs="Lucida Sans Unicode"/>
                <w:szCs w:val="20"/>
              </w:rPr>
              <w:t>-3</w:t>
            </w:r>
            <w:r w:rsidR="00CF6A1E">
              <w:rPr>
                <w:rFonts w:cs="Lucida Sans Unicode"/>
                <w:szCs w:val="20"/>
              </w:rPr>
              <w:t>5</w:t>
            </w:r>
          </w:p>
        </w:tc>
      </w:tr>
      <w:tr w:rsidR="00A8556D" w:rsidRPr="007351D0" w:rsidTr="00A8556D">
        <w:trPr>
          <w:trHeight w:val="255"/>
        </w:trPr>
        <w:tc>
          <w:tcPr>
            <w:tcW w:w="3134" w:type="dxa"/>
            <w:tcBorders>
              <w:top w:val="nil"/>
              <w:left w:val="single" w:sz="4" w:space="0" w:color="auto"/>
              <w:bottom w:val="single" w:sz="4" w:space="0" w:color="auto"/>
              <w:right w:val="single" w:sz="4" w:space="0" w:color="auto"/>
            </w:tcBorders>
            <w:noWrap/>
            <w:vAlign w:val="center"/>
            <w:hideMark/>
          </w:tcPr>
          <w:p w:rsidR="00A8556D" w:rsidRPr="007351D0" w:rsidRDefault="00A8556D" w:rsidP="00A8556D">
            <w:pPr>
              <w:rPr>
                <w:rFonts w:cs="Lucida Sans Unicode"/>
                <w:szCs w:val="20"/>
              </w:rPr>
            </w:pPr>
            <w:r w:rsidRPr="007351D0">
              <w:rPr>
                <w:rFonts w:cs="Lucida Sans Unicode"/>
                <w:szCs w:val="20"/>
              </w:rPr>
              <w:t>Services</w:t>
            </w:r>
          </w:p>
        </w:tc>
        <w:tc>
          <w:tcPr>
            <w:tcW w:w="1214" w:type="dxa"/>
            <w:tcBorders>
              <w:top w:val="nil"/>
              <w:left w:val="nil"/>
              <w:bottom w:val="single" w:sz="4" w:space="0" w:color="auto"/>
              <w:right w:val="single" w:sz="4" w:space="0" w:color="auto"/>
            </w:tcBorders>
            <w:shd w:val="clear" w:color="auto" w:fill="C0C0C0"/>
            <w:noWrap/>
            <w:vAlign w:val="center"/>
          </w:tcPr>
          <w:p w:rsidR="00A8556D" w:rsidRPr="007351D0" w:rsidRDefault="00A8556D" w:rsidP="00A8556D">
            <w:pPr>
              <w:jc w:val="right"/>
              <w:rPr>
                <w:rFonts w:cs="Lucida Sans Unicode"/>
                <w:szCs w:val="20"/>
              </w:rPr>
            </w:pPr>
            <w:r>
              <w:rPr>
                <w:rFonts w:cs="Lucida Sans Unicode"/>
                <w:szCs w:val="20"/>
              </w:rPr>
              <w:t>916</w:t>
            </w:r>
          </w:p>
        </w:tc>
        <w:tc>
          <w:tcPr>
            <w:tcW w:w="1229" w:type="dxa"/>
            <w:tcBorders>
              <w:top w:val="nil"/>
              <w:left w:val="single" w:sz="4" w:space="0" w:color="auto"/>
              <w:bottom w:val="single" w:sz="4" w:space="0" w:color="auto"/>
              <w:right w:val="single" w:sz="4" w:space="0" w:color="auto"/>
            </w:tcBorders>
            <w:noWrap/>
            <w:vAlign w:val="center"/>
          </w:tcPr>
          <w:p w:rsidR="00A8556D" w:rsidRPr="007351D0" w:rsidRDefault="00A8556D" w:rsidP="00A8556D">
            <w:pPr>
              <w:jc w:val="right"/>
              <w:rPr>
                <w:rFonts w:cs="Lucida Sans Unicode"/>
                <w:szCs w:val="20"/>
              </w:rPr>
            </w:pPr>
            <w:r>
              <w:rPr>
                <w:rFonts w:cs="Lucida Sans Unicode"/>
                <w:szCs w:val="20"/>
              </w:rPr>
              <w:t>999</w:t>
            </w:r>
          </w:p>
        </w:tc>
        <w:tc>
          <w:tcPr>
            <w:tcW w:w="1125" w:type="dxa"/>
            <w:tcBorders>
              <w:top w:val="nil"/>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r>
              <w:rPr>
                <w:rFonts w:cs="Lucida Sans Unicode"/>
                <w:szCs w:val="20"/>
              </w:rPr>
              <w:t>-</w:t>
            </w:r>
            <w:r w:rsidR="00CF6A1E">
              <w:rPr>
                <w:rFonts w:cs="Lucida Sans Unicode"/>
                <w:szCs w:val="20"/>
              </w:rPr>
              <w:t>8</w:t>
            </w:r>
          </w:p>
        </w:tc>
        <w:tc>
          <w:tcPr>
            <w:tcW w:w="1114" w:type="dxa"/>
            <w:tcBorders>
              <w:top w:val="nil"/>
              <w:left w:val="nil"/>
              <w:bottom w:val="single" w:sz="4" w:space="0" w:color="auto"/>
              <w:right w:val="single" w:sz="4" w:space="0" w:color="auto"/>
            </w:tcBorders>
            <w:shd w:val="clear" w:color="auto" w:fill="C0C0C0"/>
            <w:noWrap/>
            <w:vAlign w:val="center"/>
          </w:tcPr>
          <w:p w:rsidR="00A8556D" w:rsidRPr="007351D0" w:rsidRDefault="00A8556D" w:rsidP="00A8556D">
            <w:pPr>
              <w:jc w:val="right"/>
              <w:rPr>
                <w:rFonts w:cs="Lucida Sans Unicode"/>
                <w:szCs w:val="20"/>
              </w:rPr>
            </w:pPr>
            <w:r>
              <w:rPr>
                <w:rFonts w:cs="Lucida Sans Unicode"/>
                <w:szCs w:val="20"/>
              </w:rPr>
              <w:t>182</w:t>
            </w:r>
          </w:p>
        </w:tc>
        <w:tc>
          <w:tcPr>
            <w:tcW w:w="1198" w:type="dxa"/>
            <w:tcBorders>
              <w:top w:val="nil"/>
              <w:left w:val="single" w:sz="4" w:space="0" w:color="auto"/>
              <w:bottom w:val="single" w:sz="4" w:space="0" w:color="auto"/>
              <w:right w:val="single" w:sz="4" w:space="0" w:color="auto"/>
            </w:tcBorders>
            <w:noWrap/>
            <w:vAlign w:val="center"/>
          </w:tcPr>
          <w:p w:rsidR="00A8556D" w:rsidRPr="007351D0" w:rsidRDefault="00A8556D" w:rsidP="00A8556D">
            <w:pPr>
              <w:jc w:val="right"/>
              <w:rPr>
                <w:rFonts w:cs="Lucida Sans Unicode"/>
                <w:szCs w:val="20"/>
              </w:rPr>
            </w:pPr>
            <w:r>
              <w:rPr>
                <w:rFonts w:cs="Lucida Sans Unicode"/>
                <w:szCs w:val="20"/>
              </w:rPr>
              <w:t>174</w:t>
            </w:r>
          </w:p>
        </w:tc>
        <w:tc>
          <w:tcPr>
            <w:tcW w:w="1122" w:type="dxa"/>
            <w:gridSpan w:val="2"/>
            <w:tcBorders>
              <w:top w:val="nil"/>
              <w:left w:val="single" w:sz="4" w:space="0" w:color="auto"/>
              <w:bottom w:val="single" w:sz="4" w:space="0" w:color="auto"/>
              <w:right w:val="single" w:sz="4" w:space="0" w:color="auto"/>
            </w:tcBorders>
            <w:noWrap/>
            <w:vAlign w:val="bottom"/>
          </w:tcPr>
          <w:p w:rsidR="00A8556D" w:rsidRPr="007351D0" w:rsidRDefault="00CF6A1E" w:rsidP="00A8556D">
            <w:pPr>
              <w:jc w:val="right"/>
              <w:rPr>
                <w:rFonts w:cs="Lucida Sans Unicode"/>
                <w:szCs w:val="20"/>
              </w:rPr>
            </w:pPr>
            <w:r>
              <w:rPr>
                <w:rFonts w:cs="Lucida Sans Unicode"/>
                <w:szCs w:val="20"/>
              </w:rPr>
              <w:t>5</w:t>
            </w:r>
          </w:p>
        </w:tc>
      </w:tr>
      <w:tr w:rsidR="00A8556D" w:rsidRPr="007351D0" w:rsidTr="00A8556D">
        <w:trPr>
          <w:trHeight w:val="255"/>
        </w:trPr>
        <w:tc>
          <w:tcPr>
            <w:tcW w:w="3134" w:type="dxa"/>
            <w:tcBorders>
              <w:top w:val="nil"/>
              <w:left w:val="single" w:sz="4" w:space="0" w:color="auto"/>
              <w:bottom w:val="single" w:sz="4" w:space="0" w:color="auto"/>
              <w:right w:val="single" w:sz="4" w:space="0" w:color="auto"/>
            </w:tcBorders>
            <w:noWrap/>
            <w:vAlign w:val="center"/>
            <w:hideMark/>
          </w:tcPr>
          <w:p w:rsidR="00A8556D" w:rsidRPr="007351D0" w:rsidRDefault="00A8556D" w:rsidP="00A8556D">
            <w:pPr>
              <w:rPr>
                <w:rFonts w:cs="Lucida Sans Unicode"/>
                <w:szCs w:val="20"/>
              </w:rPr>
            </w:pPr>
            <w:r w:rsidRPr="00725E7B">
              <w:rPr>
                <w:rFonts w:cs="Lucida Sans Unicode"/>
                <w:szCs w:val="20"/>
              </w:rPr>
              <w:t>Sonstige Aktivitäten</w:t>
            </w:r>
          </w:p>
        </w:tc>
        <w:tc>
          <w:tcPr>
            <w:tcW w:w="1214" w:type="dxa"/>
            <w:tcBorders>
              <w:top w:val="nil"/>
              <w:left w:val="nil"/>
              <w:bottom w:val="single" w:sz="4" w:space="0" w:color="auto"/>
              <w:right w:val="single" w:sz="4" w:space="0" w:color="auto"/>
            </w:tcBorders>
            <w:shd w:val="clear" w:color="auto" w:fill="C0C0C0"/>
            <w:noWrap/>
            <w:vAlign w:val="center"/>
          </w:tcPr>
          <w:p w:rsidR="00A8556D" w:rsidRPr="007351D0" w:rsidRDefault="00A8556D" w:rsidP="00A8556D">
            <w:pPr>
              <w:jc w:val="right"/>
              <w:rPr>
                <w:rFonts w:cs="Lucida Sans Unicode"/>
                <w:szCs w:val="20"/>
              </w:rPr>
            </w:pPr>
            <w:r>
              <w:rPr>
                <w:rFonts w:cs="Lucida Sans Unicode"/>
                <w:szCs w:val="20"/>
              </w:rPr>
              <w:t>177</w:t>
            </w:r>
          </w:p>
        </w:tc>
        <w:tc>
          <w:tcPr>
            <w:tcW w:w="1229" w:type="dxa"/>
            <w:tcBorders>
              <w:top w:val="nil"/>
              <w:left w:val="single" w:sz="4" w:space="0" w:color="auto"/>
              <w:bottom w:val="single" w:sz="4" w:space="0" w:color="auto"/>
              <w:right w:val="single" w:sz="4" w:space="0" w:color="auto"/>
            </w:tcBorders>
            <w:noWrap/>
            <w:vAlign w:val="center"/>
          </w:tcPr>
          <w:p w:rsidR="00A8556D" w:rsidRPr="007351D0" w:rsidRDefault="00A8556D" w:rsidP="00A8556D">
            <w:pPr>
              <w:jc w:val="right"/>
              <w:rPr>
                <w:rFonts w:cs="Lucida Sans Unicode"/>
                <w:szCs w:val="20"/>
              </w:rPr>
            </w:pPr>
            <w:r>
              <w:rPr>
                <w:rFonts w:cs="Lucida Sans Unicode"/>
                <w:szCs w:val="20"/>
              </w:rPr>
              <w:t>188</w:t>
            </w:r>
          </w:p>
        </w:tc>
        <w:tc>
          <w:tcPr>
            <w:tcW w:w="1125" w:type="dxa"/>
            <w:tcBorders>
              <w:top w:val="nil"/>
              <w:left w:val="single" w:sz="4" w:space="0" w:color="auto"/>
              <w:bottom w:val="single" w:sz="4" w:space="0" w:color="auto"/>
              <w:right w:val="single" w:sz="4" w:space="0" w:color="auto"/>
            </w:tcBorders>
            <w:noWrap/>
            <w:vAlign w:val="bottom"/>
          </w:tcPr>
          <w:p w:rsidR="00A8556D" w:rsidRPr="007351D0" w:rsidRDefault="009F4752" w:rsidP="00A8556D">
            <w:pPr>
              <w:jc w:val="right"/>
              <w:rPr>
                <w:rFonts w:cs="Lucida Sans Unicode"/>
                <w:szCs w:val="20"/>
              </w:rPr>
            </w:pPr>
            <w:r>
              <w:rPr>
                <w:rFonts w:cs="Lucida Sans Unicode"/>
                <w:szCs w:val="20"/>
              </w:rPr>
              <w:t>-6</w:t>
            </w:r>
          </w:p>
        </w:tc>
        <w:tc>
          <w:tcPr>
            <w:tcW w:w="1114" w:type="dxa"/>
            <w:tcBorders>
              <w:top w:val="nil"/>
              <w:left w:val="nil"/>
              <w:bottom w:val="single" w:sz="4" w:space="0" w:color="auto"/>
              <w:right w:val="single" w:sz="4" w:space="0" w:color="auto"/>
            </w:tcBorders>
            <w:shd w:val="clear" w:color="auto" w:fill="C0C0C0"/>
            <w:noWrap/>
            <w:vAlign w:val="center"/>
          </w:tcPr>
          <w:p w:rsidR="00A8556D" w:rsidRPr="007351D0" w:rsidRDefault="00A8556D" w:rsidP="00A8556D">
            <w:pPr>
              <w:jc w:val="right"/>
              <w:rPr>
                <w:rFonts w:cs="Lucida Sans Unicode"/>
                <w:szCs w:val="20"/>
              </w:rPr>
            </w:pPr>
            <w:r>
              <w:rPr>
                <w:rFonts w:cs="Lucida Sans Unicode"/>
                <w:szCs w:val="20"/>
              </w:rPr>
              <w:t>-293</w:t>
            </w:r>
          </w:p>
        </w:tc>
        <w:tc>
          <w:tcPr>
            <w:tcW w:w="1198" w:type="dxa"/>
            <w:tcBorders>
              <w:top w:val="nil"/>
              <w:left w:val="single" w:sz="4" w:space="0" w:color="auto"/>
              <w:bottom w:val="single" w:sz="4" w:space="0" w:color="auto"/>
              <w:right w:val="single" w:sz="4" w:space="0" w:color="auto"/>
            </w:tcBorders>
            <w:noWrap/>
            <w:vAlign w:val="center"/>
          </w:tcPr>
          <w:p w:rsidR="00A8556D" w:rsidRPr="007351D0" w:rsidRDefault="00A8556D" w:rsidP="009F4752">
            <w:pPr>
              <w:jc w:val="right"/>
              <w:rPr>
                <w:rFonts w:cs="Lucida Sans Unicode"/>
                <w:szCs w:val="20"/>
              </w:rPr>
            </w:pPr>
            <w:r>
              <w:rPr>
                <w:rFonts w:cs="Lucida Sans Unicode"/>
                <w:szCs w:val="20"/>
              </w:rPr>
              <w:t>-27</w:t>
            </w:r>
            <w:r w:rsidR="009F4752">
              <w:rPr>
                <w:rFonts w:cs="Lucida Sans Unicode"/>
                <w:szCs w:val="20"/>
              </w:rPr>
              <w:t>8</w:t>
            </w:r>
          </w:p>
        </w:tc>
        <w:tc>
          <w:tcPr>
            <w:tcW w:w="1122" w:type="dxa"/>
            <w:gridSpan w:val="2"/>
            <w:tcBorders>
              <w:top w:val="nil"/>
              <w:left w:val="single" w:sz="4" w:space="0" w:color="auto"/>
              <w:bottom w:val="single" w:sz="4" w:space="0" w:color="auto"/>
              <w:right w:val="single" w:sz="4" w:space="0" w:color="auto"/>
            </w:tcBorders>
            <w:noWrap/>
            <w:vAlign w:val="bottom"/>
          </w:tcPr>
          <w:p w:rsidR="00A8556D" w:rsidRPr="007351D0" w:rsidRDefault="00A8556D" w:rsidP="00A8556D">
            <w:pPr>
              <w:jc w:val="right"/>
              <w:rPr>
                <w:rFonts w:cs="Lucida Sans Unicode"/>
                <w:szCs w:val="20"/>
              </w:rPr>
            </w:pPr>
          </w:p>
        </w:tc>
      </w:tr>
      <w:tr w:rsidR="00A8556D" w:rsidRPr="00870A91" w:rsidTr="00A8556D">
        <w:trPr>
          <w:trHeight w:val="255"/>
        </w:trPr>
        <w:tc>
          <w:tcPr>
            <w:tcW w:w="3134" w:type="dxa"/>
            <w:tcBorders>
              <w:top w:val="single" w:sz="4" w:space="0" w:color="auto"/>
              <w:left w:val="single" w:sz="4" w:space="0" w:color="auto"/>
              <w:bottom w:val="single" w:sz="4" w:space="0" w:color="auto"/>
              <w:right w:val="single" w:sz="4" w:space="0" w:color="auto"/>
            </w:tcBorders>
            <w:noWrap/>
            <w:vAlign w:val="center"/>
            <w:hideMark/>
          </w:tcPr>
          <w:p w:rsidR="00A8556D" w:rsidRPr="00870A91" w:rsidRDefault="00A8556D" w:rsidP="00A8556D">
            <w:pPr>
              <w:rPr>
                <w:rFonts w:cs="Lucida Sans Unicode"/>
                <w:b/>
                <w:bCs/>
                <w:szCs w:val="20"/>
              </w:rPr>
            </w:pPr>
            <w:r w:rsidRPr="00870A91">
              <w:rPr>
                <w:rFonts w:cs="Lucida Sans Unicode"/>
                <w:b/>
                <w:bCs/>
                <w:szCs w:val="20"/>
              </w:rPr>
              <w:t>Konzern</w:t>
            </w:r>
          </w:p>
        </w:tc>
        <w:tc>
          <w:tcPr>
            <w:tcW w:w="1214" w:type="dxa"/>
            <w:tcBorders>
              <w:top w:val="single" w:sz="4" w:space="0" w:color="auto"/>
              <w:left w:val="nil"/>
              <w:bottom w:val="single" w:sz="4" w:space="0" w:color="auto"/>
              <w:right w:val="single" w:sz="4" w:space="0" w:color="auto"/>
            </w:tcBorders>
            <w:shd w:val="clear" w:color="auto" w:fill="C0C0C0"/>
            <w:noWrap/>
            <w:vAlign w:val="center"/>
          </w:tcPr>
          <w:p w:rsidR="00A8556D" w:rsidRPr="00870A91" w:rsidRDefault="00A8556D" w:rsidP="00A8556D">
            <w:pPr>
              <w:jc w:val="right"/>
              <w:rPr>
                <w:rFonts w:cs="Lucida Sans Unicode"/>
                <w:b/>
                <w:bCs/>
                <w:szCs w:val="20"/>
              </w:rPr>
            </w:pPr>
            <w:r>
              <w:rPr>
                <w:rFonts w:cs="Lucida Sans Unicode"/>
                <w:b/>
                <w:bCs/>
                <w:szCs w:val="20"/>
              </w:rPr>
              <w:t>12.874</w:t>
            </w:r>
          </w:p>
        </w:tc>
        <w:tc>
          <w:tcPr>
            <w:tcW w:w="1229" w:type="dxa"/>
            <w:tcBorders>
              <w:top w:val="single" w:sz="4" w:space="0" w:color="auto"/>
              <w:left w:val="single" w:sz="4" w:space="0" w:color="auto"/>
              <w:bottom w:val="single" w:sz="4" w:space="0" w:color="auto"/>
              <w:right w:val="single" w:sz="4" w:space="0" w:color="auto"/>
            </w:tcBorders>
            <w:noWrap/>
            <w:vAlign w:val="center"/>
          </w:tcPr>
          <w:p w:rsidR="00A8556D" w:rsidRPr="00870A91" w:rsidRDefault="00A8556D" w:rsidP="00A8556D">
            <w:pPr>
              <w:jc w:val="right"/>
              <w:rPr>
                <w:rFonts w:cs="Lucida Sans Unicode"/>
                <w:b/>
                <w:bCs/>
                <w:szCs w:val="20"/>
              </w:rPr>
            </w:pPr>
            <w:r>
              <w:rPr>
                <w:rFonts w:cs="Lucida Sans Unicode"/>
                <w:b/>
                <w:bCs/>
                <w:szCs w:val="20"/>
              </w:rPr>
              <w:t>13.365</w:t>
            </w:r>
          </w:p>
        </w:tc>
        <w:tc>
          <w:tcPr>
            <w:tcW w:w="1125" w:type="dxa"/>
            <w:tcBorders>
              <w:top w:val="single" w:sz="4" w:space="0" w:color="auto"/>
              <w:left w:val="single" w:sz="4" w:space="0" w:color="auto"/>
              <w:bottom w:val="single" w:sz="4" w:space="0" w:color="auto"/>
              <w:right w:val="single" w:sz="4" w:space="0" w:color="auto"/>
            </w:tcBorders>
            <w:noWrap/>
            <w:vAlign w:val="bottom"/>
          </w:tcPr>
          <w:p w:rsidR="00A8556D" w:rsidRPr="00870A91" w:rsidRDefault="00A8556D" w:rsidP="00A8556D">
            <w:pPr>
              <w:jc w:val="right"/>
              <w:rPr>
                <w:rFonts w:cs="Lucida Sans Unicode"/>
                <w:b/>
                <w:bCs/>
                <w:szCs w:val="20"/>
              </w:rPr>
            </w:pPr>
            <w:r>
              <w:rPr>
                <w:rFonts w:cs="Lucida Sans Unicode"/>
                <w:b/>
                <w:bCs/>
                <w:szCs w:val="20"/>
              </w:rPr>
              <w:t>-4</w:t>
            </w:r>
          </w:p>
        </w:tc>
        <w:tc>
          <w:tcPr>
            <w:tcW w:w="1114" w:type="dxa"/>
            <w:tcBorders>
              <w:top w:val="single" w:sz="4" w:space="0" w:color="auto"/>
              <w:left w:val="nil"/>
              <w:bottom w:val="single" w:sz="4" w:space="0" w:color="auto"/>
              <w:right w:val="single" w:sz="4" w:space="0" w:color="auto"/>
            </w:tcBorders>
            <w:shd w:val="clear" w:color="auto" w:fill="C0C0C0"/>
            <w:noWrap/>
            <w:vAlign w:val="center"/>
          </w:tcPr>
          <w:p w:rsidR="00A8556D" w:rsidRPr="00870A91" w:rsidRDefault="00A8556D" w:rsidP="00A8556D">
            <w:pPr>
              <w:jc w:val="right"/>
              <w:rPr>
                <w:rFonts w:cs="Lucida Sans Unicode"/>
                <w:b/>
                <w:bCs/>
                <w:szCs w:val="20"/>
              </w:rPr>
            </w:pPr>
            <w:r>
              <w:rPr>
                <w:rFonts w:cs="Lucida Sans Unicode"/>
                <w:b/>
                <w:bCs/>
                <w:szCs w:val="20"/>
              </w:rPr>
              <w:t>2.007</w:t>
            </w:r>
          </w:p>
        </w:tc>
        <w:tc>
          <w:tcPr>
            <w:tcW w:w="1198" w:type="dxa"/>
            <w:tcBorders>
              <w:top w:val="single" w:sz="4" w:space="0" w:color="auto"/>
              <w:left w:val="single" w:sz="4" w:space="0" w:color="auto"/>
              <w:bottom w:val="single" w:sz="4" w:space="0" w:color="auto"/>
              <w:right w:val="single" w:sz="4" w:space="0" w:color="auto"/>
            </w:tcBorders>
            <w:noWrap/>
            <w:vAlign w:val="center"/>
          </w:tcPr>
          <w:p w:rsidR="00A8556D" w:rsidRPr="00870A91" w:rsidRDefault="00A8556D" w:rsidP="00A8556D">
            <w:pPr>
              <w:jc w:val="right"/>
              <w:rPr>
                <w:rFonts w:cs="Lucida Sans Unicode"/>
                <w:b/>
                <w:bCs/>
                <w:szCs w:val="20"/>
              </w:rPr>
            </w:pPr>
            <w:r>
              <w:rPr>
                <w:rFonts w:cs="Lucida Sans Unicode"/>
                <w:b/>
                <w:bCs/>
                <w:szCs w:val="20"/>
              </w:rPr>
              <w:t>2.467</w:t>
            </w:r>
          </w:p>
        </w:tc>
        <w:tc>
          <w:tcPr>
            <w:tcW w:w="1122" w:type="dxa"/>
            <w:gridSpan w:val="2"/>
            <w:tcBorders>
              <w:top w:val="single" w:sz="4" w:space="0" w:color="auto"/>
              <w:left w:val="single" w:sz="4" w:space="0" w:color="auto"/>
              <w:bottom w:val="single" w:sz="4" w:space="0" w:color="auto"/>
              <w:right w:val="single" w:sz="4" w:space="0" w:color="auto"/>
            </w:tcBorders>
            <w:noWrap/>
            <w:vAlign w:val="bottom"/>
          </w:tcPr>
          <w:p w:rsidR="00A8556D" w:rsidRPr="00870A91" w:rsidRDefault="00CF6A1E" w:rsidP="009F4752">
            <w:pPr>
              <w:jc w:val="right"/>
              <w:rPr>
                <w:rFonts w:cs="Lucida Sans Unicode"/>
                <w:b/>
                <w:bCs/>
                <w:szCs w:val="20"/>
              </w:rPr>
            </w:pPr>
            <w:r>
              <w:rPr>
                <w:rFonts w:cs="Lucida Sans Unicode"/>
                <w:b/>
                <w:bCs/>
                <w:szCs w:val="20"/>
              </w:rPr>
              <w:t>-1</w:t>
            </w:r>
            <w:r w:rsidR="009F4752">
              <w:rPr>
                <w:rFonts w:cs="Lucida Sans Unicode"/>
                <w:b/>
                <w:bCs/>
                <w:szCs w:val="20"/>
              </w:rPr>
              <w:t>9</w:t>
            </w:r>
          </w:p>
        </w:tc>
      </w:tr>
    </w:tbl>
    <w:p w:rsidR="00A8556D" w:rsidRPr="00725E7B" w:rsidRDefault="00A8556D" w:rsidP="00A8556D">
      <w:pPr>
        <w:jc w:val="both"/>
        <w:rPr>
          <w:rFonts w:cs="Lucida Sans Unicode"/>
          <w:sz w:val="16"/>
          <w:szCs w:val="16"/>
        </w:rPr>
      </w:pPr>
      <w:r w:rsidRPr="00725E7B">
        <w:rPr>
          <w:rFonts w:cs="Lucida Sans Unicode"/>
          <w:sz w:val="16"/>
          <w:szCs w:val="16"/>
        </w:rPr>
        <w:t>Vorjahreszahlen angepasst</w:t>
      </w:r>
    </w:p>
    <w:p w:rsidR="00A8556D" w:rsidRPr="007351D0" w:rsidRDefault="00A8556D" w:rsidP="00A8556D">
      <w:pPr>
        <w:jc w:val="both"/>
        <w:outlineLvl w:val="0"/>
        <w:rPr>
          <w:rFonts w:cs="Lucida Sans Unicode"/>
          <w:b/>
          <w:sz w:val="20"/>
          <w:szCs w:val="20"/>
        </w:rPr>
      </w:pPr>
    </w:p>
    <w:p w:rsidR="009D734A" w:rsidRDefault="009D734A" w:rsidP="009D734A">
      <w:pPr>
        <w:spacing w:line="300" w:lineRule="exact"/>
        <w:rPr>
          <w:rFonts w:cs="Lucida Sans Unicode"/>
          <w:b/>
          <w:bCs/>
          <w:sz w:val="20"/>
          <w:szCs w:val="20"/>
        </w:rPr>
      </w:pPr>
    </w:p>
    <w:p w:rsidR="00A8556D" w:rsidRDefault="00A8556D">
      <w:pPr>
        <w:spacing w:line="240" w:lineRule="auto"/>
        <w:ind w:left="0" w:right="0"/>
        <w:rPr>
          <w:rFonts w:cs="Lucida Sans Unicode"/>
          <w:b/>
          <w:sz w:val="20"/>
          <w:szCs w:val="20"/>
        </w:rPr>
      </w:pPr>
      <w:r>
        <w:rPr>
          <w:rFonts w:cs="Lucida Sans Unicode"/>
          <w:b/>
          <w:sz w:val="20"/>
          <w:szCs w:val="20"/>
        </w:rPr>
        <w:br w:type="page"/>
      </w:r>
    </w:p>
    <w:p w:rsidR="00A8556D" w:rsidRPr="007351D0" w:rsidRDefault="00A8556D" w:rsidP="00A8556D">
      <w:pPr>
        <w:jc w:val="both"/>
        <w:outlineLvl w:val="0"/>
        <w:rPr>
          <w:rFonts w:cs="Lucida Sans Unicode"/>
          <w:b/>
          <w:sz w:val="20"/>
          <w:szCs w:val="20"/>
        </w:rPr>
      </w:pPr>
      <w:r w:rsidRPr="007351D0">
        <w:rPr>
          <w:rFonts w:cs="Lucida Sans Unicode"/>
          <w:b/>
          <w:sz w:val="20"/>
          <w:szCs w:val="20"/>
        </w:rPr>
        <w:lastRenderedPageBreak/>
        <w:t>Mitarbeiter nach Segmenten</w:t>
      </w:r>
    </w:p>
    <w:p w:rsidR="00A8556D" w:rsidRPr="007351D0" w:rsidRDefault="00A8556D" w:rsidP="00A8556D">
      <w:pPr>
        <w:spacing w:line="100" w:lineRule="exact"/>
        <w:jc w:val="both"/>
        <w:outlineLvl w:val="0"/>
        <w:rPr>
          <w:sz w:val="20"/>
          <w:szCs w:val="20"/>
        </w:rPr>
      </w:pPr>
    </w:p>
    <w:tbl>
      <w:tblPr>
        <w:tblStyle w:val="Tabellenraster"/>
        <w:tblW w:w="8123" w:type="dxa"/>
        <w:tblInd w:w="108" w:type="dxa"/>
        <w:tblLook w:val="01E0" w:firstRow="1" w:lastRow="1" w:firstColumn="1" w:lastColumn="1" w:noHBand="0" w:noVBand="0"/>
      </w:tblPr>
      <w:tblGrid>
        <w:gridCol w:w="4594"/>
        <w:gridCol w:w="1722"/>
        <w:gridCol w:w="1807"/>
      </w:tblGrid>
      <w:tr w:rsidR="00A8556D" w:rsidRPr="007351D0" w:rsidTr="00A8556D">
        <w:tc>
          <w:tcPr>
            <w:tcW w:w="4594" w:type="dxa"/>
            <w:tcBorders>
              <w:top w:val="single" w:sz="4" w:space="0" w:color="auto"/>
              <w:left w:val="single" w:sz="4" w:space="0" w:color="auto"/>
              <w:bottom w:val="single" w:sz="4" w:space="0" w:color="auto"/>
              <w:right w:val="single" w:sz="4" w:space="0" w:color="auto"/>
            </w:tcBorders>
          </w:tcPr>
          <w:p w:rsidR="00A8556D" w:rsidRPr="007351D0" w:rsidRDefault="00A8556D" w:rsidP="00A8556D">
            <w:pPr>
              <w:jc w:val="both"/>
              <w:rPr>
                <w:rFonts w:cs="Lucida Sans Unicode"/>
              </w:rPr>
            </w:pPr>
          </w:p>
        </w:tc>
        <w:tc>
          <w:tcPr>
            <w:tcW w:w="1722" w:type="dxa"/>
            <w:tcBorders>
              <w:top w:val="single" w:sz="4" w:space="0" w:color="auto"/>
              <w:left w:val="single" w:sz="4" w:space="0" w:color="auto"/>
              <w:bottom w:val="single" w:sz="4" w:space="0" w:color="auto"/>
              <w:right w:val="single" w:sz="4" w:space="0" w:color="auto"/>
            </w:tcBorders>
            <w:shd w:val="clear" w:color="auto" w:fill="C0C0C0"/>
            <w:hideMark/>
          </w:tcPr>
          <w:p w:rsidR="00A8556D" w:rsidRPr="00DC677E" w:rsidRDefault="00A8556D" w:rsidP="00DC677E">
            <w:pPr>
              <w:jc w:val="right"/>
              <w:rPr>
                <w:rFonts w:cs="Lucida Sans Unicode"/>
                <w:b/>
              </w:rPr>
            </w:pPr>
            <w:r w:rsidRPr="00DC677E">
              <w:rPr>
                <w:rFonts w:cs="Lucida Sans Unicode"/>
                <w:b/>
                <w:lang w:val="en-GB"/>
              </w:rPr>
              <w:t>31.12.2013</w:t>
            </w:r>
          </w:p>
        </w:tc>
        <w:tc>
          <w:tcPr>
            <w:tcW w:w="1807" w:type="dxa"/>
            <w:tcBorders>
              <w:top w:val="single" w:sz="4" w:space="0" w:color="auto"/>
              <w:left w:val="single" w:sz="4" w:space="0" w:color="auto"/>
              <w:bottom w:val="single" w:sz="4" w:space="0" w:color="auto"/>
              <w:right w:val="single" w:sz="4" w:space="0" w:color="auto"/>
            </w:tcBorders>
            <w:hideMark/>
          </w:tcPr>
          <w:p w:rsidR="00A8556D" w:rsidRPr="00DC677E" w:rsidRDefault="00A8556D" w:rsidP="00DC677E">
            <w:pPr>
              <w:jc w:val="right"/>
              <w:rPr>
                <w:rFonts w:cs="Lucida Sans Unicode"/>
                <w:b/>
                <w:lang w:val="en-GB"/>
              </w:rPr>
            </w:pPr>
            <w:r w:rsidRPr="00DC677E">
              <w:rPr>
                <w:rFonts w:cs="Lucida Sans Unicode"/>
                <w:b/>
                <w:szCs w:val="16"/>
              </w:rPr>
              <w:t>31.12.2012</w:t>
            </w:r>
          </w:p>
        </w:tc>
      </w:tr>
      <w:tr w:rsidR="00A8556D" w:rsidRPr="007351D0" w:rsidTr="00A8556D">
        <w:tc>
          <w:tcPr>
            <w:tcW w:w="4594" w:type="dxa"/>
            <w:tcBorders>
              <w:top w:val="single" w:sz="4" w:space="0" w:color="auto"/>
              <w:left w:val="single" w:sz="4" w:space="0" w:color="auto"/>
              <w:bottom w:val="single" w:sz="4" w:space="0" w:color="auto"/>
              <w:right w:val="single" w:sz="4" w:space="0" w:color="auto"/>
            </w:tcBorders>
            <w:hideMark/>
          </w:tcPr>
          <w:p w:rsidR="00A8556D" w:rsidRPr="007351D0" w:rsidRDefault="00A8556D" w:rsidP="00A8556D">
            <w:pPr>
              <w:jc w:val="both"/>
              <w:rPr>
                <w:rFonts w:cs="Lucida Sans Unicode"/>
                <w:lang w:val="en-GB"/>
              </w:rPr>
            </w:pPr>
            <w:r w:rsidRPr="007351D0">
              <w:rPr>
                <w:rFonts w:cs="Lucida Sans Unicode"/>
                <w:lang w:val="en-GB"/>
              </w:rPr>
              <w:t>Consumer, Health &amp; Nutrition</w:t>
            </w:r>
          </w:p>
        </w:tc>
        <w:tc>
          <w:tcPr>
            <w:tcW w:w="1722" w:type="dxa"/>
            <w:tcBorders>
              <w:top w:val="single" w:sz="4" w:space="0" w:color="auto"/>
              <w:left w:val="single" w:sz="4" w:space="0" w:color="auto"/>
              <w:bottom w:val="single" w:sz="4" w:space="0" w:color="auto"/>
              <w:right w:val="single" w:sz="4" w:space="0" w:color="auto"/>
            </w:tcBorders>
            <w:shd w:val="clear" w:color="auto" w:fill="C0C0C0"/>
          </w:tcPr>
          <w:p w:rsidR="00A8556D" w:rsidRPr="007351D0" w:rsidRDefault="00A8556D" w:rsidP="00A8556D">
            <w:pPr>
              <w:jc w:val="right"/>
              <w:rPr>
                <w:rFonts w:cs="Lucida Sans Unicode"/>
                <w:lang w:val="en-GB"/>
              </w:rPr>
            </w:pPr>
            <w:r>
              <w:rPr>
                <w:rFonts w:cs="Lucida Sans Unicode"/>
                <w:lang w:val="en-GB"/>
              </w:rPr>
              <w:t>7.150</w:t>
            </w:r>
          </w:p>
        </w:tc>
        <w:tc>
          <w:tcPr>
            <w:tcW w:w="1807" w:type="dxa"/>
            <w:tcBorders>
              <w:top w:val="single" w:sz="4" w:space="0" w:color="auto"/>
              <w:left w:val="single" w:sz="4" w:space="0" w:color="auto"/>
              <w:bottom w:val="single" w:sz="4" w:space="0" w:color="auto"/>
              <w:right w:val="single" w:sz="4" w:space="0" w:color="auto"/>
            </w:tcBorders>
            <w:hideMark/>
          </w:tcPr>
          <w:p w:rsidR="00A8556D" w:rsidRPr="007351D0" w:rsidRDefault="00A8556D" w:rsidP="00A8556D">
            <w:pPr>
              <w:jc w:val="right"/>
              <w:rPr>
                <w:rFonts w:cs="Lucida Sans Unicode"/>
                <w:lang w:val="en-GB"/>
              </w:rPr>
            </w:pPr>
            <w:r w:rsidRPr="007351D0">
              <w:rPr>
                <w:rFonts w:cs="Lucida Sans Unicode"/>
                <w:szCs w:val="16"/>
              </w:rPr>
              <w:t>6.821</w:t>
            </w:r>
          </w:p>
        </w:tc>
      </w:tr>
      <w:tr w:rsidR="00A8556D" w:rsidRPr="007351D0" w:rsidTr="00A8556D">
        <w:tc>
          <w:tcPr>
            <w:tcW w:w="4594" w:type="dxa"/>
            <w:tcBorders>
              <w:top w:val="single" w:sz="4" w:space="0" w:color="auto"/>
              <w:left w:val="single" w:sz="4" w:space="0" w:color="auto"/>
              <w:bottom w:val="single" w:sz="4" w:space="0" w:color="auto"/>
              <w:right w:val="single" w:sz="4" w:space="0" w:color="auto"/>
            </w:tcBorders>
            <w:hideMark/>
          </w:tcPr>
          <w:p w:rsidR="00A8556D" w:rsidRPr="007351D0" w:rsidRDefault="00A8556D" w:rsidP="00A8556D">
            <w:pPr>
              <w:jc w:val="both"/>
              <w:rPr>
                <w:rFonts w:cs="Lucida Sans Unicode"/>
                <w:lang w:val="en-GB"/>
              </w:rPr>
            </w:pPr>
            <w:r w:rsidRPr="007351D0">
              <w:rPr>
                <w:rFonts w:cs="Lucida Sans Unicode"/>
                <w:lang w:val="en-GB"/>
              </w:rPr>
              <w:t>Resource Efficiency</w:t>
            </w:r>
          </w:p>
        </w:tc>
        <w:tc>
          <w:tcPr>
            <w:tcW w:w="1722" w:type="dxa"/>
            <w:tcBorders>
              <w:top w:val="single" w:sz="4" w:space="0" w:color="auto"/>
              <w:left w:val="single" w:sz="4" w:space="0" w:color="auto"/>
              <w:bottom w:val="single" w:sz="4" w:space="0" w:color="auto"/>
              <w:right w:val="single" w:sz="4" w:space="0" w:color="auto"/>
            </w:tcBorders>
            <w:shd w:val="clear" w:color="auto" w:fill="C0C0C0"/>
          </w:tcPr>
          <w:p w:rsidR="00A8556D" w:rsidRPr="007351D0" w:rsidRDefault="00A8556D" w:rsidP="00A8556D">
            <w:pPr>
              <w:jc w:val="right"/>
              <w:rPr>
                <w:rFonts w:cs="Lucida Sans Unicode"/>
                <w:lang w:val="en-GB"/>
              </w:rPr>
            </w:pPr>
            <w:r>
              <w:rPr>
                <w:rFonts w:cs="Lucida Sans Unicode"/>
                <w:lang w:val="en-GB"/>
              </w:rPr>
              <w:t>5.854</w:t>
            </w:r>
          </w:p>
        </w:tc>
        <w:tc>
          <w:tcPr>
            <w:tcW w:w="1807" w:type="dxa"/>
            <w:tcBorders>
              <w:top w:val="single" w:sz="4" w:space="0" w:color="auto"/>
              <w:left w:val="single" w:sz="4" w:space="0" w:color="auto"/>
              <w:bottom w:val="single" w:sz="4" w:space="0" w:color="auto"/>
              <w:right w:val="single" w:sz="4" w:space="0" w:color="auto"/>
            </w:tcBorders>
            <w:hideMark/>
          </w:tcPr>
          <w:p w:rsidR="00A8556D" w:rsidRPr="007351D0" w:rsidRDefault="00A8556D" w:rsidP="00A8556D">
            <w:pPr>
              <w:jc w:val="right"/>
              <w:rPr>
                <w:rFonts w:cs="Lucida Sans Unicode"/>
                <w:lang w:val="en-GB"/>
              </w:rPr>
            </w:pPr>
            <w:r w:rsidRPr="007351D0">
              <w:rPr>
                <w:rFonts w:cs="Lucida Sans Unicode"/>
                <w:szCs w:val="16"/>
              </w:rPr>
              <w:t>5.755</w:t>
            </w:r>
          </w:p>
        </w:tc>
      </w:tr>
      <w:tr w:rsidR="00A8556D" w:rsidRPr="007351D0" w:rsidTr="00A8556D">
        <w:tc>
          <w:tcPr>
            <w:tcW w:w="4594" w:type="dxa"/>
            <w:tcBorders>
              <w:top w:val="single" w:sz="4" w:space="0" w:color="auto"/>
              <w:left w:val="single" w:sz="4" w:space="0" w:color="auto"/>
              <w:bottom w:val="single" w:sz="4" w:space="0" w:color="auto"/>
              <w:right w:val="single" w:sz="4" w:space="0" w:color="auto"/>
            </w:tcBorders>
            <w:hideMark/>
          </w:tcPr>
          <w:p w:rsidR="00A8556D" w:rsidRPr="007351D0" w:rsidRDefault="00A8556D" w:rsidP="00A8556D">
            <w:pPr>
              <w:jc w:val="both"/>
              <w:rPr>
                <w:rFonts w:cs="Lucida Sans Unicode"/>
                <w:lang w:val="en-GB"/>
              </w:rPr>
            </w:pPr>
            <w:r w:rsidRPr="007351D0">
              <w:rPr>
                <w:rFonts w:cs="Lucida Sans Unicode"/>
                <w:lang w:val="en-GB"/>
              </w:rPr>
              <w:t>Specialty Materials</w:t>
            </w:r>
          </w:p>
        </w:tc>
        <w:tc>
          <w:tcPr>
            <w:tcW w:w="1722" w:type="dxa"/>
            <w:tcBorders>
              <w:top w:val="single" w:sz="4" w:space="0" w:color="auto"/>
              <w:left w:val="single" w:sz="4" w:space="0" w:color="auto"/>
              <w:bottom w:val="single" w:sz="4" w:space="0" w:color="auto"/>
              <w:right w:val="single" w:sz="4" w:space="0" w:color="auto"/>
            </w:tcBorders>
            <w:shd w:val="clear" w:color="auto" w:fill="C0C0C0"/>
          </w:tcPr>
          <w:p w:rsidR="00A8556D" w:rsidRPr="007351D0" w:rsidRDefault="00A8556D" w:rsidP="00A8556D">
            <w:pPr>
              <w:jc w:val="right"/>
              <w:rPr>
                <w:rFonts w:cs="Lucida Sans Unicode"/>
                <w:lang w:val="en-GB"/>
              </w:rPr>
            </w:pPr>
            <w:r>
              <w:rPr>
                <w:rFonts w:cs="Lucida Sans Unicode"/>
                <w:lang w:val="en-GB"/>
              </w:rPr>
              <w:t>6.268</w:t>
            </w:r>
          </w:p>
        </w:tc>
        <w:tc>
          <w:tcPr>
            <w:tcW w:w="1807" w:type="dxa"/>
            <w:tcBorders>
              <w:top w:val="single" w:sz="4" w:space="0" w:color="auto"/>
              <w:left w:val="single" w:sz="4" w:space="0" w:color="auto"/>
              <w:bottom w:val="single" w:sz="4" w:space="0" w:color="auto"/>
              <w:right w:val="single" w:sz="4" w:space="0" w:color="auto"/>
            </w:tcBorders>
            <w:hideMark/>
          </w:tcPr>
          <w:p w:rsidR="00A8556D" w:rsidRPr="007351D0" w:rsidRDefault="00A8556D" w:rsidP="00A8556D">
            <w:pPr>
              <w:jc w:val="right"/>
              <w:rPr>
                <w:rFonts w:cs="Lucida Sans Unicode"/>
                <w:lang w:val="en-GB"/>
              </w:rPr>
            </w:pPr>
            <w:r w:rsidRPr="007351D0">
              <w:rPr>
                <w:rFonts w:cs="Lucida Sans Unicode"/>
                <w:szCs w:val="16"/>
              </w:rPr>
              <w:t>6.134</w:t>
            </w:r>
          </w:p>
        </w:tc>
      </w:tr>
      <w:tr w:rsidR="00A8556D" w:rsidRPr="007351D0" w:rsidTr="00A8556D">
        <w:tc>
          <w:tcPr>
            <w:tcW w:w="4594" w:type="dxa"/>
            <w:tcBorders>
              <w:top w:val="single" w:sz="4" w:space="0" w:color="auto"/>
              <w:left w:val="single" w:sz="4" w:space="0" w:color="auto"/>
              <w:bottom w:val="single" w:sz="4" w:space="0" w:color="auto"/>
              <w:right w:val="single" w:sz="4" w:space="0" w:color="auto"/>
            </w:tcBorders>
            <w:hideMark/>
          </w:tcPr>
          <w:p w:rsidR="00A8556D" w:rsidRPr="007351D0" w:rsidRDefault="00A8556D" w:rsidP="00A8556D">
            <w:pPr>
              <w:jc w:val="both"/>
              <w:rPr>
                <w:rFonts w:cs="Lucida Sans Unicode"/>
                <w:lang w:val="en-GB"/>
              </w:rPr>
            </w:pPr>
            <w:r w:rsidRPr="007351D0">
              <w:rPr>
                <w:rFonts w:cs="Lucida Sans Unicode"/>
                <w:lang w:val="en-GB"/>
              </w:rPr>
              <w:t>Services</w:t>
            </w:r>
          </w:p>
        </w:tc>
        <w:tc>
          <w:tcPr>
            <w:tcW w:w="1722" w:type="dxa"/>
            <w:tcBorders>
              <w:top w:val="single" w:sz="4" w:space="0" w:color="auto"/>
              <w:left w:val="single" w:sz="4" w:space="0" w:color="auto"/>
              <w:bottom w:val="single" w:sz="4" w:space="0" w:color="auto"/>
              <w:right w:val="single" w:sz="4" w:space="0" w:color="auto"/>
            </w:tcBorders>
            <w:shd w:val="clear" w:color="auto" w:fill="C0C0C0"/>
          </w:tcPr>
          <w:p w:rsidR="00A8556D" w:rsidRPr="007351D0" w:rsidRDefault="00A8556D" w:rsidP="00A8556D">
            <w:pPr>
              <w:jc w:val="right"/>
              <w:rPr>
                <w:rFonts w:cs="Lucida Sans Unicode"/>
                <w:lang w:val="en-GB"/>
              </w:rPr>
            </w:pPr>
            <w:r>
              <w:rPr>
                <w:rFonts w:cs="Lucida Sans Unicode"/>
                <w:lang w:val="en-GB"/>
              </w:rPr>
              <w:t>12.192</w:t>
            </w:r>
          </w:p>
        </w:tc>
        <w:tc>
          <w:tcPr>
            <w:tcW w:w="1807" w:type="dxa"/>
            <w:tcBorders>
              <w:top w:val="single" w:sz="4" w:space="0" w:color="auto"/>
              <w:left w:val="single" w:sz="4" w:space="0" w:color="auto"/>
              <w:bottom w:val="single" w:sz="4" w:space="0" w:color="auto"/>
              <w:right w:val="single" w:sz="4" w:space="0" w:color="auto"/>
            </w:tcBorders>
            <w:hideMark/>
          </w:tcPr>
          <w:p w:rsidR="00A8556D" w:rsidRPr="007351D0" w:rsidRDefault="00A8556D" w:rsidP="00A8556D">
            <w:pPr>
              <w:jc w:val="right"/>
              <w:rPr>
                <w:rFonts w:cs="Lucida Sans Unicode"/>
                <w:lang w:val="en-GB"/>
              </w:rPr>
            </w:pPr>
            <w:r w:rsidRPr="007351D0">
              <w:rPr>
                <w:rFonts w:cs="Lucida Sans Unicode"/>
                <w:szCs w:val="16"/>
              </w:rPr>
              <w:t>11.900</w:t>
            </w:r>
          </w:p>
        </w:tc>
      </w:tr>
      <w:tr w:rsidR="00A8556D" w:rsidRPr="007351D0" w:rsidTr="00A8556D">
        <w:tc>
          <w:tcPr>
            <w:tcW w:w="4594" w:type="dxa"/>
            <w:tcBorders>
              <w:top w:val="single" w:sz="4" w:space="0" w:color="auto"/>
              <w:left w:val="single" w:sz="4" w:space="0" w:color="auto"/>
              <w:bottom w:val="single" w:sz="4" w:space="0" w:color="auto"/>
              <w:right w:val="single" w:sz="4" w:space="0" w:color="auto"/>
            </w:tcBorders>
            <w:hideMark/>
          </w:tcPr>
          <w:p w:rsidR="00A8556D" w:rsidRPr="007351D0" w:rsidRDefault="00A8556D" w:rsidP="00A8556D">
            <w:pPr>
              <w:jc w:val="both"/>
              <w:rPr>
                <w:rFonts w:cs="Lucida Sans Unicode"/>
                <w:lang w:val="en-GB"/>
              </w:rPr>
            </w:pPr>
            <w:r w:rsidRPr="007351D0">
              <w:rPr>
                <w:rFonts w:cs="Lucida Sans Unicode"/>
                <w:lang w:val="en-GB"/>
              </w:rPr>
              <w:t>Sonstige Aktivitäten</w:t>
            </w:r>
          </w:p>
        </w:tc>
        <w:tc>
          <w:tcPr>
            <w:tcW w:w="1722" w:type="dxa"/>
            <w:tcBorders>
              <w:top w:val="single" w:sz="4" w:space="0" w:color="auto"/>
              <w:left w:val="single" w:sz="4" w:space="0" w:color="auto"/>
              <w:bottom w:val="single" w:sz="4" w:space="0" w:color="auto"/>
              <w:right w:val="single" w:sz="4" w:space="0" w:color="auto"/>
            </w:tcBorders>
            <w:shd w:val="clear" w:color="auto" w:fill="C0C0C0"/>
          </w:tcPr>
          <w:p w:rsidR="00A8556D" w:rsidRPr="007351D0" w:rsidRDefault="00A8556D" w:rsidP="00A8556D">
            <w:pPr>
              <w:jc w:val="right"/>
              <w:rPr>
                <w:rFonts w:cs="Lucida Sans Unicode"/>
                <w:lang w:val="en-GB"/>
              </w:rPr>
            </w:pPr>
            <w:r>
              <w:rPr>
                <w:rFonts w:cs="Lucida Sans Unicode"/>
                <w:lang w:val="en-GB"/>
              </w:rPr>
              <w:t>1.531</w:t>
            </w:r>
          </w:p>
        </w:tc>
        <w:tc>
          <w:tcPr>
            <w:tcW w:w="1807" w:type="dxa"/>
            <w:tcBorders>
              <w:top w:val="single" w:sz="4" w:space="0" w:color="auto"/>
              <w:left w:val="single" w:sz="4" w:space="0" w:color="auto"/>
              <w:bottom w:val="single" w:sz="4" w:space="0" w:color="auto"/>
              <w:right w:val="single" w:sz="4" w:space="0" w:color="auto"/>
            </w:tcBorders>
            <w:hideMark/>
          </w:tcPr>
          <w:p w:rsidR="00A8556D" w:rsidRPr="007351D0" w:rsidRDefault="00A8556D" w:rsidP="00A8556D">
            <w:pPr>
              <w:jc w:val="right"/>
              <w:rPr>
                <w:rFonts w:cs="Lucida Sans Unicode"/>
                <w:lang w:val="en-GB"/>
              </w:rPr>
            </w:pPr>
            <w:r w:rsidRPr="007351D0">
              <w:rPr>
                <w:rFonts w:cs="Lucida Sans Unicode"/>
                <w:szCs w:val="16"/>
              </w:rPr>
              <w:t>1.424</w:t>
            </w:r>
          </w:p>
        </w:tc>
      </w:tr>
      <w:tr w:rsidR="00A8556D" w:rsidRPr="007351D0" w:rsidTr="00A8556D">
        <w:tc>
          <w:tcPr>
            <w:tcW w:w="4594" w:type="dxa"/>
            <w:tcBorders>
              <w:top w:val="single" w:sz="4" w:space="0" w:color="auto"/>
              <w:left w:val="single" w:sz="4" w:space="0" w:color="auto"/>
              <w:bottom w:val="single" w:sz="4" w:space="0" w:color="auto"/>
              <w:right w:val="single" w:sz="4" w:space="0" w:color="auto"/>
            </w:tcBorders>
            <w:hideMark/>
          </w:tcPr>
          <w:p w:rsidR="00A8556D" w:rsidRPr="007351D0" w:rsidRDefault="00A8556D" w:rsidP="00A8556D">
            <w:pPr>
              <w:jc w:val="both"/>
              <w:rPr>
                <w:rFonts w:cs="Lucida Sans Unicode"/>
                <w:b/>
                <w:lang w:val="en-GB"/>
              </w:rPr>
            </w:pPr>
            <w:r w:rsidRPr="007351D0">
              <w:rPr>
                <w:rFonts w:cs="Lucida Sans Unicode"/>
                <w:b/>
                <w:lang w:val="en-GB"/>
              </w:rPr>
              <w:t>Fortgeführte Aktivitäten</w:t>
            </w:r>
          </w:p>
        </w:tc>
        <w:tc>
          <w:tcPr>
            <w:tcW w:w="1722" w:type="dxa"/>
            <w:tcBorders>
              <w:top w:val="single" w:sz="4" w:space="0" w:color="auto"/>
              <w:left w:val="single" w:sz="4" w:space="0" w:color="auto"/>
              <w:bottom w:val="single" w:sz="4" w:space="0" w:color="auto"/>
              <w:right w:val="single" w:sz="4" w:space="0" w:color="auto"/>
            </w:tcBorders>
            <w:shd w:val="clear" w:color="auto" w:fill="C0C0C0"/>
          </w:tcPr>
          <w:p w:rsidR="00A8556D" w:rsidRPr="007351D0" w:rsidRDefault="00A8556D" w:rsidP="00A8556D">
            <w:pPr>
              <w:jc w:val="right"/>
              <w:rPr>
                <w:rFonts w:cs="Lucida Sans Unicode"/>
                <w:b/>
                <w:lang w:val="en-GB"/>
              </w:rPr>
            </w:pPr>
            <w:r>
              <w:rPr>
                <w:rFonts w:cs="Lucida Sans Unicode"/>
                <w:b/>
                <w:lang w:val="en-GB"/>
              </w:rPr>
              <w:t>32.995</w:t>
            </w:r>
          </w:p>
        </w:tc>
        <w:tc>
          <w:tcPr>
            <w:tcW w:w="1807" w:type="dxa"/>
            <w:tcBorders>
              <w:top w:val="single" w:sz="4" w:space="0" w:color="auto"/>
              <w:left w:val="single" w:sz="4" w:space="0" w:color="auto"/>
              <w:bottom w:val="single" w:sz="4" w:space="0" w:color="auto"/>
              <w:right w:val="single" w:sz="4" w:space="0" w:color="auto"/>
            </w:tcBorders>
            <w:hideMark/>
          </w:tcPr>
          <w:p w:rsidR="00A8556D" w:rsidRPr="007351D0" w:rsidRDefault="00A8556D" w:rsidP="00A8556D">
            <w:pPr>
              <w:jc w:val="right"/>
              <w:rPr>
                <w:rFonts w:cs="Lucida Sans Unicode"/>
                <w:b/>
                <w:lang w:val="en-GB"/>
              </w:rPr>
            </w:pPr>
            <w:r w:rsidRPr="007351D0">
              <w:rPr>
                <w:rFonts w:cs="Lucida Sans Unicode"/>
                <w:b/>
                <w:bCs/>
                <w:szCs w:val="16"/>
              </w:rPr>
              <w:t>32.034</w:t>
            </w:r>
          </w:p>
        </w:tc>
      </w:tr>
      <w:tr w:rsidR="00A8556D" w:rsidRPr="007351D0" w:rsidTr="00A8556D">
        <w:tc>
          <w:tcPr>
            <w:tcW w:w="4594" w:type="dxa"/>
            <w:tcBorders>
              <w:top w:val="single" w:sz="4" w:space="0" w:color="auto"/>
              <w:left w:val="single" w:sz="4" w:space="0" w:color="auto"/>
              <w:bottom w:val="single" w:sz="4" w:space="0" w:color="auto"/>
              <w:right w:val="single" w:sz="4" w:space="0" w:color="auto"/>
            </w:tcBorders>
            <w:hideMark/>
          </w:tcPr>
          <w:p w:rsidR="00A8556D" w:rsidRPr="007351D0" w:rsidRDefault="00A8556D" w:rsidP="00A8556D">
            <w:pPr>
              <w:jc w:val="both"/>
              <w:rPr>
                <w:rFonts w:cs="Lucida Sans Unicode"/>
              </w:rPr>
            </w:pPr>
            <w:r w:rsidRPr="007351D0">
              <w:rPr>
                <w:rFonts w:cs="Lucida Sans Unicode"/>
              </w:rPr>
              <w:t xml:space="preserve">Nicht fortgeführte Aktivitäten </w:t>
            </w:r>
          </w:p>
        </w:tc>
        <w:tc>
          <w:tcPr>
            <w:tcW w:w="1722" w:type="dxa"/>
            <w:tcBorders>
              <w:top w:val="single" w:sz="4" w:space="0" w:color="auto"/>
              <w:left w:val="single" w:sz="4" w:space="0" w:color="auto"/>
              <w:bottom w:val="single" w:sz="4" w:space="0" w:color="auto"/>
              <w:right w:val="single" w:sz="4" w:space="0" w:color="auto"/>
            </w:tcBorders>
            <w:shd w:val="clear" w:color="auto" w:fill="C0C0C0"/>
          </w:tcPr>
          <w:p w:rsidR="00A8556D" w:rsidRPr="007351D0" w:rsidRDefault="00A8556D" w:rsidP="00A8556D">
            <w:pPr>
              <w:jc w:val="right"/>
              <w:rPr>
                <w:rFonts w:cs="Lucida Sans Unicode"/>
              </w:rPr>
            </w:pPr>
            <w:r>
              <w:rPr>
                <w:rFonts w:cs="Lucida Sans Unicode"/>
              </w:rPr>
              <w:t>655</w:t>
            </w:r>
          </w:p>
        </w:tc>
        <w:tc>
          <w:tcPr>
            <w:tcW w:w="1807" w:type="dxa"/>
            <w:tcBorders>
              <w:top w:val="single" w:sz="4" w:space="0" w:color="auto"/>
              <w:left w:val="single" w:sz="4" w:space="0" w:color="auto"/>
              <w:bottom w:val="single" w:sz="4" w:space="0" w:color="auto"/>
              <w:right w:val="single" w:sz="4" w:space="0" w:color="auto"/>
            </w:tcBorders>
            <w:hideMark/>
          </w:tcPr>
          <w:p w:rsidR="00A8556D" w:rsidRPr="007351D0" w:rsidRDefault="00A8556D" w:rsidP="00A8556D">
            <w:pPr>
              <w:jc w:val="right"/>
              <w:rPr>
                <w:rFonts w:cs="Lucida Sans Unicode"/>
              </w:rPr>
            </w:pPr>
            <w:r w:rsidRPr="007351D0">
              <w:rPr>
                <w:rFonts w:cs="Lucida Sans Unicode"/>
              </w:rPr>
              <w:t>1.264</w:t>
            </w:r>
          </w:p>
        </w:tc>
      </w:tr>
      <w:tr w:rsidR="00A8556D" w:rsidRPr="007351D0" w:rsidTr="00A8556D">
        <w:tc>
          <w:tcPr>
            <w:tcW w:w="4594" w:type="dxa"/>
            <w:tcBorders>
              <w:top w:val="single" w:sz="4" w:space="0" w:color="auto"/>
              <w:left w:val="single" w:sz="4" w:space="0" w:color="auto"/>
              <w:bottom w:val="single" w:sz="4" w:space="0" w:color="auto"/>
              <w:right w:val="single" w:sz="4" w:space="0" w:color="auto"/>
            </w:tcBorders>
            <w:hideMark/>
          </w:tcPr>
          <w:p w:rsidR="00A8556D" w:rsidRPr="007351D0" w:rsidRDefault="00A8556D" w:rsidP="00A8556D">
            <w:pPr>
              <w:jc w:val="both"/>
              <w:rPr>
                <w:rFonts w:cs="Lucida Sans Unicode"/>
                <w:b/>
              </w:rPr>
            </w:pPr>
            <w:r w:rsidRPr="007351D0">
              <w:rPr>
                <w:rFonts w:cs="Lucida Sans Unicode"/>
                <w:b/>
              </w:rPr>
              <w:t>Evonik</w:t>
            </w:r>
          </w:p>
        </w:tc>
        <w:tc>
          <w:tcPr>
            <w:tcW w:w="1722" w:type="dxa"/>
            <w:tcBorders>
              <w:top w:val="single" w:sz="4" w:space="0" w:color="auto"/>
              <w:left w:val="single" w:sz="4" w:space="0" w:color="auto"/>
              <w:bottom w:val="single" w:sz="4" w:space="0" w:color="auto"/>
              <w:right w:val="single" w:sz="4" w:space="0" w:color="auto"/>
            </w:tcBorders>
            <w:shd w:val="clear" w:color="auto" w:fill="C0C0C0"/>
          </w:tcPr>
          <w:p w:rsidR="00A8556D" w:rsidRPr="007351D0" w:rsidRDefault="00A8556D" w:rsidP="00A8556D">
            <w:pPr>
              <w:jc w:val="right"/>
              <w:rPr>
                <w:rFonts w:cs="Lucida Sans Unicode"/>
                <w:b/>
              </w:rPr>
            </w:pPr>
            <w:r>
              <w:rPr>
                <w:rFonts w:cs="Lucida Sans Unicode"/>
                <w:b/>
              </w:rPr>
              <w:t>33.650</w:t>
            </w:r>
          </w:p>
        </w:tc>
        <w:tc>
          <w:tcPr>
            <w:tcW w:w="1807" w:type="dxa"/>
            <w:tcBorders>
              <w:top w:val="single" w:sz="4" w:space="0" w:color="auto"/>
              <w:left w:val="single" w:sz="4" w:space="0" w:color="auto"/>
              <w:bottom w:val="single" w:sz="4" w:space="0" w:color="auto"/>
              <w:right w:val="single" w:sz="4" w:space="0" w:color="auto"/>
            </w:tcBorders>
            <w:hideMark/>
          </w:tcPr>
          <w:p w:rsidR="00A8556D" w:rsidRPr="007351D0" w:rsidRDefault="00A8556D" w:rsidP="00A8556D">
            <w:pPr>
              <w:jc w:val="right"/>
              <w:rPr>
                <w:rFonts w:cs="Lucida Sans Unicode"/>
                <w:b/>
              </w:rPr>
            </w:pPr>
            <w:r w:rsidRPr="007351D0">
              <w:rPr>
                <w:rFonts w:cs="Lucida Sans Unicode"/>
                <w:b/>
              </w:rPr>
              <w:t>33.298</w:t>
            </w:r>
          </w:p>
        </w:tc>
      </w:tr>
    </w:tbl>
    <w:p w:rsidR="00A8556D" w:rsidRPr="00725E7B" w:rsidRDefault="00A8556D" w:rsidP="00A8556D">
      <w:pPr>
        <w:jc w:val="both"/>
        <w:rPr>
          <w:rFonts w:cs="Lucida Sans Unicode"/>
          <w:sz w:val="16"/>
          <w:szCs w:val="16"/>
        </w:rPr>
      </w:pPr>
      <w:r w:rsidRPr="00725E7B">
        <w:rPr>
          <w:rFonts w:cs="Lucida Sans Unicode"/>
          <w:sz w:val="16"/>
          <w:szCs w:val="16"/>
        </w:rPr>
        <w:t>Vorjahreszahlen angepasst</w:t>
      </w:r>
    </w:p>
    <w:p w:rsidR="00A8556D" w:rsidRDefault="00A8556D" w:rsidP="00A8556D">
      <w:pPr>
        <w:spacing w:line="300" w:lineRule="exact"/>
        <w:outlineLvl w:val="0"/>
        <w:rPr>
          <w:rFonts w:cs="Lucida Sans Unicode"/>
          <w:b/>
          <w:bCs/>
          <w:sz w:val="20"/>
          <w:szCs w:val="20"/>
        </w:rPr>
      </w:pPr>
    </w:p>
    <w:p w:rsidR="009D734A" w:rsidRDefault="009D734A" w:rsidP="009D734A">
      <w:pPr>
        <w:autoSpaceDE w:val="0"/>
        <w:autoSpaceDN w:val="0"/>
        <w:adjustRightInd w:val="0"/>
        <w:spacing w:line="220" w:lineRule="exact"/>
        <w:jc w:val="both"/>
        <w:rPr>
          <w:rFonts w:cs="Lucida Sans Unicode"/>
          <w:b/>
          <w:szCs w:val="18"/>
        </w:rPr>
      </w:pPr>
    </w:p>
    <w:p w:rsidR="009D734A" w:rsidRDefault="009D734A">
      <w:pPr>
        <w:spacing w:line="240" w:lineRule="auto"/>
        <w:ind w:left="0" w:right="0"/>
        <w:rPr>
          <w:rFonts w:cs="Lucida Sans Unicode"/>
          <w:b/>
          <w:bCs/>
          <w:szCs w:val="18"/>
        </w:rPr>
      </w:pPr>
    </w:p>
    <w:p w:rsidR="009D734A" w:rsidRDefault="009D734A" w:rsidP="009D734A">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9D734A" w:rsidRPr="009D734A" w:rsidRDefault="009D734A" w:rsidP="009D734A">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9D734A" w:rsidRDefault="009D734A" w:rsidP="009D734A">
      <w:pPr>
        <w:autoSpaceDE w:val="0"/>
        <w:autoSpaceDN w:val="0"/>
        <w:adjustRightInd w:val="0"/>
        <w:spacing w:line="220" w:lineRule="exact"/>
        <w:ind w:left="0" w:right="0"/>
        <w:rPr>
          <w:rFonts w:cs="Lucida Sans Unicode"/>
          <w:position w:val="0"/>
          <w:szCs w:val="18"/>
        </w:rPr>
      </w:pPr>
    </w:p>
    <w:p w:rsidR="009D734A" w:rsidRDefault="009D734A" w:rsidP="009D734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Evonik ist in mehr als 100 Ländern der Welt aktiv. Über 33.</w:t>
      </w:r>
      <w:r w:rsidR="00CA2756">
        <w:rPr>
          <w:rFonts w:cs="Lucida Sans Unicode"/>
          <w:position w:val="0"/>
          <w:szCs w:val="18"/>
        </w:rPr>
        <w:t>5</w:t>
      </w:r>
      <w:r w:rsidRPr="00A8556D">
        <w:rPr>
          <w:rFonts w:cs="Lucida Sans Unicode"/>
          <w:position w:val="0"/>
          <w:szCs w:val="18"/>
        </w:rPr>
        <w:t>00 Mitarbeiter erwirtschafteten im Geschäftsjahr</w:t>
      </w:r>
      <w:r w:rsidR="00CA2756">
        <w:rPr>
          <w:rFonts w:cs="Lucida Sans Unicode"/>
          <w:position w:val="0"/>
          <w:szCs w:val="18"/>
        </w:rPr>
        <w:t xml:space="preserve"> 201</w:t>
      </w:r>
      <w:r w:rsidR="00511560">
        <w:rPr>
          <w:rFonts w:cs="Lucida Sans Unicode"/>
          <w:position w:val="0"/>
          <w:szCs w:val="18"/>
        </w:rPr>
        <w:t>3</w:t>
      </w:r>
      <w:r w:rsidR="00CA2756">
        <w:rPr>
          <w:rFonts w:cs="Lucida Sans Unicode"/>
          <w:position w:val="0"/>
          <w:szCs w:val="18"/>
        </w:rPr>
        <w:t xml:space="preserve"> einen Umsatz von rund 12,9</w:t>
      </w:r>
      <w:r w:rsidRPr="00A8556D">
        <w:rPr>
          <w:rFonts w:cs="Lucida Sans Unicode"/>
          <w:position w:val="0"/>
          <w:szCs w:val="18"/>
        </w:rPr>
        <w:t xml:space="preserve"> Milliarden € und ein operatives Ergebnis (</w:t>
      </w:r>
      <w:r w:rsidR="00CA2756">
        <w:rPr>
          <w:rFonts w:cs="Lucida Sans Unicode"/>
          <w:position w:val="0"/>
          <w:szCs w:val="18"/>
        </w:rPr>
        <w:t>bereinigtes EBITDA) von rund 2,0</w:t>
      </w:r>
      <w:r w:rsidRPr="00A8556D">
        <w:rPr>
          <w:rFonts w:cs="Lucida Sans Unicode"/>
          <w:position w:val="0"/>
          <w:szCs w:val="18"/>
        </w:rPr>
        <w:t xml:space="preserve"> Milliarden €.</w:t>
      </w:r>
    </w:p>
    <w:p w:rsidR="00C156F6" w:rsidRDefault="00C156F6" w:rsidP="009D734A">
      <w:pPr>
        <w:autoSpaceDE w:val="0"/>
        <w:autoSpaceDN w:val="0"/>
        <w:adjustRightInd w:val="0"/>
        <w:spacing w:line="220" w:lineRule="exact"/>
        <w:ind w:left="0" w:right="0"/>
        <w:rPr>
          <w:rFonts w:cs="Lucida Sans Unicode"/>
          <w:position w:val="0"/>
          <w:szCs w:val="18"/>
        </w:rPr>
      </w:pPr>
    </w:p>
    <w:p w:rsidR="00C156F6" w:rsidRDefault="00C156F6" w:rsidP="009D734A">
      <w:pPr>
        <w:autoSpaceDE w:val="0"/>
        <w:autoSpaceDN w:val="0"/>
        <w:adjustRightInd w:val="0"/>
        <w:spacing w:line="220" w:lineRule="exact"/>
        <w:ind w:left="0" w:right="0"/>
        <w:rPr>
          <w:rFonts w:cs="Lucida Sans Unicode"/>
          <w:position w:val="0"/>
          <w:szCs w:val="18"/>
        </w:rPr>
      </w:pPr>
    </w:p>
    <w:p w:rsidR="00A8556D" w:rsidRPr="00856B95" w:rsidRDefault="00A8556D" w:rsidP="00A8556D">
      <w:pPr>
        <w:autoSpaceDE w:val="0"/>
        <w:autoSpaceDN w:val="0"/>
        <w:adjustRightInd w:val="0"/>
        <w:spacing w:line="220" w:lineRule="exact"/>
        <w:ind w:left="0" w:right="0"/>
        <w:rPr>
          <w:rFonts w:cs="Lucida Sans Unicode"/>
          <w:b/>
          <w:position w:val="0"/>
          <w:szCs w:val="18"/>
        </w:rPr>
      </w:pPr>
      <w:r w:rsidRPr="00856B95">
        <w:rPr>
          <w:rFonts w:cs="Lucida Sans Unicode"/>
          <w:b/>
          <w:position w:val="0"/>
          <w:szCs w:val="18"/>
        </w:rPr>
        <w:t>Rechtlicher Hinweis</w:t>
      </w:r>
    </w:p>
    <w:p w:rsidR="00A8556D" w:rsidRPr="00856B95" w:rsidRDefault="00A8556D" w:rsidP="00A8556D">
      <w:pPr>
        <w:autoSpaceDE w:val="0"/>
        <w:autoSpaceDN w:val="0"/>
        <w:adjustRightInd w:val="0"/>
        <w:spacing w:line="220" w:lineRule="exact"/>
        <w:ind w:left="0" w:right="0"/>
        <w:rPr>
          <w:rFonts w:cs="Lucida Sans Unicode"/>
          <w:position w:val="0"/>
          <w:szCs w:val="18"/>
        </w:rPr>
      </w:pPr>
      <w:r w:rsidRPr="00856B95">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A8556D" w:rsidRDefault="00A8556D" w:rsidP="009D734A">
      <w:pPr>
        <w:autoSpaceDE w:val="0"/>
        <w:autoSpaceDN w:val="0"/>
        <w:adjustRightInd w:val="0"/>
        <w:spacing w:line="220" w:lineRule="exact"/>
        <w:ind w:left="0" w:right="0"/>
        <w:rPr>
          <w:rFonts w:cs="Lucida Sans Unicode"/>
          <w:position w:val="0"/>
          <w:szCs w:val="18"/>
        </w:rPr>
      </w:pPr>
    </w:p>
    <w:p w:rsidR="009D734A" w:rsidRDefault="009D734A" w:rsidP="009D734A">
      <w:pPr>
        <w:autoSpaceDE w:val="0"/>
        <w:autoSpaceDN w:val="0"/>
        <w:adjustRightInd w:val="0"/>
        <w:spacing w:line="220" w:lineRule="exact"/>
        <w:rPr>
          <w:rFonts w:cs="Lucida Sans Unicode"/>
          <w:szCs w:val="18"/>
        </w:rPr>
      </w:pPr>
    </w:p>
    <w:sectPr w:rsidR="009D734A" w:rsidSect="00407B10">
      <w:headerReference w:type="even" r:id="rId13"/>
      <w:type w:val="continuous"/>
      <w:pgSz w:w="11906" w:h="16838" w:code="9"/>
      <w:pgMar w:top="324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F00" w:rsidRDefault="00E15F00">
      <w:r>
        <w:separator/>
      </w:r>
    </w:p>
    <w:p w:rsidR="00E15F00" w:rsidRDefault="00E15F00"/>
  </w:endnote>
  <w:endnote w:type="continuationSeparator" w:id="0">
    <w:p w:rsidR="00E15F00" w:rsidRDefault="00E15F00">
      <w:r>
        <w:continuationSeparator/>
      </w:r>
    </w:p>
    <w:p w:rsidR="00E15F00" w:rsidRDefault="00E15F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E15F00">
      <w:trPr>
        <w:trHeight w:val="5348"/>
      </w:trPr>
      <w:tc>
        <w:tcPr>
          <w:tcW w:w="2562" w:type="dxa"/>
          <w:tcBorders>
            <w:top w:val="nil"/>
          </w:tcBorders>
          <w:vAlign w:val="bottom"/>
        </w:tcPr>
        <w:p w:rsidR="00E15F00" w:rsidRDefault="00E15F00">
          <w:pPr>
            <w:pStyle w:val="Fuzeile"/>
            <w:spacing w:line="180" w:lineRule="exact"/>
            <w:ind w:left="0" w:right="0"/>
            <w:rPr>
              <w:sz w:val="13"/>
              <w:szCs w:val="13"/>
            </w:rPr>
          </w:pPr>
        </w:p>
      </w:tc>
    </w:tr>
  </w:tbl>
  <w:p w:rsidR="00E15F00" w:rsidRDefault="00E15F00">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56B31">
      <w:rPr>
        <w:rStyle w:val="Seitenzahl"/>
        <w:noProof/>
      </w:rPr>
      <w:t>12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56B31">
      <w:rPr>
        <w:rStyle w:val="Seitenzahl"/>
        <w:noProof/>
      </w:rPr>
      <w:t>12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F00" w:rsidRDefault="00E15F00">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56B31">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56B31">
      <w:rPr>
        <w:rStyle w:val="Seitenzahl"/>
        <w:noProof/>
      </w:rPr>
      <w:t>12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F00" w:rsidRDefault="00E15F00">
      <w:r>
        <w:separator/>
      </w:r>
    </w:p>
    <w:p w:rsidR="00E15F00" w:rsidRDefault="00E15F00"/>
  </w:footnote>
  <w:footnote w:type="continuationSeparator" w:id="0">
    <w:p w:rsidR="00E15F00" w:rsidRDefault="00E15F00">
      <w:r>
        <w:continuationSeparator/>
      </w:r>
    </w:p>
    <w:p w:rsidR="00E15F00" w:rsidRDefault="00E15F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E15F00">
      <w:trPr>
        <w:trHeight w:hRule="exact" w:val="227"/>
      </w:trPr>
      <w:tc>
        <w:tcPr>
          <w:tcW w:w="2552" w:type="dxa"/>
          <w:shd w:val="clear" w:color="auto" w:fill="auto"/>
        </w:tcPr>
        <w:p w:rsidR="00E15F00" w:rsidRDefault="00E15F00">
          <w:pPr>
            <w:pStyle w:val="E-Datum"/>
            <w:framePr w:wrap="auto" w:vAnchor="margin" w:hAnchor="text" w:xAlign="left" w:yAlign="inline"/>
            <w:suppressOverlap w:val="0"/>
          </w:pPr>
        </w:p>
      </w:tc>
    </w:tr>
    <w:tr w:rsidR="00E15F00">
      <w:trPr>
        <w:trHeight w:hRule="exact" w:val="397"/>
      </w:trPr>
      <w:tc>
        <w:tcPr>
          <w:tcW w:w="2552" w:type="dxa"/>
          <w:shd w:val="clear" w:color="auto" w:fill="auto"/>
        </w:tcPr>
        <w:p w:rsidR="00E15F00" w:rsidRDefault="00E15F00">
          <w:pPr>
            <w:spacing w:line="180" w:lineRule="exact"/>
            <w:ind w:left="0"/>
            <w:rPr>
              <w:sz w:val="13"/>
              <w:szCs w:val="13"/>
            </w:rPr>
          </w:pPr>
        </w:p>
      </w:tc>
    </w:tr>
    <w:tr w:rsidR="00E15F00">
      <w:trPr>
        <w:trHeight w:hRule="exact" w:val="1304"/>
      </w:trPr>
      <w:tc>
        <w:tcPr>
          <w:tcW w:w="2552" w:type="dxa"/>
          <w:shd w:val="clear" w:color="auto" w:fill="auto"/>
        </w:tcPr>
        <w:p w:rsidR="00E15F00" w:rsidRDefault="00E15F00">
          <w:pPr>
            <w:spacing w:line="180" w:lineRule="exact"/>
            <w:ind w:left="0"/>
            <w:rPr>
              <w:sz w:val="13"/>
              <w:szCs w:val="13"/>
            </w:rPr>
          </w:pPr>
        </w:p>
      </w:tc>
    </w:tr>
    <w:tr w:rsidR="00E15F00">
      <w:trPr>
        <w:trHeight w:val="1374"/>
      </w:trPr>
      <w:tc>
        <w:tcPr>
          <w:tcW w:w="2552" w:type="dxa"/>
          <w:shd w:val="clear" w:color="auto" w:fill="auto"/>
        </w:tcPr>
        <w:p w:rsidR="00E15F00" w:rsidRDefault="00E15F00">
          <w:pPr>
            <w:spacing w:line="180" w:lineRule="exact"/>
            <w:ind w:left="0"/>
            <w:rPr>
              <w:sz w:val="13"/>
              <w:szCs w:val="13"/>
            </w:rPr>
          </w:pPr>
        </w:p>
      </w:tc>
    </w:tr>
  </w:tbl>
  <w:p w:rsidR="00E15F00" w:rsidRDefault="00E15F00">
    <w:pPr>
      <w:pStyle w:val="Kopfzeile"/>
      <w:ind w:left="0"/>
    </w:pPr>
  </w:p>
  <w:p w:rsidR="00E15F00" w:rsidRDefault="00E15F00">
    <w:pPr>
      <w:pStyle w:val="Kopfzeile"/>
      <w:ind w:left="0"/>
    </w:pPr>
  </w:p>
  <w:p w:rsidR="00E15F00" w:rsidRDefault="00E15F00">
    <w:pPr>
      <w:pStyle w:val="Kopfzeile"/>
      <w:ind w:left="0"/>
    </w:pPr>
  </w:p>
  <w:p w:rsidR="00E15F00" w:rsidRDefault="00E15F00">
    <w:pPr>
      <w:pStyle w:val="Kopfzeile"/>
      <w:ind w:left="0"/>
    </w:pPr>
  </w:p>
  <w:p w:rsidR="00E15F00" w:rsidRPr="00067DAF" w:rsidRDefault="00E15F00" w:rsidP="00067DAF">
    <w:pPr>
      <w:pStyle w:val="Kopfzeile"/>
      <w:ind w:left="0" w:right="-3"/>
    </w:pPr>
    <w:r w:rsidRPr="00E25404">
      <w:rPr>
        <w:b/>
        <w:noProof/>
      </w:rPr>
      <w:drawing>
        <wp:anchor distT="0" distB="0" distL="114300" distR="114300" simplePos="0" relativeHeight="251659264" behindDoc="0" locked="0" layoutInCell="1" allowOverlap="1" wp14:anchorId="4E487E04" wp14:editId="4E173FF6">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5404">
      <w:rPr>
        <w:b/>
        <w:noProof/>
      </w:rPr>
      <mc:AlternateContent>
        <mc:Choice Requires="wpg">
          <w:drawing>
            <wp:anchor distT="0" distB="0" distL="114300" distR="114300" simplePos="0" relativeHeight="251657216" behindDoc="1" locked="0" layoutInCell="1" allowOverlap="1" wp14:anchorId="6CFD9868" wp14:editId="57CCB807">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F00" w:rsidRDefault="00E15F00">
    <w:pPr>
      <w:pStyle w:val="Kopfzeile"/>
      <w:ind w:left="0"/>
    </w:pPr>
  </w:p>
  <w:p w:rsidR="00E15F00" w:rsidRDefault="00E15F00">
    <w:pPr>
      <w:pStyle w:val="Kopfzeile"/>
      <w:ind w:left="0"/>
    </w:pPr>
  </w:p>
  <w:p w:rsidR="00E15F00" w:rsidRPr="00044C1C" w:rsidRDefault="00E15F00">
    <w:pPr>
      <w:pStyle w:val="Kopfzeile"/>
      <w:ind w:left="0"/>
      <w:rPr>
        <w:lang w:val="en-US"/>
      </w:rPr>
    </w:pPr>
    <w:r w:rsidRPr="00044C1C">
      <w:rPr>
        <w:b/>
        <w:u w:val="single"/>
        <w:lang w:val="en-US"/>
      </w:rPr>
      <w:br/>
    </w:r>
  </w:p>
  <w:p w:rsidR="00E15F00" w:rsidRPr="00044C1C" w:rsidRDefault="00E15F00">
    <w:pPr>
      <w:pStyle w:val="Kopfzeile"/>
      <w:ind w:left="0"/>
      <w:rPr>
        <w:u w:val="single"/>
        <w:lang w:val="en-US"/>
      </w:rPr>
    </w:pPr>
  </w:p>
  <w:p w:rsidR="00E15F00" w:rsidRPr="009D5463" w:rsidRDefault="00E15F00">
    <w:pPr>
      <w:pStyle w:val="Kopfzeile"/>
      <w:ind w:left="0"/>
      <w:rPr>
        <w:u w:val="single"/>
      </w:rPr>
    </w:pPr>
    <w:r w:rsidRPr="009D5463">
      <w:rPr>
        <w:noProof/>
        <w:u w:val="single"/>
      </w:rPr>
      <w:drawing>
        <wp:anchor distT="0" distB="0" distL="114300" distR="114300" simplePos="0" relativeHeight="251658240" behindDoc="0" locked="0" layoutInCell="1" allowOverlap="1" wp14:anchorId="52C0B699" wp14:editId="4629DFE0">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5463">
      <w:rPr>
        <w:noProof/>
        <w:u w:val="single"/>
      </w:rPr>
      <mc:AlternateContent>
        <mc:Choice Requires="wpg">
          <w:drawing>
            <wp:anchor distT="0" distB="0" distL="114300" distR="114300" simplePos="0" relativeHeight="251656192" behindDoc="1" locked="0" layoutInCell="1" allowOverlap="1" wp14:anchorId="4F7E7B7A" wp14:editId="4253CEC3">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F00" w:rsidRDefault="00E15F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7E265920"/>
    <w:multiLevelType w:val="hybridMultilevel"/>
    <w:tmpl w:val="C8AE62BC"/>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463"/>
    <w:rsid w:val="000043B8"/>
    <w:rsid w:val="000054BB"/>
    <w:rsid w:val="00016ADF"/>
    <w:rsid w:val="000259C1"/>
    <w:rsid w:val="00037591"/>
    <w:rsid w:val="000379B3"/>
    <w:rsid w:val="00044C1C"/>
    <w:rsid w:val="00052E5F"/>
    <w:rsid w:val="00054316"/>
    <w:rsid w:val="00060785"/>
    <w:rsid w:val="00060F75"/>
    <w:rsid w:val="00067DAF"/>
    <w:rsid w:val="000722C2"/>
    <w:rsid w:val="00076A15"/>
    <w:rsid w:val="00080CD7"/>
    <w:rsid w:val="000938A7"/>
    <w:rsid w:val="000A6898"/>
    <w:rsid w:val="000B1542"/>
    <w:rsid w:val="000B366F"/>
    <w:rsid w:val="000F25C1"/>
    <w:rsid w:val="00104D67"/>
    <w:rsid w:val="00107AE1"/>
    <w:rsid w:val="00113CE0"/>
    <w:rsid w:val="00114A86"/>
    <w:rsid w:val="0011685B"/>
    <w:rsid w:val="00125918"/>
    <w:rsid w:val="001361E3"/>
    <w:rsid w:val="001379C4"/>
    <w:rsid w:val="00140112"/>
    <w:rsid w:val="00141D6E"/>
    <w:rsid w:val="00146017"/>
    <w:rsid w:val="0015413D"/>
    <w:rsid w:val="00185DCB"/>
    <w:rsid w:val="001A5161"/>
    <w:rsid w:val="001B32AC"/>
    <w:rsid w:val="001B7F18"/>
    <w:rsid w:val="0020383C"/>
    <w:rsid w:val="0021085B"/>
    <w:rsid w:val="00221B22"/>
    <w:rsid w:val="0022422D"/>
    <w:rsid w:val="00232828"/>
    <w:rsid w:val="002624EE"/>
    <w:rsid w:val="00265028"/>
    <w:rsid w:val="00266424"/>
    <w:rsid w:val="00275070"/>
    <w:rsid w:val="002827A1"/>
    <w:rsid w:val="00282BFE"/>
    <w:rsid w:val="00286E15"/>
    <w:rsid w:val="00294BE0"/>
    <w:rsid w:val="00297679"/>
    <w:rsid w:val="002B50C0"/>
    <w:rsid w:val="002B5234"/>
    <w:rsid w:val="002B59E4"/>
    <w:rsid w:val="002B7173"/>
    <w:rsid w:val="002C74CC"/>
    <w:rsid w:val="002C7514"/>
    <w:rsid w:val="002D21B7"/>
    <w:rsid w:val="002E1CB4"/>
    <w:rsid w:val="002E3CF7"/>
    <w:rsid w:val="002E4651"/>
    <w:rsid w:val="002E65CA"/>
    <w:rsid w:val="002F0FD0"/>
    <w:rsid w:val="002F7C2E"/>
    <w:rsid w:val="00303038"/>
    <w:rsid w:val="00310F81"/>
    <w:rsid w:val="00312AFA"/>
    <w:rsid w:val="003143A5"/>
    <w:rsid w:val="003168FC"/>
    <w:rsid w:val="00343C0C"/>
    <w:rsid w:val="003505A8"/>
    <w:rsid w:val="003539FE"/>
    <w:rsid w:val="00356C59"/>
    <w:rsid w:val="00357B72"/>
    <w:rsid w:val="00367767"/>
    <w:rsid w:val="003834DE"/>
    <w:rsid w:val="00384B95"/>
    <w:rsid w:val="00385B48"/>
    <w:rsid w:val="00392875"/>
    <w:rsid w:val="00395AF0"/>
    <w:rsid w:val="003A2330"/>
    <w:rsid w:val="003A6FAF"/>
    <w:rsid w:val="003A7C67"/>
    <w:rsid w:val="003B3273"/>
    <w:rsid w:val="003D4119"/>
    <w:rsid w:val="003E1151"/>
    <w:rsid w:val="003E155C"/>
    <w:rsid w:val="003E1B59"/>
    <w:rsid w:val="003E5C0C"/>
    <w:rsid w:val="003F270E"/>
    <w:rsid w:val="003F2F76"/>
    <w:rsid w:val="003F5C98"/>
    <w:rsid w:val="00407B10"/>
    <w:rsid w:val="004143FD"/>
    <w:rsid w:val="00424167"/>
    <w:rsid w:val="0043009F"/>
    <w:rsid w:val="00444718"/>
    <w:rsid w:val="0044655F"/>
    <w:rsid w:val="00446957"/>
    <w:rsid w:val="00454C8B"/>
    <w:rsid w:val="00456B31"/>
    <w:rsid w:val="0046085E"/>
    <w:rsid w:val="0046504B"/>
    <w:rsid w:val="00472150"/>
    <w:rsid w:val="00485B18"/>
    <w:rsid w:val="004944D0"/>
    <w:rsid w:val="004B39F5"/>
    <w:rsid w:val="004C140F"/>
    <w:rsid w:val="004C14DE"/>
    <w:rsid w:val="004C495B"/>
    <w:rsid w:val="004C650D"/>
    <w:rsid w:val="004C6C4F"/>
    <w:rsid w:val="004D074C"/>
    <w:rsid w:val="004D3663"/>
    <w:rsid w:val="004D3DC9"/>
    <w:rsid w:val="004E2D7F"/>
    <w:rsid w:val="004F0347"/>
    <w:rsid w:val="004F3F8E"/>
    <w:rsid w:val="00511560"/>
    <w:rsid w:val="00522C24"/>
    <w:rsid w:val="005544DD"/>
    <w:rsid w:val="005608E0"/>
    <w:rsid w:val="00561266"/>
    <w:rsid w:val="0057382B"/>
    <w:rsid w:val="00574F8E"/>
    <w:rsid w:val="005757FD"/>
    <w:rsid w:val="005758C7"/>
    <w:rsid w:val="005800C3"/>
    <w:rsid w:val="00581E65"/>
    <w:rsid w:val="00586BB7"/>
    <w:rsid w:val="00590C40"/>
    <w:rsid w:val="00596FFB"/>
    <w:rsid w:val="005A2DAC"/>
    <w:rsid w:val="005A7251"/>
    <w:rsid w:val="005B100E"/>
    <w:rsid w:val="005B1A9B"/>
    <w:rsid w:val="005C5211"/>
    <w:rsid w:val="005C657A"/>
    <w:rsid w:val="005C7A3B"/>
    <w:rsid w:val="005D0A2A"/>
    <w:rsid w:val="005E383E"/>
    <w:rsid w:val="005E5FEA"/>
    <w:rsid w:val="005F5B9D"/>
    <w:rsid w:val="00602348"/>
    <w:rsid w:val="00613FA8"/>
    <w:rsid w:val="006167D7"/>
    <w:rsid w:val="0062065B"/>
    <w:rsid w:val="0062281E"/>
    <w:rsid w:val="00626325"/>
    <w:rsid w:val="00630016"/>
    <w:rsid w:val="006318A8"/>
    <w:rsid w:val="0063582F"/>
    <w:rsid w:val="006369CB"/>
    <w:rsid w:val="00642190"/>
    <w:rsid w:val="006524C3"/>
    <w:rsid w:val="0065322D"/>
    <w:rsid w:val="006564DF"/>
    <w:rsid w:val="006630DB"/>
    <w:rsid w:val="00667C88"/>
    <w:rsid w:val="00670C4F"/>
    <w:rsid w:val="006769E9"/>
    <w:rsid w:val="00680650"/>
    <w:rsid w:val="00686144"/>
    <w:rsid w:val="00686F4F"/>
    <w:rsid w:val="00695628"/>
    <w:rsid w:val="00695728"/>
    <w:rsid w:val="006A40FC"/>
    <w:rsid w:val="006A7D89"/>
    <w:rsid w:val="006B08C8"/>
    <w:rsid w:val="006C4991"/>
    <w:rsid w:val="006C7FF6"/>
    <w:rsid w:val="006E00F4"/>
    <w:rsid w:val="006E6BA0"/>
    <w:rsid w:val="006F04D5"/>
    <w:rsid w:val="006F37D2"/>
    <w:rsid w:val="00711563"/>
    <w:rsid w:val="0071711E"/>
    <w:rsid w:val="007212FD"/>
    <w:rsid w:val="00724DCF"/>
    <w:rsid w:val="00750E89"/>
    <w:rsid w:val="00750EE5"/>
    <w:rsid w:val="00755583"/>
    <w:rsid w:val="007801E9"/>
    <w:rsid w:val="00781B5B"/>
    <w:rsid w:val="00787F10"/>
    <w:rsid w:val="007921E4"/>
    <w:rsid w:val="00793BC8"/>
    <w:rsid w:val="00793D10"/>
    <w:rsid w:val="007A01E6"/>
    <w:rsid w:val="007A7D8B"/>
    <w:rsid w:val="007B2C7E"/>
    <w:rsid w:val="007B6B8B"/>
    <w:rsid w:val="007C285C"/>
    <w:rsid w:val="007C3315"/>
    <w:rsid w:val="007C4237"/>
    <w:rsid w:val="007C69D4"/>
    <w:rsid w:val="007D4F0E"/>
    <w:rsid w:val="007D60EF"/>
    <w:rsid w:val="007F38B1"/>
    <w:rsid w:val="007F705E"/>
    <w:rsid w:val="008136C4"/>
    <w:rsid w:val="008168AC"/>
    <w:rsid w:val="00817443"/>
    <w:rsid w:val="00834A75"/>
    <w:rsid w:val="00843EF8"/>
    <w:rsid w:val="00846F61"/>
    <w:rsid w:val="00860375"/>
    <w:rsid w:val="008868BF"/>
    <w:rsid w:val="0089104A"/>
    <w:rsid w:val="008A6D73"/>
    <w:rsid w:val="008B5BB6"/>
    <w:rsid w:val="008B6AB8"/>
    <w:rsid w:val="008B718F"/>
    <w:rsid w:val="008C0C6D"/>
    <w:rsid w:val="008C12B1"/>
    <w:rsid w:val="008C15B4"/>
    <w:rsid w:val="008D0FE1"/>
    <w:rsid w:val="008D2339"/>
    <w:rsid w:val="008D5062"/>
    <w:rsid w:val="00910AD0"/>
    <w:rsid w:val="009220D3"/>
    <w:rsid w:val="00922262"/>
    <w:rsid w:val="0093475A"/>
    <w:rsid w:val="00946403"/>
    <w:rsid w:val="00975F52"/>
    <w:rsid w:val="0097690B"/>
    <w:rsid w:val="009832A9"/>
    <w:rsid w:val="00995BE6"/>
    <w:rsid w:val="009A24D0"/>
    <w:rsid w:val="009A687F"/>
    <w:rsid w:val="009D0E47"/>
    <w:rsid w:val="009D5463"/>
    <w:rsid w:val="009D734A"/>
    <w:rsid w:val="009E687A"/>
    <w:rsid w:val="009E7427"/>
    <w:rsid w:val="009F4752"/>
    <w:rsid w:val="00A00885"/>
    <w:rsid w:val="00A120EB"/>
    <w:rsid w:val="00A200B5"/>
    <w:rsid w:val="00A207A9"/>
    <w:rsid w:val="00A35805"/>
    <w:rsid w:val="00A4745F"/>
    <w:rsid w:val="00A53685"/>
    <w:rsid w:val="00A54D66"/>
    <w:rsid w:val="00A57660"/>
    <w:rsid w:val="00A6063C"/>
    <w:rsid w:val="00A64D60"/>
    <w:rsid w:val="00A72C03"/>
    <w:rsid w:val="00A80650"/>
    <w:rsid w:val="00A827FD"/>
    <w:rsid w:val="00A832EB"/>
    <w:rsid w:val="00A8556D"/>
    <w:rsid w:val="00A910EA"/>
    <w:rsid w:val="00A94373"/>
    <w:rsid w:val="00A970E5"/>
    <w:rsid w:val="00AA3293"/>
    <w:rsid w:val="00AA3F70"/>
    <w:rsid w:val="00AC769A"/>
    <w:rsid w:val="00AD1E33"/>
    <w:rsid w:val="00AD7F34"/>
    <w:rsid w:val="00AF044A"/>
    <w:rsid w:val="00B010E0"/>
    <w:rsid w:val="00B13861"/>
    <w:rsid w:val="00B14022"/>
    <w:rsid w:val="00B1690E"/>
    <w:rsid w:val="00B24BE7"/>
    <w:rsid w:val="00B36A42"/>
    <w:rsid w:val="00B40517"/>
    <w:rsid w:val="00B43ECD"/>
    <w:rsid w:val="00B6136F"/>
    <w:rsid w:val="00B62577"/>
    <w:rsid w:val="00B64F9E"/>
    <w:rsid w:val="00B6701A"/>
    <w:rsid w:val="00B759C5"/>
    <w:rsid w:val="00B777B9"/>
    <w:rsid w:val="00B879F7"/>
    <w:rsid w:val="00BB291B"/>
    <w:rsid w:val="00BC201E"/>
    <w:rsid w:val="00BD07B3"/>
    <w:rsid w:val="00BD5C9B"/>
    <w:rsid w:val="00C04A5B"/>
    <w:rsid w:val="00C156F6"/>
    <w:rsid w:val="00C2424B"/>
    <w:rsid w:val="00C27BFB"/>
    <w:rsid w:val="00C47017"/>
    <w:rsid w:val="00C4749D"/>
    <w:rsid w:val="00C55C67"/>
    <w:rsid w:val="00C61C0C"/>
    <w:rsid w:val="00C647C9"/>
    <w:rsid w:val="00C82A2D"/>
    <w:rsid w:val="00C8406C"/>
    <w:rsid w:val="00C87137"/>
    <w:rsid w:val="00C87B8E"/>
    <w:rsid w:val="00C9189E"/>
    <w:rsid w:val="00C94D2E"/>
    <w:rsid w:val="00C96091"/>
    <w:rsid w:val="00C96280"/>
    <w:rsid w:val="00CA1DE9"/>
    <w:rsid w:val="00CA2756"/>
    <w:rsid w:val="00CA312F"/>
    <w:rsid w:val="00CA472A"/>
    <w:rsid w:val="00CA49A3"/>
    <w:rsid w:val="00CA6651"/>
    <w:rsid w:val="00CB0A75"/>
    <w:rsid w:val="00CD0E62"/>
    <w:rsid w:val="00CD631C"/>
    <w:rsid w:val="00CE6324"/>
    <w:rsid w:val="00CF5D09"/>
    <w:rsid w:val="00CF626C"/>
    <w:rsid w:val="00CF6767"/>
    <w:rsid w:val="00CF6A1E"/>
    <w:rsid w:val="00D03164"/>
    <w:rsid w:val="00D103A3"/>
    <w:rsid w:val="00D1237F"/>
    <w:rsid w:val="00D1424E"/>
    <w:rsid w:val="00D233FC"/>
    <w:rsid w:val="00D25377"/>
    <w:rsid w:val="00D30F02"/>
    <w:rsid w:val="00D36612"/>
    <w:rsid w:val="00D42457"/>
    <w:rsid w:val="00D55350"/>
    <w:rsid w:val="00D65FC7"/>
    <w:rsid w:val="00D6793C"/>
    <w:rsid w:val="00D7087D"/>
    <w:rsid w:val="00D74B2F"/>
    <w:rsid w:val="00D74FEA"/>
    <w:rsid w:val="00D83F4F"/>
    <w:rsid w:val="00D860C1"/>
    <w:rsid w:val="00D96B4A"/>
    <w:rsid w:val="00DA06CB"/>
    <w:rsid w:val="00DA3411"/>
    <w:rsid w:val="00DA6BB8"/>
    <w:rsid w:val="00DC0BC4"/>
    <w:rsid w:val="00DC677E"/>
    <w:rsid w:val="00DD1ED0"/>
    <w:rsid w:val="00DE025F"/>
    <w:rsid w:val="00DE1AFA"/>
    <w:rsid w:val="00E11789"/>
    <w:rsid w:val="00E13750"/>
    <w:rsid w:val="00E15F00"/>
    <w:rsid w:val="00E208BE"/>
    <w:rsid w:val="00E25404"/>
    <w:rsid w:val="00E371B8"/>
    <w:rsid w:val="00E400CD"/>
    <w:rsid w:val="00E40731"/>
    <w:rsid w:val="00E559D0"/>
    <w:rsid w:val="00E56033"/>
    <w:rsid w:val="00E56917"/>
    <w:rsid w:val="00E61D63"/>
    <w:rsid w:val="00E6412C"/>
    <w:rsid w:val="00E735B6"/>
    <w:rsid w:val="00E9718A"/>
    <w:rsid w:val="00EA3BA7"/>
    <w:rsid w:val="00EC3164"/>
    <w:rsid w:val="00ED257D"/>
    <w:rsid w:val="00ED7A72"/>
    <w:rsid w:val="00F00F5D"/>
    <w:rsid w:val="00F1056D"/>
    <w:rsid w:val="00F10EAD"/>
    <w:rsid w:val="00F157B4"/>
    <w:rsid w:val="00F22BDA"/>
    <w:rsid w:val="00F24A0B"/>
    <w:rsid w:val="00F313D0"/>
    <w:rsid w:val="00F4304B"/>
    <w:rsid w:val="00F4490B"/>
    <w:rsid w:val="00F60883"/>
    <w:rsid w:val="00F72E32"/>
    <w:rsid w:val="00F72E3B"/>
    <w:rsid w:val="00F81DAA"/>
    <w:rsid w:val="00F8351E"/>
    <w:rsid w:val="00F8441E"/>
    <w:rsid w:val="00F9261C"/>
    <w:rsid w:val="00F9306A"/>
    <w:rsid w:val="00F95C47"/>
    <w:rsid w:val="00F96D1C"/>
    <w:rsid w:val="00FB35AF"/>
    <w:rsid w:val="00FC6A93"/>
    <w:rsid w:val="00FD7B4E"/>
    <w:rsid w:val="00FE071E"/>
    <w:rsid w:val="00FE07FA"/>
    <w:rsid w:val="00FE78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KopfzeileZchn">
    <w:name w:val="Kopfzeile Zchn"/>
    <w:basedOn w:val="Absatz-Standardschriftart"/>
    <w:link w:val="Kopfzeile"/>
    <w:uiPriority w:val="99"/>
    <w:rsid w:val="009D5463"/>
    <w:rPr>
      <w:rFonts w:ascii="Lucida Sans Unicode" w:hAnsi="Lucida Sans Unicode"/>
      <w:position w:val="-2"/>
      <w:sz w:val="18"/>
      <w:szCs w:val="24"/>
    </w:rPr>
  </w:style>
  <w:style w:type="paragraph" w:customStyle="1" w:styleId="AONormal">
    <w:name w:val="AONormal"/>
    <w:uiPriority w:val="99"/>
    <w:rsid w:val="006B08C8"/>
    <w:pPr>
      <w:spacing w:line="260" w:lineRule="atLeast"/>
    </w:pPr>
    <w:rPr>
      <w:rFonts w:eastAsia="SimSun"/>
      <w:sz w:val="22"/>
      <w:szCs w:val="22"/>
      <w:lang w:eastAsia="en-US"/>
    </w:rPr>
  </w:style>
  <w:style w:type="paragraph" w:styleId="Listenabsatz">
    <w:name w:val="List Paragraph"/>
    <w:basedOn w:val="Standard"/>
    <w:uiPriority w:val="34"/>
    <w:qFormat/>
    <w:rsid w:val="00D233FC"/>
    <w:pPr>
      <w:ind w:left="720"/>
      <w:contextualSpacing/>
    </w:pPr>
  </w:style>
  <w:style w:type="character" w:styleId="Kommentarzeichen">
    <w:name w:val="annotation reference"/>
    <w:basedOn w:val="Absatz-Standardschriftart"/>
    <w:rsid w:val="00CF6A1E"/>
    <w:rPr>
      <w:sz w:val="16"/>
      <w:szCs w:val="16"/>
    </w:rPr>
  </w:style>
  <w:style w:type="paragraph" w:styleId="Kommentartext">
    <w:name w:val="annotation text"/>
    <w:basedOn w:val="Standard"/>
    <w:link w:val="KommentartextZchn"/>
    <w:rsid w:val="00CF6A1E"/>
    <w:pPr>
      <w:spacing w:line="240" w:lineRule="auto"/>
    </w:pPr>
    <w:rPr>
      <w:sz w:val="20"/>
      <w:szCs w:val="20"/>
    </w:rPr>
  </w:style>
  <w:style w:type="character" w:customStyle="1" w:styleId="KommentartextZchn">
    <w:name w:val="Kommentartext Zchn"/>
    <w:basedOn w:val="Absatz-Standardschriftart"/>
    <w:link w:val="Kommentartext"/>
    <w:rsid w:val="00CF6A1E"/>
    <w:rPr>
      <w:rFonts w:ascii="Lucida Sans Unicode" w:hAnsi="Lucida Sans Unicode"/>
      <w:position w:val="-2"/>
    </w:rPr>
  </w:style>
  <w:style w:type="paragraph" w:styleId="Kommentarthema">
    <w:name w:val="annotation subject"/>
    <w:basedOn w:val="Kommentartext"/>
    <w:next w:val="Kommentartext"/>
    <w:link w:val="KommentarthemaZchn"/>
    <w:rsid w:val="00CF6A1E"/>
    <w:rPr>
      <w:b/>
      <w:bCs/>
    </w:rPr>
  </w:style>
  <w:style w:type="character" w:customStyle="1" w:styleId="KommentarthemaZchn">
    <w:name w:val="Kommentarthema Zchn"/>
    <w:basedOn w:val="KommentartextZchn"/>
    <w:link w:val="Kommentarthema"/>
    <w:rsid w:val="00CF6A1E"/>
    <w:rPr>
      <w:rFonts w:ascii="Lucida Sans Unicode" w:hAnsi="Lucida Sans Unicode"/>
      <w:b/>
      <w:bCs/>
      <w:position w:val="-2"/>
    </w:rPr>
  </w:style>
  <w:style w:type="paragraph" w:styleId="Funotentext">
    <w:name w:val="footnote text"/>
    <w:basedOn w:val="Standard"/>
    <w:link w:val="FunotentextZchn"/>
    <w:rsid w:val="00CF6A1E"/>
    <w:pPr>
      <w:spacing w:line="240" w:lineRule="auto"/>
    </w:pPr>
    <w:rPr>
      <w:sz w:val="20"/>
      <w:szCs w:val="20"/>
    </w:rPr>
  </w:style>
  <w:style w:type="character" w:customStyle="1" w:styleId="FunotentextZchn">
    <w:name w:val="Fußnotentext Zchn"/>
    <w:basedOn w:val="Absatz-Standardschriftart"/>
    <w:link w:val="Funotentext"/>
    <w:rsid w:val="00CF6A1E"/>
    <w:rPr>
      <w:rFonts w:ascii="Lucida Sans Unicode" w:hAnsi="Lucida Sans Unicode"/>
      <w:position w:val="-2"/>
    </w:rPr>
  </w:style>
  <w:style w:type="character" w:styleId="Funotenzeichen">
    <w:name w:val="footnote reference"/>
    <w:basedOn w:val="Absatz-Standardschriftart"/>
    <w:rsid w:val="00CF6A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KopfzeileZchn">
    <w:name w:val="Kopfzeile Zchn"/>
    <w:basedOn w:val="Absatz-Standardschriftart"/>
    <w:link w:val="Kopfzeile"/>
    <w:uiPriority w:val="99"/>
    <w:rsid w:val="009D5463"/>
    <w:rPr>
      <w:rFonts w:ascii="Lucida Sans Unicode" w:hAnsi="Lucida Sans Unicode"/>
      <w:position w:val="-2"/>
      <w:sz w:val="18"/>
      <w:szCs w:val="24"/>
    </w:rPr>
  </w:style>
  <w:style w:type="paragraph" w:customStyle="1" w:styleId="AONormal">
    <w:name w:val="AONormal"/>
    <w:uiPriority w:val="99"/>
    <w:rsid w:val="006B08C8"/>
    <w:pPr>
      <w:spacing w:line="260" w:lineRule="atLeast"/>
    </w:pPr>
    <w:rPr>
      <w:rFonts w:eastAsia="SimSun"/>
      <w:sz w:val="22"/>
      <w:szCs w:val="22"/>
      <w:lang w:eastAsia="en-US"/>
    </w:rPr>
  </w:style>
  <w:style w:type="paragraph" w:styleId="Listenabsatz">
    <w:name w:val="List Paragraph"/>
    <w:basedOn w:val="Standard"/>
    <w:uiPriority w:val="34"/>
    <w:qFormat/>
    <w:rsid w:val="00D233FC"/>
    <w:pPr>
      <w:ind w:left="720"/>
      <w:contextualSpacing/>
    </w:pPr>
  </w:style>
  <w:style w:type="character" w:styleId="Kommentarzeichen">
    <w:name w:val="annotation reference"/>
    <w:basedOn w:val="Absatz-Standardschriftart"/>
    <w:rsid w:val="00CF6A1E"/>
    <w:rPr>
      <w:sz w:val="16"/>
      <w:szCs w:val="16"/>
    </w:rPr>
  </w:style>
  <w:style w:type="paragraph" w:styleId="Kommentartext">
    <w:name w:val="annotation text"/>
    <w:basedOn w:val="Standard"/>
    <w:link w:val="KommentartextZchn"/>
    <w:rsid w:val="00CF6A1E"/>
    <w:pPr>
      <w:spacing w:line="240" w:lineRule="auto"/>
    </w:pPr>
    <w:rPr>
      <w:sz w:val="20"/>
      <w:szCs w:val="20"/>
    </w:rPr>
  </w:style>
  <w:style w:type="character" w:customStyle="1" w:styleId="KommentartextZchn">
    <w:name w:val="Kommentartext Zchn"/>
    <w:basedOn w:val="Absatz-Standardschriftart"/>
    <w:link w:val="Kommentartext"/>
    <w:rsid w:val="00CF6A1E"/>
    <w:rPr>
      <w:rFonts w:ascii="Lucida Sans Unicode" w:hAnsi="Lucida Sans Unicode"/>
      <w:position w:val="-2"/>
    </w:rPr>
  </w:style>
  <w:style w:type="paragraph" w:styleId="Kommentarthema">
    <w:name w:val="annotation subject"/>
    <w:basedOn w:val="Kommentartext"/>
    <w:next w:val="Kommentartext"/>
    <w:link w:val="KommentarthemaZchn"/>
    <w:rsid w:val="00CF6A1E"/>
    <w:rPr>
      <w:b/>
      <w:bCs/>
    </w:rPr>
  </w:style>
  <w:style w:type="character" w:customStyle="1" w:styleId="KommentarthemaZchn">
    <w:name w:val="Kommentarthema Zchn"/>
    <w:basedOn w:val="KommentartextZchn"/>
    <w:link w:val="Kommentarthema"/>
    <w:rsid w:val="00CF6A1E"/>
    <w:rPr>
      <w:rFonts w:ascii="Lucida Sans Unicode" w:hAnsi="Lucida Sans Unicode"/>
      <w:b/>
      <w:bCs/>
      <w:position w:val="-2"/>
    </w:rPr>
  </w:style>
  <w:style w:type="paragraph" w:styleId="Funotentext">
    <w:name w:val="footnote text"/>
    <w:basedOn w:val="Standard"/>
    <w:link w:val="FunotentextZchn"/>
    <w:rsid w:val="00CF6A1E"/>
    <w:pPr>
      <w:spacing w:line="240" w:lineRule="auto"/>
    </w:pPr>
    <w:rPr>
      <w:sz w:val="20"/>
      <w:szCs w:val="20"/>
    </w:rPr>
  </w:style>
  <w:style w:type="character" w:customStyle="1" w:styleId="FunotentextZchn">
    <w:name w:val="Fußnotentext Zchn"/>
    <w:basedOn w:val="Absatz-Standardschriftart"/>
    <w:link w:val="Funotentext"/>
    <w:rsid w:val="00CF6A1E"/>
    <w:rPr>
      <w:rFonts w:ascii="Lucida Sans Unicode" w:hAnsi="Lucida Sans Unicode"/>
      <w:position w:val="-2"/>
    </w:rPr>
  </w:style>
  <w:style w:type="character" w:styleId="Funotenzeichen">
    <w:name w:val="footnote reference"/>
    <w:basedOn w:val="Absatz-Standardschriftart"/>
    <w:rsid w:val="00CF6A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C1A34-3EC4-497E-8EDC-F8E0B5B74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8A479EB7</Template>
  <TotalTime>0</TotalTime>
  <Pages>12</Pages>
  <Words>2856</Words>
  <Characters>19540</Characters>
  <Application>Microsoft Office Word</Application>
  <DocSecurity>0</DocSecurity>
  <Lines>162</Lines>
  <Paragraphs>44</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Habisch, Anja</dc:creator>
  <cp:lastModifiedBy>Hesterkamp, Anja</cp:lastModifiedBy>
  <cp:revision>12</cp:revision>
  <cp:lastPrinted>2014-03-06T13:30:00Z</cp:lastPrinted>
  <dcterms:created xsi:type="dcterms:W3CDTF">2014-03-05T10:50:00Z</dcterms:created>
  <dcterms:modified xsi:type="dcterms:W3CDTF">2014-03-06T13:31:00Z</dcterms:modified>
</cp:coreProperties>
</file>