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8224A5" w:rsidRDefault="00F00F5D" w:rsidP="0037497A">
      <w:pPr>
        <w:spacing w:line="300" w:lineRule="exact"/>
        <w:rPr>
          <w:b/>
          <w:szCs w:val="18"/>
          <w:u w:val="single"/>
        </w:rPr>
      </w:pPr>
      <w:bookmarkStart w:id="0" w:name="_GoBack"/>
      <w:bookmarkEnd w:id="0"/>
      <w:r w:rsidRPr="008224A5">
        <w:rPr>
          <w:b/>
          <w:szCs w:val="18"/>
          <w:u w:val="single"/>
        </w:rPr>
        <w:t xml:space="preserve">Sendesperrfrist: </w:t>
      </w:r>
      <w:r w:rsidR="00BC777B">
        <w:rPr>
          <w:b/>
          <w:szCs w:val="18"/>
          <w:u w:val="single"/>
        </w:rPr>
        <w:t>31.07.2014</w:t>
      </w:r>
      <w:r w:rsidRPr="008224A5">
        <w:rPr>
          <w:b/>
          <w:szCs w:val="18"/>
          <w:u w:val="single"/>
        </w:rPr>
        <w:t xml:space="preserve">, </w:t>
      </w:r>
      <w:r w:rsidR="0095118D" w:rsidRPr="008224A5">
        <w:rPr>
          <w:b/>
          <w:szCs w:val="18"/>
          <w:u w:val="single"/>
        </w:rPr>
        <w:t>7:</w:t>
      </w:r>
      <w:r w:rsidR="00D87C75">
        <w:rPr>
          <w:b/>
          <w:szCs w:val="18"/>
          <w:u w:val="single"/>
        </w:rPr>
        <w:t>00</w:t>
      </w:r>
      <w:r w:rsidRPr="008224A5">
        <w:rPr>
          <w:b/>
          <w:szCs w:val="18"/>
          <w:u w:val="single"/>
        </w:rPr>
        <w:t xml:space="preserve"> Uhr</w:t>
      </w:r>
    </w:p>
    <w:p w:rsidR="00B6136F" w:rsidRPr="008224A5" w:rsidRDefault="00B6136F">
      <w:pPr>
        <w:spacing w:line="300" w:lineRule="exact"/>
        <w:ind w:left="0"/>
        <w:rPr>
          <w:b/>
          <w:sz w:val="20"/>
          <w:szCs w:val="20"/>
          <w:u w:val="single"/>
        </w:rPr>
        <w:sectPr w:rsidR="00B6136F" w:rsidRPr="008224A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BC777B" w:rsidP="00BC777B">
            <w:pPr>
              <w:pStyle w:val="E-Datum"/>
              <w:framePr w:wrap="auto" w:vAnchor="margin" w:hAnchor="text" w:xAlign="left" w:yAlign="inline"/>
              <w:suppressOverlap w:val="0"/>
            </w:pPr>
            <w:r>
              <w:t>31. Juli</w:t>
            </w:r>
            <w:r w:rsidR="009D5463">
              <w:t xml:space="preserve"> 201</w:t>
            </w:r>
            <w:r w:rsidR="00D87C75">
              <w:t>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617B2D" w:rsidRDefault="00617B2D" w:rsidP="00617B2D">
            <w:pPr>
              <w:pStyle w:val="M7"/>
              <w:framePr w:wrap="auto" w:vAnchor="margin" w:hAnchor="text" w:xAlign="left" w:yAlign="inline"/>
              <w:suppressOverlap w:val="0"/>
            </w:pPr>
            <w:r>
              <w:br/>
              <w:t>Alexandra Boy</w:t>
            </w:r>
          </w:p>
          <w:p w:rsidR="00617B2D" w:rsidRDefault="00617B2D" w:rsidP="00617B2D">
            <w:pPr>
              <w:pStyle w:val="M8"/>
              <w:framePr w:wrap="auto" w:vAnchor="margin" w:hAnchor="text" w:xAlign="left" w:yAlign="inline"/>
              <w:suppressOverlap w:val="0"/>
            </w:pPr>
            <w:proofErr w:type="spellStart"/>
            <w:r>
              <w:t>Stellvertr</w:t>
            </w:r>
            <w:proofErr w:type="spellEnd"/>
            <w:r>
              <w:t xml:space="preserve">. Leiterin Konzernpresse </w:t>
            </w:r>
          </w:p>
          <w:p w:rsidR="00617B2D" w:rsidRDefault="00617B2D" w:rsidP="00617B2D">
            <w:pPr>
              <w:pStyle w:val="M9"/>
              <w:framePr w:wrap="auto" w:vAnchor="margin" w:hAnchor="text" w:xAlign="left" w:yAlign="inline"/>
              <w:suppressOverlap w:val="0"/>
            </w:pPr>
            <w:r>
              <w:t>Telefon +49</w:t>
            </w:r>
            <w:r>
              <w:tab/>
              <w:t>201 177-3167</w:t>
            </w:r>
          </w:p>
          <w:p w:rsidR="00617B2D" w:rsidRDefault="00617B2D" w:rsidP="00617B2D">
            <w:pPr>
              <w:pStyle w:val="M10"/>
              <w:framePr w:wrap="auto" w:vAnchor="margin" w:hAnchor="text" w:xAlign="left" w:yAlign="inline"/>
              <w:suppressOverlap w:val="0"/>
            </w:pPr>
            <w:r>
              <w:t>Telefax +49</w:t>
            </w:r>
            <w:r>
              <w:tab/>
              <w:t>201 177-3030</w:t>
            </w:r>
          </w:p>
          <w:p w:rsidR="00B6136F" w:rsidRPr="00617B2D" w:rsidRDefault="00617B2D" w:rsidP="00617B2D">
            <w:pPr>
              <w:pStyle w:val="M1"/>
              <w:framePr w:wrap="auto" w:vAnchor="margin" w:hAnchor="text" w:xAlign="left" w:yAlign="inline"/>
              <w:suppressOverlap w:val="0"/>
              <w:rPr>
                <w:b w:val="0"/>
              </w:rPr>
            </w:pPr>
            <w:r w:rsidRPr="00617B2D">
              <w:rPr>
                <w:b w:val="0"/>
              </w:rPr>
              <w:t>alexandra.boy@evonik.com</w:t>
            </w:r>
            <w:r w:rsidR="00B14022" w:rsidRPr="00617B2D">
              <w:rPr>
                <w:b w:val="0"/>
              </w:rPr>
              <w:br/>
            </w:r>
            <w:r w:rsidR="00B14022" w:rsidRPr="00617B2D">
              <w:rPr>
                <w:b w:val="0"/>
              </w:rPr>
              <w:br/>
            </w:r>
            <w:r w:rsidR="00B14022" w:rsidRPr="00617B2D">
              <w:rPr>
                <w:b w:val="0"/>
              </w:rP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94398">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94398">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94398">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9439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9439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94398">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9439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9439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94398">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94398">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9439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94398">
              <w:rPr>
                <w:noProof/>
              </w:rPr>
              <w:t>Vorsitzender</w:t>
            </w:r>
            <w:r>
              <w:fldChar w:fldCharType="end"/>
            </w:r>
          </w:p>
          <w:p w:rsidR="00A76B0B" w:rsidRDefault="00A76B0B">
            <w:pPr>
              <w:pStyle w:val="V10"/>
              <w:framePr w:wrap="auto" w:vAnchor="margin" w:hAnchor="text" w:xAlign="left" w:yAlign="inline"/>
              <w:suppressOverlap w:val="0"/>
            </w:pPr>
            <w:r>
              <w:t>Christian Kullmann</w:t>
            </w:r>
          </w:p>
          <w:p w:rsidR="00B6136F" w:rsidRDefault="00B14022">
            <w:pPr>
              <w:pStyle w:val="V11"/>
              <w:framePr w:wrap="auto" w:vAnchor="margin" w:hAnchor="text" w:xAlign="left" w:yAlign="inline"/>
              <w:suppressOverlap w:val="0"/>
            </w:pPr>
            <w:r>
              <w:t>Thomas Wessel</w:t>
            </w:r>
            <w:r w:rsidR="000B1542">
              <w:t xml:space="preserve"> </w:t>
            </w:r>
            <w:r w:rsidR="002166B6">
              <w:br/>
            </w:r>
            <w:r>
              <w:fldChar w:fldCharType="begin">
                <w:ffData>
                  <w:name w:val=""/>
                  <w:enabled/>
                  <w:calcOnExit w:val="0"/>
                  <w:textInput>
                    <w:default w:val="Patrik Wohlhauser"/>
                  </w:textInput>
                </w:ffData>
              </w:fldChar>
            </w:r>
            <w:r>
              <w:instrText xml:space="preserve"> FORMTEXT </w:instrText>
            </w:r>
            <w:r>
              <w:fldChar w:fldCharType="separate"/>
            </w:r>
            <w:r w:rsidR="00194398">
              <w:rPr>
                <w:noProof/>
              </w:rPr>
              <w:t>Patrik Wohlhauser</w:t>
            </w:r>
            <w:r>
              <w:fldChar w:fldCharType="end"/>
            </w:r>
          </w:p>
          <w:p w:rsidR="00B6136F" w:rsidRDefault="002166B6">
            <w:pPr>
              <w:pStyle w:val="Marginalie"/>
              <w:framePr w:w="0" w:hSpace="0" w:wrap="auto" w:vAnchor="margin" w:hAnchor="text" w:xAlign="left" w:yAlign="inline"/>
            </w:pPr>
            <w:r>
              <w:t>Ute Wolf</w:t>
            </w:r>
            <w:r>
              <w:br/>
            </w: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9439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94398">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94398">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9439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94398">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9439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94398">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00F5D" w:rsidRDefault="00F00F5D" w:rsidP="0037497A">
      <w:pPr>
        <w:rPr>
          <w:u w:val="single"/>
        </w:rPr>
      </w:pPr>
    </w:p>
    <w:p w:rsidR="00395AF0" w:rsidRDefault="00395AF0" w:rsidP="0037497A">
      <w:pPr>
        <w:rPr>
          <w:u w:val="single"/>
        </w:rPr>
      </w:pPr>
    </w:p>
    <w:p w:rsidR="005D543A" w:rsidRDefault="005D543A" w:rsidP="0037497A">
      <w:pPr>
        <w:rPr>
          <w:u w:val="single"/>
        </w:rPr>
      </w:pPr>
    </w:p>
    <w:p w:rsidR="009D734A" w:rsidRDefault="009D734A" w:rsidP="0037497A">
      <w:pPr>
        <w:rPr>
          <w:u w:val="single"/>
        </w:rPr>
      </w:pPr>
      <w:r>
        <w:rPr>
          <w:u w:val="single"/>
        </w:rPr>
        <w:t>Wirtschaftliche Eckdaten:</w:t>
      </w:r>
      <w:r w:rsidR="00B9723B">
        <w:rPr>
          <w:u w:val="single"/>
        </w:rPr>
        <w:t xml:space="preserve"> 1. Halbjahr 2014 / 2. Quartal 2014</w:t>
      </w:r>
    </w:p>
    <w:p w:rsidR="009D734A" w:rsidRDefault="009D734A" w:rsidP="0037497A">
      <w:pPr>
        <w:spacing w:line="300" w:lineRule="exact"/>
        <w:rPr>
          <w:u w:val="single"/>
        </w:rPr>
      </w:pPr>
    </w:p>
    <w:p w:rsidR="00A02C86" w:rsidRDefault="00646713" w:rsidP="0037497A">
      <w:pPr>
        <w:rPr>
          <w:b/>
          <w:bCs/>
          <w:sz w:val="22"/>
          <w:szCs w:val="22"/>
        </w:rPr>
      </w:pPr>
      <w:bookmarkStart w:id="1" w:name="Überschrift"/>
      <w:r>
        <w:rPr>
          <w:b/>
          <w:bCs/>
          <w:sz w:val="22"/>
          <w:szCs w:val="22"/>
        </w:rPr>
        <w:t xml:space="preserve">Solides 2. Quartal </w:t>
      </w:r>
      <w:r w:rsidR="009A4749">
        <w:rPr>
          <w:b/>
          <w:bCs/>
          <w:sz w:val="22"/>
          <w:szCs w:val="22"/>
        </w:rPr>
        <w:t xml:space="preserve">2014 </w:t>
      </w:r>
      <w:r>
        <w:rPr>
          <w:b/>
          <w:bCs/>
          <w:sz w:val="22"/>
          <w:szCs w:val="22"/>
        </w:rPr>
        <w:t xml:space="preserve">– </w:t>
      </w:r>
      <w:r w:rsidR="007B1EC9">
        <w:rPr>
          <w:b/>
          <w:bCs/>
          <w:sz w:val="22"/>
          <w:szCs w:val="22"/>
        </w:rPr>
        <w:br/>
      </w:r>
      <w:r w:rsidR="001C719C">
        <w:rPr>
          <w:b/>
          <w:bCs/>
          <w:sz w:val="22"/>
          <w:szCs w:val="22"/>
        </w:rPr>
        <w:t xml:space="preserve">Leichte </w:t>
      </w:r>
      <w:r w:rsidR="007B1EC9">
        <w:rPr>
          <w:b/>
          <w:bCs/>
          <w:sz w:val="22"/>
          <w:szCs w:val="22"/>
        </w:rPr>
        <w:t xml:space="preserve">operative </w:t>
      </w:r>
      <w:r w:rsidR="001C719C">
        <w:rPr>
          <w:b/>
          <w:bCs/>
          <w:sz w:val="22"/>
          <w:szCs w:val="22"/>
        </w:rPr>
        <w:t>Verbesserung zu</w:t>
      </w:r>
      <w:r w:rsidR="00D60B9A">
        <w:rPr>
          <w:b/>
          <w:bCs/>
          <w:sz w:val="22"/>
          <w:szCs w:val="22"/>
        </w:rPr>
        <w:t>m</w:t>
      </w:r>
      <w:r w:rsidR="001C719C">
        <w:rPr>
          <w:b/>
          <w:bCs/>
          <w:sz w:val="22"/>
          <w:szCs w:val="22"/>
        </w:rPr>
        <w:t xml:space="preserve"> </w:t>
      </w:r>
      <w:r>
        <w:rPr>
          <w:b/>
          <w:bCs/>
          <w:sz w:val="22"/>
          <w:szCs w:val="22"/>
        </w:rPr>
        <w:t>Vorquartal</w:t>
      </w:r>
      <w:r w:rsidR="00F50193">
        <w:rPr>
          <w:b/>
          <w:bCs/>
          <w:sz w:val="22"/>
          <w:szCs w:val="22"/>
        </w:rPr>
        <w:t xml:space="preserve"> </w:t>
      </w:r>
    </w:p>
    <w:p w:rsidR="00E94E68" w:rsidRDefault="00E94E68" w:rsidP="0037497A">
      <w:pPr>
        <w:rPr>
          <w:b/>
          <w:bCs/>
          <w:sz w:val="22"/>
          <w:szCs w:val="22"/>
        </w:rPr>
      </w:pPr>
    </w:p>
    <w:p w:rsidR="00500E2A" w:rsidRDefault="00500E2A" w:rsidP="0037497A">
      <w:pPr>
        <w:rPr>
          <w:b/>
          <w:bCs/>
          <w:sz w:val="20"/>
          <w:szCs w:val="20"/>
        </w:rPr>
      </w:pPr>
    </w:p>
    <w:p w:rsidR="001C719C" w:rsidRPr="001C719C" w:rsidRDefault="001C719C" w:rsidP="0037497A">
      <w:pPr>
        <w:rPr>
          <w:b/>
          <w:bCs/>
          <w:sz w:val="20"/>
          <w:szCs w:val="20"/>
        </w:rPr>
      </w:pPr>
      <w:r>
        <w:rPr>
          <w:b/>
          <w:bCs/>
          <w:sz w:val="20"/>
          <w:szCs w:val="20"/>
        </w:rPr>
        <w:t>Eckpunkte 2. Quartal 2014:</w:t>
      </w:r>
    </w:p>
    <w:bookmarkEnd w:id="1"/>
    <w:p w:rsidR="001C719C" w:rsidRDefault="001C719C"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 xml:space="preserve">Organisches Umsatzwachstum von 3 Prozent  - </w:t>
      </w:r>
      <w:r w:rsidR="00DF7AEA">
        <w:rPr>
          <w:rFonts w:cs="Lucida Sans Unicode"/>
          <w:b/>
          <w:bCs/>
          <w:position w:val="0"/>
          <w:sz w:val="20"/>
          <w:szCs w:val="20"/>
        </w:rPr>
        <w:br/>
      </w:r>
      <w:r>
        <w:rPr>
          <w:rFonts w:cs="Lucida Sans Unicode"/>
          <w:b/>
          <w:bCs/>
          <w:position w:val="0"/>
          <w:sz w:val="20"/>
          <w:szCs w:val="20"/>
        </w:rPr>
        <w:t>erfreuliche Mengensteigerungen bei nachlassendem Preisdruck</w:t>
      </w:r>
    </w:p>
    <w:p w:rsidR="001C719C" w:rsidRDefault="001C719C"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Bereinigtes EBITDA mit 473 Millionen € zwar unter Vorjahresquartal, aber gegenüber 1. Quartal 2014 gesteigert</w:t>
      </w:r>
    </w:p>
    <w:p w:rsidR="00050BF1" w:rsidRDefault="00050BF1"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 xml:space="preserve">Alle Segmente </w:t>
      </w:r>
      <w:r w:rsidR="001C719C">
        <w:rPr>
          <w:rFonts w:cs="Lucida Sans Unicode"/>
          <w:b/>
          <w:bCs/>
          <w:position w:val="0"/>
          <w:sz w:val="20"/>
          <w:szCs w:val="20"/>
        </w:rPr>
        <w:t xml:space="preserve">mit leicht verbesserten Ergebnissen gegenüber </w:t>
      </w:r>
      <w:r w:rsidR="001C719C">
        <w:rPr>
          <w:rFonts w:cs="Lucida Sans Unicode"/>
          <w:b/>
          <w:bCs/>
          <w:position w:val="0"/>
          <w:sz w:val="20"/>
          <w:szCs w:val="20"/>
        </w:rPr>
        <w:br/>
        <w:t>1. Quartal 2014</w:t>
      </w:r>
      <w:r w:rsidR="001C719C">
        <w:rPr>
          <w:rFonts w:cs="Lucida Sans Unicode"/>
          <w:b/>
          <w:bCs/>
          <w:position w:val="0"/>
          <w:sz w:val="20"/>
          <w:szCs w:val="20"/>
        </w:rPr>
        <w:br/>
      </w:r>
    </w:p>
    <w:p w:rsidR="00A02C86" w:rsidRPr="004938BD" w:rsidRDefault="009B1A4A" w:rsidP="004938BD">
      <w:pPr>
        <w:rPr>
          <w:b/>
          <w:bCs/>
          <w:sz w:val="20"/>
          <w:szCs w:val="20"/>
        </w:rPr>
      </w:pPr>
      <w:r>
        <w:rPr>
          <w:b/>
          <w:bCs/>
          <w:sz w:val="20"/>
          <w:szCs w:val="20"/>
        </w:rPr>
        <w:t xml:space="preserve">Eckpunkte </w:t>
      </w:r>
      <w:r w:rsidR="00646713" w:rsidRPr="004938BD">
        <w:rPr>
          <w:b/>
          <w:bCs/>
          <w:sz w:val="20"/>
          <w:szCs w:val="20"/>
        </w:rPr>
        <w:t>1. Halbjahr 2014</w:t>
      </w:r>
      <w:r w:rsidR="008A6624" w:rsidRPr="004938BD">
        <w:rPr>
          <w:b/>
          <w:bCs/>
          <w:sz w:val="20"/>
          <w:szCs w:val="20"/>
        </w:rPr>
        <w:t>:</w:t>
      </w:r>
    </w:p>
    <w:p w:rsidR="00A02C86" w:rsidRPr="009B1A4A" w:rsidRDefault="00BB4FB6" w:rsidP="00CD3953">
      <w:pPr>
        <w:numPr>
          <w:ilvl w:val="0"/>
          <w:numId w:val="14"/>
        </w:numPr>
        <w:tabs>
          <w:tab w:val="num" w:pos="851"/>
        </w:tabs>
        <w:spacing w:line="300" w:lineRule="exact"/>
        <w:ind w:left="312" w:hanging="227"/>
        <w:rPr>
          <w:rFonts w:cs="Lucida Sans Unicode"/>
          <w:b/>
          <w:bCs/>
          <w:position w:val="0"/>
          <w:sz w:val="20"/>
          <w:szCs w:val="20"/>
        </w:rPr>
      </w:pPr>
      <w:r>
        <w:rPr>
          <w:rFonts w:cs="Lucida Sans Unicode"/>
          <w:b/>
          <w:bCs/>
          <w:position w:val="0"/>
          <w:sz w:val="20"/>
          <w:szCs w:val="20"/>
        </w:rPr>
        <w:t xml:space="preserve">Konzernumsatz mit 6,4 Milliarden € organisch </w:t>
      </w:r>
      <w:r w:rsidR="00FE30EF">
        <w:rPr>
          <w:rFonts w:cs="Lucida Sans Unicode"/>
          <w:b/>
          <w:bCs/>
          <w:position w:val="0"/>
          <w:sz w:val="20"/>
          <w:szCs w:val="20"/>
        </w:rPr>
        <w:t xml:space="preserve">leicht </w:t>
      </w:r>
      <w:r>
        <w:rPr>
          <w:rFonts w:cs="Lucida Sans Unicode"/>
          <w:b/>
          <w:bCs/>
          <w:position w:val="0"/>
          <w:sz w:val="20"/>
          <w:szCs w:val="20"/>
        </w:rPr>
        <w:t>gestiegen</w:t>
      </w:r>
    </w:p>
    <w:p w:rsidR="00A02C86" w:rsidRPr="00A02C86" w:rsidRDefault="00BB4FB6" w:rsidP="00CD3953">
      <w:pPr>
        <w:numPr>
          <w:ilvl w:val="0"/>
          <w:numId w:val="14"/>
        </w:numPr>
        <w:tabs>
          <w:tab w:val="num" w:pos="851"/>
        </w:tabs>
        <w:spacing w:line="300" w:lineRule="exact"/>
        <w:ind w:left="312" w:hanging="227"/>
        <w:rPr>
          <w:rFonts w:cs="Lucida Sans Unicode"/>
          <w:b/>
          <w:bCs/>
          <w:position w:val="0"/>
          <w:sz w:val="20"/>
          <w:szCs w:val="20"/>
        </w:rPr>
      </w:pPr>
      <w:r>
        <w:rPr>
          <w:rFonts w:cs="Lucida Sans Unicode"/>
          <w:b/>
          <w:bCs/>
          <w:position w:val="0"/>
          <w:sz w:val="20"/>
          <w:szCs w:val="20"/>
        </w:rPr>
        <w:t>Bereinigtes EBITDA auf solidem Niveau, aber unter gutem Vorjahr</w:t>
      </w:r>
    </w:p>
    <w:p w:rsidR="00A02C86" w:rsidRPr="00A02C86" w:rsidRDefault="00BB4FB6" w:rsidP="00CD3953">
      <w:pPr>
        <w:numPr>
          <w:ilvl w:val="0"/>
          <w:numId w:val="14"/>
        </w:numPr>
        <w:tabs>
          <w:tab w:val="num" w:pos="851"/>
        </w:tabs>
        <w:spacing w:line="300" w:lineRule="exact"/>
        <w:ind w:left="312" w:hanging="227"/>
        <w:rPr>
          <w:rFonts w:cs="Lucida Sans Unicode"/>
          <w:b/>
          <w:bCs/>
          <w:position w:val="0"/>
          <w:sz w:val="20"/>
          <w:szCs w:val="20"/>
        </w:rPr>
      </w:pPr>
      <w:r>
        <w:rPr>
          <w:rFonts w:cs="Lucida Sans Unicode"/>
          <w:b/>
          <w:bCs/>
          <w:position w:val="0"/>
          <w:sz w:val="20"/>
          <w:szCs w:val="20"/>
        </w:rPr>
        <w:t>Bereinigte EBITDA-Marge beträgt 14,5 Prozent</w:t>
      </w:r>
    </w:p>
    <w:p w:rsidR="00FE30EF" w:rsidRDefault="00BB4FB6"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Cashflow aus laufender Geschäftstätigkeit deut</w:t>
      </w:r>
      <w:r w:rsidR="00FE30EF">
        <w:rPr>
          <w:rFonts w:cs="Lucida Sans Unicode"/>
          <w:b/>
          <w:bCs/>
          <w:position w:val="0"/>
          <w:sz w:val="20"/>
          <w:szCs w:val="20"/>
        </w:rPr>
        <w:t>l</w:t>
      </w:r>
      <w:r>
        <w:rPr>
          <w:rFonts w:cs="Lucida Sans Unicode"/>
          <w:b/>
          <w:bCs/>
          <w:position w:val="0"/>
          <w:sz w:val="20"/>
          <w:szCs w:val="20"/>
        </w:rPr>
        <w:t xml:space="preserve">ich auf </w:t>
      </w:r>
      <w:r w:rsidR="00FE30EF">
        <w:rPr>
          <w:rFonts w:cs="Lucida Sans Unicode"/>
          <w:b/>
          <w:bCs/>
          <w:position w:val="0"/>
          <w:sz w:val="20"/>
          <w:szCs w:val="20"/>
        </w:rPr>
        <w:t>308 Millionen € verbessert</w:t>
      </w:r>
    </w:p>
    <w:p w:rsidR="00FE30EF" w:rsidRPr="00DA6D56" w:rsidRDefault="00FE30EF" w:rsidP="00050BF1">
      <w:pPr>
        <w:numPr>
          <w:ilvl w:val="0"/>
          <w:numId w:val="14"/>
        </w:numPr>
        <w:tabs>
          <w:tab w:val="num" w:pos="340"/>
        </w:tabs>
        <w:spacing w:line="300" w:lineRule="exact"/>
        <w:ind w:left="312" w:hanging="227"/>
        <w:rPr>
          <w:rFonts w:cs="Lucida Sans Unicode"/>
          <w:b/>
          <w:bCs/>
          <w:position w:val="0"/>
          <w:sz w:val="20"/>
          <w:szCs w:val="20"/>
        </w:rPr>
      </w:pPr>
      <w:r w:rsidRPr="00DA6D56">
        <w:rPr>
          <w:rFonts w:cs="Lucida Sans Unicode"/>
          <w:b/>
          <w:bCs/>
          <w:position w:val="0"/>
          <w:sz w:val="20"/>
          <w:szCs w:val="20"/>
        </w:rPr>
        <w:t xml:space="preserve">Bereinigtes Konzernergebnis </w:t>
      </w:r>
      <w:r w:rsidR="004A7835">
        <w:rPr>
          <w:rFonts w:cs="Lucida Sans Unicode"/>
          <w:b/>
          <w:bCs/>
          <w:position w:val="0"/>
          <w:sz w:val="20"/>
          <w:szCs w:val="20"/>
        </w:rPr>
        <w:t>u</w:t>
      </w:r>
      <w:r w:rsidRPr="00DA6D56">
        <w:rPr>
          <w:rFonts w:cs="Lucida Sans Unicode"/>
          <w:b/>
          <w:bCs/>
          <w:position w:val="0"/>
          <w:sz w:val="20"/>
          <w:szCs w:val="20"/>
        </w:rPr>
        <w:t>m 28 Prozent auf 361 Millionen € gesunken</w:t>
      </w:r>
    </w:p>
    <w:p w:rsidR="00525354" w:rsidRPr="00A02C86" w:rsidRDefault="00FE30EF"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Ausblick für Gesamtjahr 2014 bestätigt</w:t>
      </w:r>
      <w:r w:rsidR="001F513B">
        <w:rPr>
          <w:rFonts w:cs="Lucida Sans Unicode"/>
          <w:b/>
          <w:bCs/>
          <w:position w:val="0"/>
          <w:sz w:val="20"/>
          <w:szCs w:val="20"/>
        </w:rPr>
        <w:t xml:space="preserve"> und präzisiert</w:t>
      </w:r>
      <w:r>
        <w:rPr>
          <w:rFonts w:cs="Lucida Sans Unicode"/>
          <w:b/>
          <w:bCs/>
          <w:position w:val="0"/>
          <w:sz w:val="20"/>
          <w:szCs w:val="20"/>
        </w:rPr>
        <w:br/>
      </w:r>
    </w:p>
    <w:p w:rsidR="00AF71D8" w:rsidRDefault="00D509E1" w:rsidP="0033355C">
      <w:pPr>
        <w:spacing w:line="300" w:lineRule="exact"/>
        <w:rPr>
          <w:rFonts w:cs="Lucida Sans Unicode"/>
          <w:sz w:val="20"/>
          <w:szCs w:val="20"/>
        </w:rPr>
      </w:pPr>
      <w:r>
        <w:rPr>
          <w:rFonts w:cs="Lucida Sans Unicode"/>
          <w:sz w:val="20"/>
          <w:szCs w:val="20"/>
        </w:rPr>
        <w:t xml:space="preserve">Essen. </w:t>
      </w:r>
      <w:r w:rsidR="001B482F">
        <w:rPr>
          <w:rFonts w:cs="Lucida Sans Unicode"/>
          <w:sz w:val="20"/>
          <w:szCs w:val="20"/>
        </w:rPr>
        <w:t xml:space="preserve">„In einem leicht positiven konjunkturellen Umfeld waren unsere Produkte im 2. Quartal </w:t>
      </w:r>
      <w:r w:rsidR="00AF71D8">
        <w:rPr>
          <w:rFonts w:cs="Lucida Sans Unicode"/>
          <w:sz w:val="20"/>
          <w:szCs w:val="20"/>
        </w:rPr>
        <w:t xml:space="preserve">2014 </w:t>
      </w:r>
      <w:r w:rsidR="001B482F">
        <w:rPr>
          <w:rFonts w:cs="Lucida Sans Unicode"/>
          <w:sz w:val="20"/>
          <w:szCs w:val="20"/>
        </w:rPr>
        <w:t>weltweit stark nachgefragt</w:t>
      </w:r>
      <w:r w:rsidR="004A7835">
        <w:rPr>
          <w:rFonts w:cs="Lucida Sans Unicode"/>
          <w:sz w:val="20"/>
          <w:szCs w:val="20"/>
        </w:rPr>
        <w:t>. U</w:t>
      </w:r>
      <w:r w:rsidR="009B1A4A">
        <w:rPr>
          <w:rFonts w:cs="Lucida Sans Unicode"/>
          <w:sz w:val="20"/>
          <w:szCs w:val="20"/>
        </w:rPr>
        <w:t>nser Geschäft hat sich insgesamt solide entwickelt</w:t>
      </w:r>
      <w:r w:rsidR="004A7835">
        <w:rPr>
          <w:rFonts w:cs="Lucida Sans Unicode"/>
          <w:sz w:val="20"/>
          <w:szCs w:val="20"/>
        </w:rPr>
        <w:t>“, sagte Klaus Engel, Vorstandsvorsitzender der Evonik Industries AG, heute anlässlich der Vorstellung der wirtschaftlichen Eckdaten für das 2. Quartal 2014 und das 1. Halbjahr 2014.</w:t>
      </w:r>
      <w:r w:rsidR="00AF71D8">
        <w:rPr>
          <w:rFonts w:cs="Lucida Sans Unicode"/>
          <w:sz w:val="20"/>
          <w:szCs w:val="20"/>
        </w:rPr>
        <w:t xml:space="preserve"> </w:t>
      </w:r>
      <w:r w:rsidR="004A7835">
        <w:rPr>
          <w:rFonts w:cs="Lucida Sans Unicode"/>
          <w:sz w:val="20"/>
          <w:szCs w:val="20"/>
        </w:rPr>
        <w:t>„</w:t>
      </w:r>
      <w:r w:rsidR="009B1A4A">
        <w:rPr>
          <w:rFonts w:cs="Lucida Sans Unicode"/>
          <w:sz w:val="20"/>
          <w:szCs w:val="20"/>
        </w:rPr>
        <w:t>Der in den Vorquartalen deutlich rückläufige Preistrend bei einigen wichti</w:t>
      </w:r>
      <w:r w:rsidR="007B1EC9">
        <w:rPr>
          <w:rFonts w:cs="Lucida Sans Unicode"/>
          <w:sz w:val="20"/>
          <w:szCs w:val="20"/>
        </w:rPr>
        <w:t>g</w:t>
      </w:r>
      <w:r w:rsidR="009B1A4A">
        <w:rPr>
          <w:rFonts w:cs="Lucida Sans Unicode"/>
          <w:sz w:val="20"/>
          <w:szCs w:val="20"/>
        </w:rPr>
        <w:t>en Produkten hat sich insgesamt erkennbar abgeschwächt.</w:t>
      </w:r>
      <w:r w:rsidR="00E94E68" w:rsidRPr="00E94E68">
        <w:rPr>
          <w:rFonts w:cs="Lucida Sans Unicode"/>
          <w:sz w:val="20"/>
          <w:szCs w:val="20"/>
        </w:rPr>
        <w:t xml:space="preserve"> </w:t>
      </w:r>
      <w:r w:rsidR="00AF71D8">
        <w:rPr>
          <w:rFonts w:cs="Lucida Sans Unicode"/>
          <w:sz w:val="20"/>
          <w:szCs w:val="20"/>
        </w:rPr>
        <w:t xml:space="preserve">Gegenüber dem </w:t>
      </w:r>
      <w:r w:rsidR="009B1A4A">
        <w:rPr>
          <w:rFonts w:cs="Lucida Sans Unicode"/>
          <w:sz w:val="20"/>
          <w:szCs w:val="20"/>
        </w:rPr>
        <w:t>1. Quartal</w:t>
      </w:r>
      <w:r w:rsidR="00AF71D8">
        <w:rPr>
          <w:rFonts w:cs="Lucida Sans Unicode"/>
          <w:sz w:val="20"/>
          <w:szCs w:val="20"/>
        </w:rPr>
        <w:t xml:space="preserve"> konnten wir die Ergebnisse in allen Segmenten leicht verbessern</w:t>
      </w:r>
      <w:r w:rsidR="001B482F">
        <w:rPr>
          <w:rFonts w:cs="Lucida Sans Unicode"/>
          <w:sz w:val="20"/>
          <w:szCs w:val="20"/>
        </w:rPr>
        <w:t xml:space="preserve">“, </w:t>
      </w:r>
      <w:r w:rsidR="004A7835">
        <w:rPr>
          <w:rFonts w:cs="Lucida Sans Unicode"/>
          <w:sz w:val="20"/>
          <w:szCs w:val="20"/>
        </w:rPr>
        <w:t>betonte er.</w:t>
      </w:r>
    </w:p>
    <w:p w:rsidR="00AF71D8" w:rsidRDefault="00AF71D8" w:rsidP="0033355C">
      <w:pPr>
        <w:spacing w:line="300" w:lineRule="exact"/>
        <w:rPr>
          <w:rFonts w:cs="Lucida Sans Unicode"/>
          <w:sz w:val="20"/>
          <w:szCs w:val="20"/>
        </w:rPr>
      </w:pPr>
    </w:p>
    <w:p w:rsidR="005E0237" w:rsidRDefault="001B482F" w:rsidP="0033355C">
      <w:pPr>
        <w:spacing w:line="300" w:lineRule="exact"/>
        <w:rPr>
          <w:rFonts w:cs="Lucida Sans Unicode"/>
          <w:sz w:val="20"/>
          <w:szCs w:val="20"/>
        </w:rPr>
      </w:pPr>
      <w:r>
        <w:rPr>
          <w:rFonts w:cs="Lucida Sans Unicode"/>
          <w:sz w:val="20"/>
          <w:szCs w:val="20"/>
        </w:rPr>
        <w:t>Insgesamt erzielte der Konzern im 1. Halbjahr 2014 organisch einen Umsatzanstieg</w:t>
      </w:r>
      <w:r w:rsidR="00AC627F">
        <w:rPr>
          <w:rFonts w:cs="Lucida Sans Unicode"/>
          <w:sz w:val="20"/>
          <w:szCs w:val="20"/>
        </w:rPr>
        <w:t>. D</w:t>
      </w:r>
      <w:r>
        <w:rPr>
          <w:rFonts w:cs="Lucida Sans Unicode"/>
          <w:sz w:val="20"/>
          <w:szCs w:val="20"/>
        </w:rPr>
        <w:t xml:space="preserve">ie operativen Ergebnisse waren auf solidem Niveau, aber aufgrund </w:t>
      </w:r>
      <w:r w:rsidR="00052450">
        <w:rPr>
          <w:rFonts w:cs="Lucida Sans Unicode"/>
          <w:sz w:val="20"/>
          <w:szCs w:val="20"/>
        </w:rPr>
        <w:t xml:space="preserve">geringerer Verkaufspreise </w:t>
      </w:r>
      <w:r w:rsidR="00AF71D8">
        <w:rPr>
          <w:rFonts w:cs="Lucida Sans Unicode"/>
          <w:sz w:val="20"/>
          <w:szCs w:val="20"/>
        </w:rPr>
        <w:t xml:space="preserve">bei einigen wichtigen Produkten </w:t>
      </w:r>
      <w:r w:rsidR="00052450">
        <w:rPr>
          <w:rFonts w:cs="Lucida Sans Unicode"/>
          <w:sz w:val="20"/>
          <w:szCs w:val="20"/>
        </w:rPr>
        <w:t>unter dem guten Vorjahr</w:t>
      </w:r>
      <w:r w:rsidR="00577116">
        <w:rPr>
          <w:rFonts w:cs="Lucida Sans Unicode"/>
          <w:sz w:val="20"/>
          <w:szCs w:val="20"/>
        </w:rPr>
        <w:t>eshalbjahr</w:t>
      </w:r>
      <w:r w:rsidR="00052450">
        <w:rPr>
          <w:rFonts w:cs="Lucida Sans Unicode"/>
          <w:sz w:val="20"/>
          <w:szCs w:val="20"/>
        </w:rPr>
        <w:t xml:space="preserve">. </w:t>
      </w:r>
    </w:p>
    <w:p w:rsidR="00577116" w:rsidRDefault="00577116" w:rsidP="0033355C">
      <w:pPr>
        <w:spacing w:line="300" w:lineRule="exact"/>
        <w:rPr>
          <w:rFonts w:cs="Lucida Sans Unicode"/>
          <w:sz w:val="20"/>
          <w:szCs w:val="20"/>
        </w:rPr>
      </w:pPr>
    </w:p>
    <w:p w:rsidR="00616FEE" w:rsidRDefault="00577116" w:rsidP="0033355C">
      <w:pPr>
        <w:spacing w:line="300" w:lineRule="exact"/>
        <w:rPr>
          <w:rFonts w:cs="Lucida Sans Unicode"/>
          <w:sz w:val="20"/>
          <w:szCs w:val="20"/>
        </w:rPr>
      </w:pPr>
      <w:r>
        <w:rPr>
          <w:rFonts w:cs="Lucida Sans Unicode"/>
          <w:sz w:val="20"/>
          <w:szCs w:val="20"/>
        </w:rPr>
        <w:lastRenderedPageBreak/>
        <w:t>Evonik bestätigt seinen Ausblick für das Gesamtjahr 2014</w:t>
      </w:r>
      <w:r w:rsidR="002E00B4">
        <w:rPr>
          <w:rFonts w:cs="Lucida Sans Unicode"/>
          <w:sz w:val="20"/>
          <w:szCs w:val="20"/>
        </w:rPr>
        <w:t xml:space="preserve"> und präzisiert ihn zugleich.</w:t>
      </w:r>
      <w:r>
        <w:rPr>
          <w:rFonts w:cs="Lucida Sans Unicode"/>
          <w:sz w:val="20"/>
          <w:szCs w:val="20"/>
        </w:rPr>
        <w:t xml:space="preserve"> </w:t>
      </w:r>
    </w:p>
    <w:p w:rsidR="00616FEE" w:rsidRDefault="00616FEE" w:rsidP="0033355C">
      <w:pPr>
        <w:spacing w:line="300" w:lineRule="exact"/>
        <w:rPr>
          <w:rFonts w:cs="Lucida Sans Unicode"/>
          <w:sz w:val="20"/>
          <w:szCs w:val="20"/>
        </w:rPr>
      </w:pPr>
    </w:p>
    <w:p w:rsidR="00235D46" w:rsidRDefault="00577116" w:rsidP="0033355C">
      <w:pPr>
        <w:spacing w:line="300" w:lineRule="exact"/>
        <w:rPr>
          <w:rFonts w:cs="Lucida Sans Unicode"/>
          <w:sz w:val="20"/>
          <w:szCs w:val="20"/>
        </w:rPr>
      </w:pPr>
      <w:r>
        <w:rPr>
          <w:rFonts w:cs="Lucida Sans Unicode"/>
          <w:sz w:val="20"/>
          <w:szCs w:val="20"/>
        </w:rPr>
        <w:t xml:space="preserve">Der Konzern rechnet unverändert mit einem leicht höheren </w:t>
      </w:r>
      <w:r w:rsidRPr="00635809">
        <w:rPr>
          <w:rFonts w:cs="Lucida Sans Unicode"/>
          <w:b/>
          <w:sz w:val="20"/>
          <w:szCs w:val="20"/>
        </w:rPr>
        <w:t>Umsatz</w:t>
      </w:r>
      <w:r>
        <w:rPr>
          <w:rFonts w:cs="Lucida Sans Unicode"/>
          <w:sz w:val="20"/>
          <w:szCs w:val="20"/>
        </w:rPr>
        <w:t xml:space="preserve"> (2013: 12,7 Milliarden €) und erwartet weiterhin ein </w:t>
      </w:r>
      <w:r w:rsidRPr="00AC627F">
        <w:rPr>
          <w:rFonts w:cs="Lucida Sans Unicode"/>
          <w:sz w:val="20"/>
          <w:szCs w:val="20"/>
        </w:rPr>
        <w:t>bereinigtes</w:t>
      </w:r>
      <w:r w:rsidRPr="00635809">
        <w:rPr>
          <w:rFonts w:cs="Lucida Sans Unicode"/>
          <w:b/>
          <w:sz w:val="20"/>
          <w:szCs w:val="20"/>
        </w:rPr>
        <w:t xml:space="preserve"> EBITDA</w:t>
      </w:r>
      <w:r>
        <w:rPr>
          <w:rFonts w:cs="Lucida Sans Unicode"/>
          <w:sz w:val="20"/>
          <w:szCs w:val="20"/>
        </w:rPr>
        <w:t xml:space="preserve"> zwischen 1,8 und 2,1 Milliarden € (2013: 2,0 Milliarden €). </w:t>
      </w:r>
    </w:p>
    <w:p w:rsidR="00235D46" w:rsidRDefault="00235D46" w:rsidP="0037497A">
      <w:pPr>
        <w:spacing w:line="300" w:lineRule="atLeast"/>
        <w:rPr>
          <w:rFonts w:cs="Lucida Sans Unicode"/>
          <w:sz w:val="20"/>
          <w:szCs w:val="20"/>
        </w:rPr>
      </w:pPr>
    </w:p>
    <w:p w:rsidR="00577116" w:rsidRDefault="007B1EC9" w:rsidP="0033355C">
      <w:pPr>
        <w:spacing w:line="300" w:lineRule="exact"/>
        <w:rPr>
          <w:rFonts w:cs="Lucida Sans Unicode"/>
          <w:sz w:val="20"/>
          <w:szCs w:val="20"/>
        </w:rPr>
      </w:pPr>
      <w:r>
        <w:rPr>
          <w:rFonts w:cs="Lucida Sans Unicode"/>
          <w:sz w:val="20"/>
          <w:szCs w:val="20"/>
        </w:rPr>
        <w:t xml:space="preserve">Auf der Preisseite geht Evonik davon aus, dass der bisher erkennbare Stabilisierungstrend anhält. </w:t>
      </w:r>
      <w:r w:rsidR="00AF71D8">
        <w:rPr>
          <w:rFonts w:cs="Lucida Sans Unicode"/>
          <w:sz w:val="20"/>
          <w:szCs w:val="20"/>
        </w:rPr>
        <w:t>In einigen Geschäften sind leicht positive Preisentwicklungen erkennbar. Dies gilt jedoch bisher nicht</w:t>
      </w:r>
      <w:r w:rsidR="00577116">
        <w:rPr>
          <w:rFonts w:cs="Lucida Sans Unicode"/>
          <w:sz w:val="20"/>
          <w:szCs w:val="20"/>
        </w:rPr>
        <w:t xml:space="preserve"> für Aktivitäten im Segment Specialty Materials</w:t>
      </w:r>
      <w:r w:rsidR="00AF71D8">
        <w:rPr>
          <w:rFonts w:cs="Lucida Sans Unicode"/>
          <w:sz w:val="20"/>
          <w:szCs w:val="20"/>
        </w:rPr>
        <w:t>, hier blieb die Preisentwicklung hinter den ursprünglichen Erwartungen</w:t>
      </w:r>
      <w:r w:rsidR="00235D46">
        <w:rPr>
          <w:rFonts w:cs="Lucida Sans Unicode"/>
          <w:sz w:val="20"/>
          <w:szCs w:val="20"/>
        </w:rPr>
        <w:t xml:space="preserve"> zurück</w:t>
      </w:r>
      <w:r w:rsidR="00AF71D8">
        <w:rPr>
          <w:rFonts w:cs="Lucida Sans Unicode"/>
          <w:sz w:val="20"/>
          <w:szCs w:val="20"/>
        </w:rPr>
        <w:t>.</w:t>
      </w:r>
      <w:r w:rsidR="00577116">
        <w:rPr>
          <w:rFonts w:cs="Lucida Sans Unicode"/>
          <w:sz w:val="20"/>
          <w:szCs w:val="20"/>
        </w:rPr>
        <w:t xml:space="preserve"> Sollte sich dies im weiteren Jahresverlauf fortsetzen, geht das Unternehmen davon aus, dass das </w:t>
      </w:r>
      <w:r w:rsidR="00577116" w:rsidRPr="00D12544">
        <w:rPr>
          <w:rFonts w:cs="Lucida Sans Unicode"/>
          <w:sz w:val="20"/>
          <w:szCs w:val="20"/>
        </w:rPr>
        <w:t>bereinigte</w:t>
      </w:r>
      <w:r w:rsidR="00577116" w:rsidRPr="00635809">
        <w:rPr>
          <w:rFonts w:cs="Lucida Sans Unicode"/>
          <w:b/>
          <w:sz w:val="20"/>
          <w:szCs w:val="20"/>
        </w:rPr>
        <w:t xml:space="preserve"> EBITDA</w:t>
      </w:r>
      <w:r w:rsidR="00577116">
        <w:rPr>
          <w:rFonts w:cs="Lucida Sans Unicode"/>
          <w:sz w:val="20"/>
          <w:szCs w:val="20"/>
        </w:rPr>
        <w:t xml:space="preserve"> für das Gesamtjahr 2014 eher im unteren </w:t>
      </w:r>
      <w:r w:rsidR="001F513B">
        <w:rPr>
          <w:rFonts w:cs="Lucida Sans Unicode"/>
          <w:sz w:val="20"/>
          <w:szCs w:val="20"/>
        </w:rPr>
        <w:t xml:space="preserve">als im oberen </w:t>
      </w:r>
      <w:r w:rsidR="00577116">
        <w:rPr>
          <w:rFonts w:cs="Lucida Sans Unicode"/>
          <w:sz w:val="20"/>
          <w:szCs w:val="20"/>
        </w:rPr>
        <w:t>Bereich der Spanne von 1,8 bis 2,1 Milliarden € liegen wird.</w:t>
      </w:r>
    </w:p>
    <w:p w:rsidR="0086409A" w:rsidRDefault="0086409A" w:rsidP="0033355C">
      <w:pPr>
        <w:spacing w:line="300" w:lineRule="exact"/>
        <w:rPr>
          <w:b/>
          <w:sz w:val="20"/>
          <w:szCs w:val="20"/>
          <w:lang w:eastAsia="en-US"/>
        </w:rPr>
      </w:pPr>
    </w:p>
    <w:p w:rsidR="0086409A" w:rsidRDefault="0086409A" w:rsidP="0033355C">
      <w:pPr>
        <w:spacing w:line="300" w:lineRule="exact"/>
        <w:rPr>
          <w:b/>
          <w:sz w:val="20"/>
          <w:szCs w:val="20"/>
          <w:lang w:eastAsia="en-US"/>
        </w:rPr>
      </w:pPr>
    </w:p>
    <w:p w:rsidR="00D509E1" w:rsidRPr="00D509E1" w:rsidRDefault="00D509E1" w:rsidP="0033355C">
      <w:pPr>
        <w:spacing w:line="300" w:lineRule="exact"/>
        <w:rPr>
          <w:b/>
          <w:sz w:val="20"/>
          <w:szCs w:val="20"/>
          <w:lang w:eastAsia="en-US"/>
        </w:rPr>
      </w:pPr>
      <w:r w:rsidRPr="00D509E1">
        <w:rPr>
          <w:b/>
          <w:sz w:val="20"/>
          <w:szCs w:val="20"/>
          <w:lang w:eastAsia="en-US"/>
        </w:rPr>
        <w:t>Geschäftsentwicklung im 1. Halbjahr 2014</w:t>
      </w:r>
    </w:p>
    <w:p w:rsidR="00D509E1" w:rsidRDefault="00D509E1" w:rsidP="0033355C">
      <w:pPr>
        <w:spacing w:line="300" w:lineRule="exact"/>
        <w:rPr>
          <w:sz w:val="20"/>
          <w:szCs w:val="20"/>
          <w:lang w:eastAsia="en-US"/>
        </w:rPr>
      </w:pPr>
    </w:p>
    <w:p w:rsidR="007B1EC9" w:rsidRDefault="007B1EC9" w:rsidP="0033355C">
      <w:pPr>
        <w:spacing w:line="300" w:lineRule="exact"/>
        <w:rPr>
          <w:sz w:val="20"/>
          <w:szCs w:val="20"/>
          <w:lang w:eastAsia="en-US"/>
        </w:rPr>
      </w:pPr>
      <w:r>
        <w:rPr>
          <w:sz w:val="20"/>
          <w:szCs w:val="20"/>
          <w:lang w:eastAsia="en-US"/>
        </w:rPr>
        <w:t xml:space="preserve">Die weltwirtschaftlichen Rahmenbedingungen haben sich im 1. Halbjahr 2014 leicht schwächer als erwartet </w:t>
      </w:r>
      <w:r w:rsidR="001D7120">
        <w:rPr>
          <w:sz w:val="20"/>
          <w:szCs w:val="20"/>
          <w:lang w:eastAsia="en-US"/>
        </w:rPr>
        <w:t>entwickelt</w:t>
      </w:r>
      <w:r>
        <w:rPr>
          <w:sz w:val="20"/>
          <w:szCs w:val="20"/>
          <w:lang w:eastAsia="en-US"/>
        </w:rPr>
        <w:t xml:space="preserve">. Das globale Wachstum setzte zwar den anhaltenden Aufwärtstrend fort, konnte jedoch im </w:t>
      </w:r>
      <w:r w:rsidR="001D7120">
        <w:rPr>
          <w:sz w:val="20"/>
          <w:szCs w:val="20"/>
          <w:lang w:eastAsia="en-US"/>
        </w:rPr>
        <w:t>2. Quartal</w:t>
      </w:r>
      <w:r>
        <w:rPr>
          <w:sz w:val="20"/>
          <w:szCs w:val="20"/>
          <w:lang w:eastAsia="en-US"/>
        </w:rPr>
        <w:t xml:space="preserve"> keine zusätzliche Dynamik </w:t>
      </w:r>
      <w:r w:rsidR="001D7120">
        <w:rPr>
          <w:sz w:val="20"/>
          <w:szCs w:val="20"/>
          <w:lang w:eastAsia="en-US"/>
        </w:rPr>
        <w:t>entfalten</w:t>
      </w:r>
      <w:r>
        <w:rPr>
          <w:sz w:val="20"/>
          <w:szCs w:val="20"/>
          <w:lang w:eastAsia="en-US"/>
        </w:rPr>
        <w:t>.</w:t>
      </w:r>
    </w:p>
    <w:p w:rsidR="007B1EC9" w:rsidRDefault="007B1EC9" w:rsidP="0033355C">
      <w:pPr>
        <w:spacing w:line="300" w:lineRule="exact"/>
        <w:rPr>
          <w:sz w:val="20"/>
          <w:szCs w:val="20"/>
          <w:lang w:eastAsia="en-US"/>
        </w:rPr>
      </w:pPr>
    </w:p>
    <w:p w:rsidR="00665480" w:rsidRDefault="00D509E1" w:rsidP="0033355C">
      <w:pPr>
        <w:spacing w:line="300" w:lineRule="exact"/>
        <w:rPr>
          <w:sz w:val="20"/>
          <w:szCs w:val="20"/>
          <w:lang w:eastAsia="en-US"/>
        </w:rPr>
      </w:pPr>
      <w:r>
        <w:rPr>
          <w:sz w:val="20"/>
          <w:szCs w:val="20"/>
          <w:lang w:eastAsia="en-US"/>
        </w:rPr>
        <w:t>Im 1. Halbjahr 201</w:t>
      </w:r>
      <w:r w:rsidR="0049546C">
        <w:rPr>
          <w:sz w:val="20"/>
          <w:szCs w:val="20"/>
          <w:lang w:eastAsia="en-US"/>
        </w:rPr>
        <w:t>4</w:t>
      </w:r>
      <w:r>
        <w:rPr>
          <w:sz w:val="20"/>
          <w:szCs w:val="20"/>
          <w:lang w:eastAsia="en-US"/>
        </w:rPr>
        <w:t xml:space="preserve"> </w:t>
      </w:r>
      <w:r w:rsidR="00BB4FB6">
        <w:rPr>
          <w:sz w:val="20"/>
          <w:szCs w:val="20"/>
          <w:lang w:eastAsia="en-US"/>
        </w:rPr>
        <w:t xml:space="preserve">erzielte Evonik </w:t>
      </w:r>
      <w:r w:rsidR="0086409A">
        <w:rPr>
          <w:sz w:val="20"/>
          <w:szCs w:val="20"/>
          <w:lang w:eastAsia="en-US"/>
        </w:rPr>
        <w:t xml:space="preserve">organisch einen Anstieg des </w:t>
      </w:r>
      <w:r w:rsidR="0086409A" w:rsidRPr="0086409A">
        <w:rPr>
          <w:b/>
          <w:sz w:val="20"/>
          <w:szCs w:val="20"/>
          <w:lang w:eastAsia="en-US"/>
        </w:rPr>
        <w:t>Konzernumsatzes</w:t>
      </w:r>
      <w:r w:rsidR="0086409A">
        <w:rPr>
          <w:sz w:val="20"/>
          <w:szCs w:val="20"/>
          <w:lang w:eastAsia="en-US"/>
        </w:rPr>
        <w:t xml:space="preserve"> um 2 Prozent</w:t>
      </w:r>
      <w:r w:rsidR="007B1EC9">
        <w:rPr>
          <w:sz w:val="20"/>
          <w:szCs w:val="20"/>
          <w:lang w:eastAsia="en-US"/>
        </w:rPr>
        <w:t>, wozu</w:t>
      </w:r>
      <w:r w:rsidR="0086409A">
        <w:rPr>
          <w:sz w:val="20"/>
          <w:szCs w:val="20"/>
          <w:lang w:eastAsia="en-US"/>
        </w:rPr>
        <w:t xml:space="preserve"> höhere Mengen (5 Prozentpunkte) bei geringeren Verkaufspreisen (-3 Prozentpunkte) bei</w:t>
      </w:r>
      <w:r w:rsidR="007B1EC9">
        <w:rPr>
          <w:sz w:val="20"/>
          <w:szCs w:val="20"/>
          <w:lang w:eastAsia="en-US"/>
        </w:rPr>
        <w:t>trugen</w:t>
      </w:r>
      <w:r w:rsidR="0086409A">
        <w:rPr>
          <w:sz w:val="20"/>
          <w:szCs w:val="20"/>
          <w:lang w:eastAsia="en-US"/>
        </w:rPr>
        <w:t xml:space="preserve">. </w:t>
      </w:r>
      <w:r w:rsidR="007B1EC9">
        <w:rPr>
          <w:sz w:val="20"/>
          <w:szCs w:val="20"/>
          <w:lang w:eastAsia="en-US"/>
        </w:rPr>
        <w:t xml:space="preserve">Unter Berücksichtigung des Währungseinflusses (-2 Prozentpunkte) </w:t>
      </w:r>
      <w:r w:rsidR="002A3BED">
        <w:rPr>
          <w:sz w:val="20"/>
          <w:szCs w:val="20"/>
          <w:lang w:eastAsia="en-US"/>
        </w:rPr>
        <w:t xml:space="preserve">lag </w:t>
      </w:r>
      <w:r w:rsidR="0086409A">
        <w:rPr>
          <w:sz w:val="20"/>
          <w:szCs w:val="20"/>
          <w:lang w:eastAsia="en-US"/>
        </w:rPr>
        <w:t xml:space="preserve">der Umsatz mit 6.448 Millionen € </w:t>
      </w:r>
      <w:r w:rsidR="007B1EC9">
        <w:rPr>
          <w:sz w:val="20"/>
          <w:szCs w:val="20"/>
          <w:lang w:eastAsia="en-US"/>
        </w:rPr>
        <w:t xml:space="preserve">insgesamt </w:t>
      </w:r>
      <w:r w:rsidR="002A3BED">
        <w:rPr>
          <w:sz w:val="20"/>
          <w:szCs w:val="20"/>
          <w:lang w:eastAsia="en-US"/>
        </w:rPr>
        <w:t xml:space="preserve">über dem Vorjahreswert von </w:t>
      </w:r>
      <w:r w:rsidR="0086409A">
        <w:rPr>
          <w:sz w:val="20"/>
          <w:szCs w:val="20"/>
          <w:lang w:eastAsia="en-US"/>
        </w:rPr>
        <w:t>6.421 Millionen €.</w:t>
      </w:r>
    </w:p>
    <w:p w:rsidR="0086409A" w:rsidRDefault="0086409A" w:rsidP="0033355C">
      <w:pPr>
        <w:spacing w:line="300" w:lineRule="exact"/>
        <w:rPr>
          <w:sz w:val="20"/>
          <w:szCs w:val="20"/>
          <w:lang w:eastAsia="en-US"/>
        </w:rPr>
      </w:pPr>
    </w:p>
    <w:p w:rsidR="008A7FB7" w:rsidRDefault="00D12544" w:rsidP="0033355C">
      <w:pPr>
        <w:spacing w:line="300" w:lineRule="exact"/>
        <w:rPr>
          <w:sz w:val="20"/>
          <w:szCs w:val="20"/>
          <w:lang w:eastAsia="en-US"/>
        </w:rPr>
      </w:pPr>
      <w:r>
        <w:rPr>
          <w:sz w:val="20"/>
          <w:szCs w:val="20"/>
          <w:lang w:eastAsia="en-US"/>
        </w:rPr>
        <w:t xml:space="preserve">Das bereinigte </w:t>
      </w:r>
      <w:r w:rsidRPr="00D12544">
        <w:rPr>
          <w:b/>
          <w:sz w:val="20"/>
          <w:szCs w:val="20"/>
          <w:lang w:eastAsia="en-US"/>
        </w:rPr>
        <w:t>EBITDA</w:t>
      </w:r>
      <w:r>
        <w:rPr>
          <w:sz w:val="20"/>
          <w:szCs w:val="20"/>
          <w:lang w:eastAsia="en-US"/>
        </w:rPr>
        <w:t xml:space="preserve"> ging vor allem aufgrund </w:t>
      </w:r>
      <w:r w:rsidR="00235D46">
        <w:rPr>
          <w:sz w:val="20"/>
          <w:szCs w:val="20"/>
          <w:lang w:eastAsia="en-US"/>
        </w:rPr>
        <w:t xml:space="preserve">der </w:t>
      </w:r>
      <w:r w:rsidR="002A3BED">
        <w:rPr>
          <w:sz w:val="20"/>
          <w:szCs w:val="20"/>
          <w:lang w:eastAsia="en-US"/>
        </w:rPr>
        <w:t xml:space="preserve">nachgebenden </w:t>
      </w:r>
      <w:r>
        <w:rPr>
          <w:sz w:val="20"/>
          <w:szCs w:val="20"/>
          <w:lang w:eastAsia="en-US"/>
        </w:rPr>
        <w:t xml:space="preserve">Verkaufspreise bei einigen wichtigen Produkten um 16 Prozent auf 936 Millionen € zurück (Vorjahreshalbjahr: 1.115 Millionen €). Die bereinigte </w:t>
      </w:r>
      <w:r w:rsidRPr="005F7782">
        <w:rPr>
          <w:b/>
          <w:sz w:val="20"/>
          <w:szCs w:val="20"/>
          <w:lang w:eastAsia="en-US"/>
        </w:rPr>
        <w:t>EBITDA-Marge</w:t>
      </w:r>
      <w:r>
        <w:rPr>
          <w:sz w:val="20"/>
          <w:szCs w:val="20"/>
          <w:lang w:eastAsia="en-US"/>
        </w:rPr>
        <w:t xml:space="preserve"> verringerte sich entsprechend von 17,4 Prozent auf 14,5 Prozent. </w:t>
      </w:r>
    </w:p>
    <w:p w:rsidR="00D12544" w:rsidRDefault="00D12544" w:rsidP="0033355C">
      <w:pPr>
        <w:spacing w:line="300" w:lineRule="exact"/>
        <w:rPr>
          <w:sz w:val="20"/>
          <w:szCs w:val="20"/>
          <w:lang w:eastAsia="en-US"/>
        </w:rPr>
      </w:pPr>
    </w:p>
    <w:p w:rsidR="00D12544" w:rsidRDefault="00D12544" w:rsidP="0033355C">
      <w:pPr>
        <w:spacing w:line="300" w:lineRule="exact"/>
        <w:rPr>
          <w:sz w:val="20"/>
          <w:szCs w:val="20"/>
          <w:lang w:eastAsia="en-US"/>
        </w:rPr>
      </w:pPr>
      <w:r>
        <w:rPr>
          <w:sz w:val="20"/>
          <w:szCs w:val="20"/>
          <w:lang w:eastAsia="en-US"/>
        </w:rPr>
        <w:t xml:space="preserve">Die </w:t>
      </w:r>
      <w:r w:rsidRPr="00D12544">
        <w:rPr>
          <w:b/>
          <w:sz w:val="20"/>
          <w:szCs w:val="20"/>
          <w:lang w:eastAsia="en-US"/>
        </w:rPr>
        <w:t>Bereinigungen</w:t>
      </w:r>
      <w:r>
        <w:rPr>
          <w:sz w:val="20"/>
          <w:szCs w:val="20"/>
          <w:lang w:eastAsia="en-US"/>
        </w:rPr>
        <w:t xml:space="preserve"> von -79 Millionen € </w:t>
      </w:r>
      <w:r w:rsidR="003202D9">
        <w:rPr>
          <w:sz w:val="20"/>
          <w:szCs w:val="20"/>
          <w:lang w:eastAsia="en-US"/>
        </w:rPr>
        <w:t xml:space="preserve">betreffen unter anderem </w:t>
      </w:r>
      <w:r>
        <w:rPr>
          <w:sz w:val="20"/>
          <w:szCs w:val="20"/>
          <w:lang w:eastAsia="en-US"/>
        </w:rPr>
        <w:t>Restrukturierungsaufwendungen</w:t>
      </w:r>
      <w:r w:rsidR="00B42788">
        <w:rPr>
          <w:sz w:val="20"/>
          <w:szCs w:val="20"/>
          <w:lang w:eastAsia="en-US"/>
        </w:rPr>
        <w:t xml:space="preserve"> sowie</w:t>
      </w:r>
      <w:r>
        <w:rPr>
          <w:sz w:val="20"/>
          <w:szCs w:val="20"/>
          <w:lang w:eastAsia="en-US"/>
        </w:rPr>
        <w:t xml:space="preserve"> Wertminderungen </w:t>
      </w:r>
      <w:r w:rsidR="00E52B15">
        <w:rPr>
          <w:sz w:val="20"/>
          <w:szCs w:val="20"/>
          <w:lang w:eastAsia="en-US"/>
        </w:rPr>
        <w:t xml:space="preserve">im Wesentlichen </w:t>
      </w:r>
      <w:r>
        <w:rPr>
          <w:sz w:val="20"/>
          <w:szCs w:val="20"/>
          <w:lang w:eastAsia="en-US"/>
        </w:rPr>
        <w:t xml:space="preserve">für ein </w:t>
      </w:r>
      <w:r w:rsidR="00CC4D7F">
        <w:rPr>
          <w:sz w:val="20"/>
          <w:szCs w:val="20"/>
          <w:lang w:eastAsia="en-US"/>
        </w:rPr>
        <w:t xml:space="preserve">Projekt des Segments Specialty Materials, das </w:t>
      </w:r>
      <w:r w:rsidR="00B42788">
        <w:rPr>
          <w:sz w:val="20"/>
          <w:szCs w:val="20"/>
          <w:lang w:eastAsia="en-US"/>
        </w:rPr>
        <w:t xml:space="preserve">im </w:t>
      </w:r>
      <w:r w:rsidR="00B42788">
        <w:rPr>
          <w:sz w:val="20"/>
          <w:szCs w:val="20"/>
          <w:lang w:eastAsia="en-US"/>
        </w:rPr>
        <w:lastRenderedPageBreak/>
        <w:t xml:space="preserve">Rahmen der regelmäßigen Überprüfung der Investitionsprojekte </w:t>
      </w:r>
      <w:r w:rsidR="00397A38">
        <w:rPr>
          <w:sz w:val="20"/>
          <w:szCs w:val="20"/>
          <w:lang w:eastAsia="en-US"/>
        </w:rPr>
        <w:t>beendet</w:t>
      </w:r>
      <w:r w:rsidR="00CC4D7F">
        <w:rPr>
          <w:sz w:val="20"/>
          <w:szCs w:val="20"/>
          <w:lang w:eastAsia="en-US"/>
        </w:rPr>
        <w:t xml:space="preserve"> wurde</w:t>
      </w:r>
      <w:r w:rsidR="00AC627F">
        <w:rPr>
          <w:sz w:val="20"/>
          <w:szCs w:val="20"/>
          <w:lang w:eastAsia="en-US"/>
        </w:rPr>
        <w:t>,</w:t>
      </w:r>
      <w:r w:rsidR="003202D9">
        <w:rPr>
          <w:sz w:val="20"/>
          <w:szCs w:val="20"/>
          <w:lang w:eastAsia="en-US"/>
        </w:rPr>
        <w:t xml:space="preserve"> </w:t>
      </w:r>
      <w:r w:rsidR="00E52B15">
        <w:rPr>
          <w:sz w:val="20"/>
          <w:szCs w:val="20"/>
          <w:lang w:eastAsia="en-US"/>
        </w:rPr>
        <w:t>sowie</w:t>
      </w:r>
      <w:r w:rsidR="003202D9">
        <w:rPr>
          <w:sz w:val="20"/>
          <w:szCs w:val="20"/>
          <w:lang w:eastAsia="en-US"/>
        </w:rPr>
        <w:t xml:space="preserve"> den At-Equity-Buchwert der STEAG</w:t>
      </w:r>
      <w:r w:rsidRPr="00B2662A">
        <w:rPr>
          <w:sz w:val="20"/>
          <w:szCs w:val="20"/>
          <w:lang w:eastAsia="en-US"/>
        </w:rPr>
        <w:t>.</w:t>
      </w:r>
      <w:r w:rsidR="001858DC">
        <w:rPr>
          <w:sz w:val="20"/>
          <w:szCs w:val="20"/>
          <w:lang w:eastAsia="en-US"/>
        </w:rPr>
        <w:t xml:space="preserve"> Der Vorjahreswert von -93 Millionen € betraf </w:t>
      </w:r>
      <w:r w:rsidR="00E52B15">
        <w:rPr>
          <w:sz w:val="20"/>
          <w:szCs w:val="20"/>
          <w:lang w:eastAsia="en-US"/>
        </w:rPr>
        <w:t xml:space="preserve">vor allem </w:t>
      </w:r>
      <w:r w:rsidR="001858DC">
        <w:rPr>
          <w:sz w:val="20"/>
          <w:szCs w:val="20"/>
          <w:lang w:eastAsia="en-US"/>
        </w:rPr>
        <w:t>Erträge, Aufwendungen und Wertminderungen im Zusammenhang mit der Stilllegung von Produktionsanlagen der Segmente Resource Efficiency und Specialty Materials.</w:t>
      </w:r>
    </w:p>
    <w:p w:rsidR="001858DC" w:rsidRDefault="001858DC" w:rsidP="0033355C">
      <w:pPr>
        <w:spacing w:line="300" w:lineRule="exact"/>
        <w:rPr>
          <w:sz w:val="20"/>
          <w:szCs w:val="20"/>
          <w:lang w:eastAsia="en-US"/>
        </w:rPr>
      </w:pPr>
    </w:p>
    <w:p w:rsidR="001858DC" w:rsidRDefault="001858DC" w:rsidP="0033355C">
      <w:pPr>
        <w:spacing w:line="300" w:lineRule="exact"/>
        <w:rPr>
          <w:sz w:val="20"/>
          <w:szCs w:val="20"/>
          <w:lang w:eastAsia="en-US"/>
        </w:rPr>
      </w:pPr>
      <w:r>
        <w:rPr>
          <w:sz w:val="20"/>
          <w:szCs w:val="20"/>
          <w:lang w:eastAsia="en-US"/>
        </w:rPr>
        <w:t xml:space="preserve">Das </w:t>
      </w:r>
      <w:r w:rsidRPr="00141D4F">
        <w:rPr>
          <w:b/>
          <w:sz w:val="20"/>
          <w:szCs w:val="20"/>
          <w:lang w:eastAsia="en-US"/>
        </w:rPr>
        <w:t>Ergebnis vor Ertragsteuern der fortgeführten Aktivitäten</w:t>
      </w:r>
      <w:r>
        <w:rPr>
          <w:sz w:val="20"/>
          <w:szCs w:val="20"/>
          <w:lang w:eastAsia="en-US"/>
        </w:rPr>
        <w:t xml:space="preserve"> ging </w:t>
      </w:r>
      <w:r w:rsidR="00141D4F">
        <w:rPr>
          <w:sz w:val="20"/>
          <w:szCs w:val="20"/>
          <w:lang w:eastAsia="en-US"/>
        </w:rPr>
        <w:t xml:space="preserve">um 29 Prozent auf 424 Millionen € zurück (Vorjahreshalbjahr: 601 Millionen €). </w:t>
      </w:r>
      <w:r w:rsidR="00505982">
        <w:rPr>
          <w:sz w:val="20"/>
          <w:szCs w:val="20"/>
          <w:lang w:eastAsia="en-US"/>
        </w:rPr>
        <w:t xml:space="preserve">Das </w:t>
      </w:r>
      <w:r w:rsidR="00505982" w:rsidRPr="005F7782">
        <w:rPr>
          <w:b/>
          <w:sz w:val="20"/>
          <w:szCs w:val="20"/>
          <w:lang w:eastAsia="en-US"/>
        </w:rPr>
        <w:t>Ergebnis nach Steuern der nicht fortgeführten Aktivitäten</w:t>
      </w:r>
      <w:r w:rsidR="00505982">
        <w:rPr>
          <w:sz w:val="20"/>
          <w:szCs w:val="20"/>
          <w:lang w:eastAsia="en-US"/>
        </w:rPr>
        <w:t xml:space="preserve"> von 21 Millionen € </w:t>
      </w:r>
      <w:r w:rsidR="00C054EC">
        <w:rPr>
          <w:sz w:val="20"/>
          <w:szCs w:val="20"/>
          <w:lang w:eastAsia="en-US"/>
        </w:rPr>
        <w:t xml:space="preserve">betraf </w:t>
      </w:r>
      <w:r w:rsidR="00505982">
        <w:rPr>
          <w:sz w:val="20"/>
          <w:szCs w:val="20"/>
          <w:lang w:eastAsia="en-US"/>
        </w:rPr>
        <w:t>überwiegend das Lithium-Ionen-Geschäft und resultiert vor allem aus Bewertungsänderungen</w:t>
      </w:r>
      <w:r w:rsidR="007B327D">
        <w:rPr>
          <w:sz w:val="20"/>
          <w:szCs w:val="20"/>
          <w:lang w:eastAsia="en-US"/>
        </w:rPr>
        <w:t xml:space="preserve"> </w:t>
      </w:r>
      <w:r w:rsidR="00C054EC">
        <w:rPr>
          <w:sz w:val="20"/>
          <w:szCs w:val="20"/>
          <w:lang w:eastAsia="en-US"/>
        </w:rPr>
        <w:t>im Zusammenhang mit dem Verkauf der Anteile an der Li-</w:t>
      </w:r>
      <w:proofErr w:type="spellStart"/>
      <w:r w:rsidR="00C054EC">
        <w:rPr>
          <w:sz w:val="20"/>
          <w:szCs w:val="20"/>
          <w:lang w:eastAsia="en-US"/>
        </w:rPr>
        <w:t>Tec</w:t>
      </w:r>
      <w:proofErr w:type="spellEnd"/>
      <w:r w:rsidR="00C054EC">
        <w:rPr>
          <w:sz w:val="20"/>
          <w:szCs w:val="20"/>
          <w:lang w:eastAsia="en-US"/>
        </w:rPr>
        <w:t xml:space="preserve"> </w:t>
      </w:r>
      <w:proofErr w:type="spellStart"/>
      <w:r w:rsidR="00C054EC">
        <w:rPr>
          <w:sz w:val="20"/>
          <w:szCs w:val="20"/>
          <w:lang w:eastAsia="en-US"/>
        </w:rPr>
        <w:t>Battery</w:t>
      </w:r>
      <w:proofErr w:type="spellEnd"/>
      <w:r w:rsidR="00C054EC">
        <w:rPr>
          <w:sz w:val="20"/>
          <w:szCs w:val="20"/>
          <w:lang w:eastAsia="en-US"/>
        </w:rPr>
        <w:t xml:space="preserve"> sowie an der Deutschen </w:t>
      </w:r>
      <w:proofErr w:type="spellStart"/>
      <w:r w:rsidR="00C054EC">
        <w:rPr>
          <w:sz w:val="20"/>
          <w:szCs w:val="20"/>
          <w:lang w:eastAsia="en-US"/>
        </w:rPr>
        <w:t>Accumotive</w:t>
      </w:r>
      <w:proofErr w:type="spellEnd"/>
      <w:r w:rsidR="00EB1ACE">
        <w:rPr>
          <w:sz w:val="20"/>
          <w:szCs w:val="20"/>
          <w:lang w:eastAsia="en-US"/>
        </w:rPr>
        <w:t xml:space="preserve"> </w:t>
      </w:r>
      <w:r w:rsidR="00C054EC">
        <w:rPr>
          <w:sz w:val="20"/>
          <w:szCs w:val="20"/>
          <w:lang w:eastAsia="en-US"/>
        </w:rPr>
        <w:t xml:space="preserve">an die Daimler AG. </w:t>
      </w:r>
    </w:p>
    <w:p w:rsidR="008A7FB7" w:rsidRDefault="008A7FB7" w:rsidP="0033355C">
      <w:pPr>
        <w:spacing w:line="300" w:lineRule="exact"/>
        <w:rPr>
          <w:sz w:val="20"/>
          <w:szCs w:val="20"/>
          <w:lang w:eastAsia="en-US"/>
        </w:rPr>
      </w:pPr>
    </w:p>
    <w:p w:rsidR="00655EA5" w:rsidRDefault="00A94697" w:rsidP="0033355C">
      <w:pPr>
        <w:spacing w:line="300" w:lineRule="exact"/>
        <w:rPr>
          <w:sz w:val="20"/>
          <w:szCs w:val="20"/>
          <w:lang w:eastAsia="en-US"/>
        </w:rPr>
      </w:pPr>
      <w:r w:rsidRPr="00E94E68">
        <w:rPr>
          <w:sz w:val="20"/>
          <w:szCs w:val="20"/>
          <w:lang w:eastAsia="en-US"/>
        </w:rPr>
        <w:t xml:space="preserve">Insgesamt ging das </w:t>
      </w:r>
      <w:r w:rsidRPr="00E94E68">
        <w:rPr>
          <w:b/>
          <w:sz w:val="20"/>
          <w:szCs w:val="20"/>
          <w:lang w:eastAsia="en-US"/>
        </w:rPr>
        <w:t>Konzernergebnis</w:t>
      </w:r>
      <w:r w:rsidRPr="00E94E68">
        <w:rPr>
          <w:sz w:val="20"/>
          <w:szCs w:val="20"/>
          <w:lang w:eastAsia="en-US"/>
        </w:rPr>
        <w:t xml:space="preserve"> </w:t>
      </w:r>
      <w:r w:rsidR="00C054EC" w:rsidRPr="00E94E68">
        <w:rPr>
          <w:sz w:val="20"/>
          <w:szCs w:val="20"/>
          <w:lang w:eastAsia="en-US"/>
        </w:rPr>
        <w:t xml:space="preserve">im 1. Halbjahr 2014 </w:t>
      </w:r>
      <w:r w:rsidR="007B6C55" w:rsidRPr="00E94E68">
        <w:rPr>
          <w:sz w:val="20"/>
          <w:szCs w:val="20"/>
          <w:lang w:eastAsia="en-US"/>
        </w:rPr>
        <w:t xml:space="preserve">infolge der operativen Ergebnisabschwächung </w:t>
      </w:r>
      <w:r w:rsidRPr="00E94E68">
        <w:rPr>
          <w:sz w:val="20"/>
          <w:szCs w:val="20"/>
          <w:lang w:eastAsia="en-US"/>
        </w:rPr>
        <w:t>um 37 Prozent auf 305 Millionen €</w:t>
      </w:r>
      <w:r w:rsidR="00655EA5" w:rsidRPr="00E94E68">
        <w:rPr>
          <w:sz w:val="20"/>
          <w:szCs w:val="20"/>
          <w:lang w:eastAsia="en-US"/>
        </w:rPr>
        <w:t xml:space="preserve"> zurück (Vorjahreshalbjahr: 486 Millionen €).</w:t>
      </w:r>
      <w:r w:rsidR="00655EA5" w:rsidRPr="005F7782">
        <w:rPr>
          <w:sz w:val="20"/>
          <w:szCs w:val="20"/>
          <w:highlight w:val="yellow"/>
          <w:lang w:eastAsia="en-US"/>
        </w:rPr>
        <w:t xml:space="preserve"> </w:t>
      </w:r>
    </w:p>
    <w:p w:rsidR="00655EA5" w:rsidRDefault="00655EA5" w:rsidP="0033355C">
      <w:pPr>
        <w:spacing w:line="300" w:lineRule="exact"/>
        <w:rPr>
          <w:sz w:val="20"/>
          <w:szCs w:val="20"/>
          <w:lang w:eastAsia="en-US"/>
        </w:rPr>
      </w:pPr>
    </w:p>
    <w:p w:rsidR="008A7FB7" w:rsidRDefault="00655EA5" w:rsidP="0033355C">
      <w:pPr>
        <w:spacing w:line="300" w:lineRule="exact"/>
        <w:rPr>
          <w:sz w:val="20"/>
          <w:szCs w:val="20"/>
          <w:lang w:eastAsia="en-US"/>
        </w:rPr>
      </w:pPr>
      <w:r>
        <w:rPr>
          <w:sz w:val="20"/>
          <w:szCs w:val="20"/>
          <w:lang w:eastAsia="en-US"/>
        </w:rPr>
        <w:t xml:space="preserve">Das </w:t>
      </w:r>
      <w:r w:rsidRPr="00655EA5">
        <w:rPr>
          <w:b/>
          <w:sz w:val="20"/>
          <w:szCs w:val="20"/>
          <w:lang w:eastAsia="en-US"/>
        </w:rPr>
        <w:t>bereinigte Konzernergebnis</w:t>
      </w:r>
      <w:r>
        <w:rPr>
          <w:sz w:val="20"/>
          <w:szCs w:val="20"/>
          <w:lang w:eastAsia="en-US"/>
        </w:rPr>
        <w:t xml:space="preserve">, das die operative Entwicklung der fortgeführten Aktivitäten widerspiegelt, verringerte sich um 28 Prozent auf 361 Millionen € (Vorjahreshalbjahr: 499 Millionen €). Das </w:t>
      </w:r>
      <w:r w:rsidRPr="00655EA5">
        <w:rPr>
          <w:b/>
          <w:sz w:val="20"/>
          <w:szCs w:val="20"/>
          <w:lang w:eastAsia="en-US"/>
        </w:rPr>
        <w:t>bereinigte Ergebnis je Aktie</w:t>
      </w:r>
      <w:r>
        <w:rPr>
          <w:sz w:val="20"/>
          <w:szCs w:val="20"/>
          <w:lang w:eastAsia="en-US"/>
        </w:rPr>
        <w:t xml:space="preserve"> ging entsprechend von 1,07 € auf 0,77 € zurück.</w:t>
      </w:r>
    </w:p>
    <w:p w:rsidR="008A7FB7" w:rsidRDefault="008A7FB7" w:rsidP="0033355C">
      <w:pPr>
        <w:spacing w:line="300" w:lineRule="exact"/>
        <w:rPr>
          <w:sz w:val="20"/>
          <w:szCs w:val="20"/>
          <w:lang w:eastAsia="en-US"/>
        </w:rPr>
      </w:pPr>
    </w:p>
    <w:p w:rsidR="008A7FB7" w:rsidRDefault="00655EA5" w:rsidP="0033355C">
      <w:pPr>
        <w:spacing w:line="300" w:lineRule="exact"/>
        <w:rPr>
          <w:sz w:val="20"/>
          <w:szCs w:val="20"/>
          <w:lang w:eastAsia="en-US"/>
        </w:rPr>
      </w:pPr>
      <w:r>
        <w:rPr>
          <w:sz w:val="20"/>
          <w:szCs w:val="20"/>
          <w:lang w:eastAsia="en-US"/>
        </w:rPr>
        <w:t xml:space="preserve">Der </w:t>
      </w:r>
      <w:r w:rsidRPr="007B6C55">
        <w:rPr>
          <w:b/>
          <w:sz w:val="20"/>
          <w:szCs w:val="20"/>
          <w:lang w:eastAsia="en-US"/>
        </w:rPr>
        <w:t xml:space="preserve">Cashflow </w:t>
      </w:r>
      <w:r w:rsidR="007B6C55" w:rsidRPr="007B6C55">
        <w:rPr>
          <w:b/>
          <w:sz w:val="20"/>
          <w:szCs w:val="20"/>
          <w:lang w:eastAsia="en-US"/>
        </w:rPr>
        <w:t>aus laufender Geschäftstätigkeit fortgeführter Aktivitäten</w:t>
      </w:r>
      <w:r w:rsidR="007B6C55">
        <w:rPr>
          <w:sz w:val="20"/>
          <w:szCs w:val="20"/>
          <w:lang w:eastAsia="en-US"/>
        </w:rPr>
        <w:t xml:space="preserve"> verbesserte sich im 1. Halbjahr im Wesentlichen aufgrund des deutlich geringeren Aufbaus des Nettoumlaufvermögens sowie niedrigerer </w:t>
      </w:r>
      <w:proofErr w:type="spellStart"/>
      <w:r w:rsidR="007B6C55">
        <w:rPr>
          <w:sz w:val="20"/>
          <w:szCs w:val="20"/>
          <w:lang w:eastAsia="en-US"/>
        </w:rPr>
        <w:t>Ertragsteuerzahlungen</w:t>
      </w:r>
      <w:proofErr w:type="spellEnd"/>
      <w:r w:rsidR="007B6C55">
        <w:rPr>
          <w:sz w:val="20"/>
          <w:szCs w:val="20"/>
          <w:lang w:eastAsia="en-US"/>
        </w:rPr>
        <w:t xml:space="preserve"> um 111 Millionen € auf 303 Millionen</w:t>
      </w:r>
      <w:r w:rsidR="0049546C">
        <w:rPr>
          <w:sz w:val="20"/>
          <w:szCs w:val="20"/>
          <w:lang w:eastAsia="en-US"/>
        </w:rPr>
        <w:t xml:space="preserve"> €</w:t>
      </w:r>
      <w:r w:rsidR="007B6C55">
        <w:rPr>
          <w:sz w:val="20"/>
          <w:szCs w:val="20"/>
          <w:lang w:eastAsia="en-US"/>
        </w:rPr>
        <w:t xml:space="preserve">. Einschließlich des Cashflows der nicht fortgeführten Aktivitäten </w:t>
      </w:r>
      <w:r w:rsidR="00C054EC">
        <w:rPr>
          <w:sz w:val="20"/>
          <w:szCs w:val="20"/>
          <w:lang w:eastAsia="en-US"/>
        </w:rPr>
        <w:t xml:space="preserve">erhöhte sich </w:t>
      </w:r>
      <w:r w:rsidR="007B6C55">
        <w:rPr>
          <w:sz w:val="20"/>
          <w:szCs w:val="20"/>
          <w:lang w:eastAsia="en-US"/>
        </w:rPr>
        <w:t xml:space="preserve">der </w:t>
      </w:r>
      <w:r w:rsidR="007B6C55" w:rsidRPr="007B6C55">
        <w:rPr>
          <w:b/>
          <w:sz w:val="20"/>
          <w:szCs w:val="20"/>
          <w:lang w:eastAsia="en-US"/>
        </w:rPr>
        <w:t>Cashflow aus laufender Geschäftstätigkeit</w:t>
      </w:r>
      <w:r w:rsidR="007B6C55">
        <w:rPr>
          <w:sz w:val="20"/>
          <w:szCs w:val="20"/>
          <w:lang w:eastAsia="en-US"/>
        </w:rPr>
        <w:t xml:space="preserve"> insgesamt um 99 Millionen € auf 308 Millionen €.</w:t>
      </w:r>
    </w:p>
    <w:p w:rsidR="007B6C55" w:rsidRDefault="007B6C55" w:rsidP="0033355C">
      <w:pPr>
        <w:spacing w:line="300" w:lineRule="exact"/>
        <w:rPr>
          <w:sz w:val="20"/>
          <w:szCs w:val="20"/>
          <w:lang w:eastAsia="en-US"/>
        </w:rPr>
      </w:pPr>
    </w:p>
    <w:p w:rsidR="007B6C55" w:rsidRDefault="007B6C55" w:rsidP="0033355C">
      <w:pPr>
        <w:spacing w:line="300" w:lineRule="exact"/>
        <w:rPr>
          <w:sz w:val="20"/>
          <w:szCs w:val="20"/>
          <w:lang w:eastAsia="en-US"/>
        </w:rPr>
      </w:pPr>
      <w:r>
        <w:rPr>
          <w:sz w:val="20"/>
          <w:szCs w:val="20"/>
          <w:lang w:eastAsia="en-US"/>
        </w:rPr>
        <w:t xml:space="preserve">Die </w:t>
      </w:r>
      <w:r w:rsidRPr="007B6C55">
        <w:rPr>
          <w:b/>
          <w:sz w:val="20"/>
          <w:szCs w:val="20"/>
          <w:lang w:eastAsia="en-US"/>
        </w:rPr>
        <w:t>Sachinvestitionen</w:t>
      </w:r>
      <w:r>
        <w:rPr>
          <w:sz w:val="20"/>
          <w:szCs w:val="20"/>
          <w:lang w:eastAsia="en-US"/>
        </w:rPr>
        <w:t xml:space="preserve"> stiegen um 14 Prozent auf 47</w:t>
      </w:r>
      <w:r w:rsidR="00C054EC">
        <w:rPr>
          <w:sz w:val="20"/>
          <w:szCs w:val="20"/>
          <w:lang w:eastAsia="en-US"/>
        </w:rPr>
        <w:t>8</w:t>
      </w:r>
      <w:r>
        <w:rPr>
          <w:sz w:val="20"/>
          <w:szCs w:val="20"/>
          <w:lang w:eastAsia="en-US"/>
        </w:rPr>
        <w:t xml:space="preserve"> Millionen € (Vorjahreshalbjahr: </w:t>
      </w:r>
      <w:r w:rsidR="00C054EC">
        <w:rPr>
          <w:sz w:val="20"/>
          <w:szCs w:val="20"/>
          <w:lang w:eastAsia="en-US"/>
        </w:rPr>
        <w:t>419</w:t>
      </w:r>
      <w:r>
        <w:rPr>
          <w:sz w:val="20"/>
          <w:szCs w:val="20"/>
          <w:lang w:eastAsia="en-US"/>
        </w:rPr>
        <w:t xml:space="preserve"> Millionen €). </w:t>
      </w:r>
      <w:r w:rsidR="00CC4D7F">
        <w:rPr>
          <w:sz w:val="20"/>
          <w:szCs w:val="20"/>
          <w:lang w:eastAsia="en-US"/>
        </w:rPr>
        <w:t xml:space="preserve">Davon entfielen </w:t>
      </w:r>
      <w:r w:rsidR="00151B1D">
        <w:rPr>
          <w:sz w:val="20"/>
          <w:szCs w:val="20"/>
          <w:lang w:eastAsia="en-US"/>
        </w:rPr>
        <w:t xml:space="preserve">43 Prozent auf das Segment Consumer, Health &amp; Nutrition, 24 Prozent auf das Segment Specialty Materials und 21 Prozent auf das Segment Resource Efficiency. </w:t>
      </w:r>
    </w:p>
    <w:p w:rsidR="00151B1D" w:rsidRDefault="00151B1D" w:rsidP="0033355C">
      <w:pPr>
        <w:spacing w:line="300" w:lineRule="exact"/>
        <w:rPr>
          <w:sz w:val="20"/>
          <w:szCs w:val="20"/>
          <w:lang w:eastAsia="en-US"/>
        </w:rPr>
      </w:pPr>
    </w:p>
    <w:p w:rsidR="00151B1D" w:rsidRDefault="00151B1D" w:rsidP="0033355C">
      <w:pPr>
        <w:spacing w:line="300" w:lineRule="exact"/>
        <w:rPr>
          <w:sz w:val="20"/>
          <w:szCs w:val="20"/>
          <w:lang w:eastAsia="en-US"/>
        </w:rPr>
      </w:pPr>
      <w:r>
        <w:rPr>
          <w:sz w:val="20"/>
          <w:szCs w:val="20"/>
          <w:lang w:eastAsia="en-US"/>
        </w:rPr>
        <w:t xml:space="preserve">Im Rahmen des Ausbaus seiner führenden Marktpositionen hat </w:t>
      </w:r>
      <w:r w:rsidR="00B2662A">
        <w:rPr>
          <w:sz w:val="20"/>
          <w:szCs w:val="20"/>
          <w:lang w:eastAsia="en-US"/>
        </w:rPr>
        <w:t>Evonik</w:t>
      </w:r>
      <w:r>
        <w:rPr>
          <w:sz w:val="20"/>
          <w:szCs w:val="20"/>
          <w:lang w:eastAsia="en-US"/>
        </w:rPr>
        <w:t xml:space="preserve"> in Asien neue Produktionskapazitäten in Betrieb genommen: In Schanghai (China) wurde für mehr als 100 Millionen € ein integrierter Produktionskomplex für </w:t>
      </w:r>
      <w:proofErr w:type="spellStart"/>
      <w:r>
        <w:rPr>
          <w:sz w:val="20"/>
          <w:szCs w:val="20"/>
          <w:lang w:eastAsia="en-US"/>
        </w:rPr>
        <w:t>Isophoron</w:t>
      </w:r>
      <w:proofErr w:type="spellEnd"/>
      <w:r>
        <w:rPr>
          <w:sz w:val="20"/>
          <w:szCs w:val="20"/>
          <w:lang w:eastAsia="en-US"/>
        </w:rPr>
        <w:t xml:space="preserve"> und </w:t>
      </w:r>
      <w:proofErr w:type="spellStart"/>
      <w:r>
        <w:rPr>
          <w:sz w:val="20"/>
          <w:szCs w:val="20"/>
          <w:lang w:eastAsia="en-US"/>
        </w:rPr>
        <w:t>Isophorondiamin</w:t>
      </w:r>
      <w:proofErr w:type="spellEnd"/>
      <w:r>
        <w:rPr>
          <w:sz w:val="20"/>
          <w:szCs w:val="20"/>
          <w:lang w:eastAsia="en-US"/>
        </w:rPr>
        <w:t xml:space="preserve"> errichtet. Die </w:t>
      </w:r>
      <w:proofErr w:type="spellStart"/>
      <w:r>
        <w:rPr>
          <w:sz w:val="20"/>
          <w:szCs w:val="20"/>
          <w:lang w:eastAsia="en-US"/>
        </w:rPr>
        <w:lastRenderedPageBreak/>
        <w:t>Isophoronchemie</w:t>
      </w:r>
      <w:proofErr w:type="spellEnd"/>
      <w:r>
        <w:rPr>
          <w:sz w:val="20"/>
          <w:szCs w:val="20"/>
          <w:lang w:eastAsia="en-US"/>
        </w:rPr>
        <w:t xml:space="preserve"> verlängert beispielsweise die Lebensdauer stark beanspruchter Oberflächen und ermöglicht umweltfreundliche Lacktechnologien</w:t>
      </w:r>
      <w:r w:rsidRPr="006F4B11">
        <w:rPr>
          <w:sz w:val="20"/>
          <w:szCs w:val="20"/>
          <w:lang w:eastAsia="en-US"/>
        </w:rPr>
        <w:t>.</w:t>
      </w:r>
      <w:r w:rsidR="006F4B11" w:rsidRPr="005F7782">
        <w:rPr>
          <w:sz w:val="20"/>
          <w:szCs w:val="20"/>
        </w:rPr>
        <w:t xml:space="preserve"> Im thailändischen</w:t>
      </w:r>
      <w:r w:rsidR="006F4B11">
        <w:t xml:space="preserve"> </w:t>
      </w:r>
      <w:proofErr w:type="spellStart"/>
      <w:r w:rsidR="006F4B11" w:rsidRPr="006F4B11">
        <w:rPr>
          <w:sz w:val="20"/>
          <w:szCs w:val="20"/>
          <w:lang w:eastAsia="en-US"/>
        </w:rPr>
        <w:t>Rayong</w:t>
      </w:r>
      <w:proofErr w:type="spellEnd"/>
      <w:r w:rsidR="006F4B11" w:rsidRPr="006F4B11">
        <w:rPr>
          <w:sz w:val="20"/>
          <w:szCs w:val="20"/>
          <w:lang w:eastAsia="en-US"/>
        </w:rPr>
        <w:t xml:space="preserve"> </w:t>
      </w:r>
      <w:r w:rsidR="00CC4D7F">
        <w:rPr>
          <w:sz w:val="20"/>
          <w:szCs w:val="20"/>
          <w:lang w:eastAsia="en-US"/>
        </w:rPr>
        <w:t>ging</w:t>
      </w:r>
      <w:r w:rsidR="006F4B11" w:rsidRPr="006F4B11">
        <w:rPr>
          <w:sz w:val="20"/>
          <w:szCs w:val="20"/>
          <w:lang w:eastAsia="en-US"/>
        </w:rPr>
        <w:t xml:space="preserve"> eine erweiterte Produktionsanlage </w:t>
      </w:r>
      <w:r w:rsidR="006F4B11">
        <w:rPr>
          <w:sz w:val="20"/>
          <w:szCs w:val="20"/>
          <w:lang w:eastAsia="en-US"/>
        </w:rPr>
        <w:t xml:space="preserve">für gefällte Kieselsäuren </w:t>
      </w:r>
      <w:r w:rsidR="006F4B11" w:rsidRPr="006F4B11">
        <w:rPr>
          <w:sz w:val="20"/>
          <w:szCs w:val="20"/>
          <w:lang w:eastAsia="en-US"/>
        </w:rPr>
        <w:t>in Betrieb. Treiber des Wachstums in Südostasien sind insbesondere kraftstoffsparende Reifen und Life-Science-Anwendungen.</w:t>
      </w:r>
      <w:r>
        <w:rPr>
          <w:sz w:val="20"/>
          <w:szCs w:val="20"/>
          <w:lang w:eastAsia="en-US"/>
        </w:rPr>
        <w:t xml:space="preserve"> </w:t>
      </w:r>
      <w:r w:rsidR="006F4B11">
        <w:rPr>
          <w:sz w:val="20"/>
          <w:szCs w:val="20"/>
          <w:lang w:eastAsia="en-US"/>
        </w:rPr>
        <w:t xml:space="preserve">In </w:t>
      </w:r>
      <w:r>
        <w:rPr>
          <w:sz w:val="20"/>
          <w:szCs w:val="20"/>
          <w:lang w:eastAsia="en-US"/>
        </w:rPr>
        <w:t xml:space="preserve">Jilin </w:t>
      </w:r>
      <w:r w:rsidR="006F4B11">
        <w:rPr>
          <w:sz w:val="20"/>
          <w:szCs w:val="20"/>
          <w:lang w:eastAsia="en-US"/>
        </w:rPr>
        <w:t xml:space="preserve">(China) </w:t>
      </w:r>
      <w:r>
        <w:rPr>
          <w:sz w:val="20"/>
          <w:szCs w:val="20"/>
          <w:lang w:eastAsia="en-US"/>
        </w:rPr>
        <w:t>wurde eine neue Wasserstoffperoxid-Anlage mit einer jährlichen Produktionskapazität von 230.000 Tonnen fertig gestellt</w:t>
      </w:r>
      <w:r w:rsidR="00CC4D7F">
        <w:rPr>
          <w:sz w:val="20"/>
          <w:szCs w:val="20"/>
          <w:lang w:eastAsia="en-US"/>
        </w:rPr>
        <w:t xml:space="preserve">, um einen benachbarten chinesischen Partner zu beliefern. Dieser wird in einer ebenfalls neu erbauten Anlage </w:t>
      </w:r>
      <w:proofErr w:type="spellStart"/>
      <w:r w:rsidR="00CC4D7F">
        <w:rPr>
          <w:sz w:val="20"/>
          <w:szCs w:val="20"/>
          <w:lang w:eastAsia="en-US"/>
        </w:rPr>
        <w:t>Propylenoxid</w:t>
      </w:r>
      <w:proofErr w:type="spellEnd"/>
      <w:r w:rsidR="00CC4D7F">
        <w:rPr>
          <w:sz w:val="20"/>
          <w:szCs w:val="20"/>
          <w:lang w:eastAsia="en-US"/>
        </w:rPr>
        <w:t xml:space="preserve"> nach einem von Evonik und ThyssenKrupp Uhde entwickelten innovativen Verfahren herstellen</w:t>
      </w:r>
      <w:r>
        <w:rPr>
          <w:sz w:val="20"/>
          <w:szCs w:val="20"/>
          <w:lang w:eastAsia="en-US"/>
        </w:rPr>
        <w:t xml:space="preserve">. </w:t>
      </w:r>
    </w:p>
    <w:p w:rsidR="0066288B" w:rsidRDefault="0066288B" w:rsidP="0033355C">
      <w:pPr>
        <w:spacing w:line="300" w:lineRule="exact"/>
        <w:rPr>
          <w:sz w:val="20"/>
          <w:szCs w:val="20"/>
          <w:lang w:eastAsia="en-US"/>
        </w:rPr>
      </w:pPr>
    </w:p>
    <w:p w:rsidR="0066288B" w:rsidRDefault="006C712A" w:rsidP="0033355C">
      <w:pPr>
        <w:spacing w:line="300" w:lineRule="exact"/>
        <w:rPr>
          <w:sz w:val="20"/>
          <w:szCs w:val="20"/>
          <w:lang w:eastAsia="en-US"/>
        </w:rPr>
      </w:pPr>
      <w:r>
        <w:rPr>
          <w:sz w:val="20"/>
          <w:szCs w:val="20"/>
          <w:lang w:eastAsia="en-US"/>
        </w:rPr>
        <w:t xml:space="preserve">Ende Juni 2014 betrug die </w:t>
      </w:r>
      <w:r w:rsidRPr="006C712A">
        <w:rPr>
          <w:b/>
          <w:sz w:val="20"/>
          <w:szCs w:val="20"/>
          <w:lang w:eastAsia="en-US"/>
        </w:rPr>
        <w:t>Nettofinanzverschuldung</w:t>
      </w:r>
      <w:r>
        <w:rPr>
          <w:sz w:val="20"/>
          <w:szCs w:val="20"/>
          <w:lang w:eastAsia="en-US"/>
        </w:rPr>
        <w:t xml:space="preserve"> </w:t>
      </w:r>
      <w:r w:rsidR="00690FBF">
        <w:rPr>
          <w:sz w:val="20"/>
          <w:szCs w:val="20"/>
          <w:lang w:eastAsia="en-US"/>
        </w:rPr>
        <w:t>–</w:t>
      </w:r>
      <w:r>
        <w:rPr>
          <w:sz w:val="20"/>
          <w:szCs w:val="20"/>
          <w:lang w:eastAsia="en-US"/>
        </w:rPr>
        <w:t xml:space="preserve"> </w:t>
      </w:r>
      <w:r w:rsidR="00690FBF">
        <w:rPr>
          <w:sz w:val="20"/>
          <w:szCs w:val="20"/>
          <w:lang w:eastAsia="en-US"/>
        </w:rPr>
        <w:t xml:space="preserve">unter anderem aufgrund der fortgesetzten Investitionstätigkeit sowie </w:t>
      </w:r>
      <w:r>
        <w:rPr>
          <w:sz w:val="20"/>
          <w:szCs w:val="20"/>
          <w:lang w:eastAsia="en-US"/>
        </w:rPr>
        <w:t xml:space="preserve">der im Mai erfolgten Dividendenzahlung für das Geschäftsjahr 2013 </w:t>
      </w:r>
      <w:r w:rsidR="00B3211E">
        <w:rPr>
          <w:sz w:val="20"/>
          <w:szCs w:val="20"/>
          <w:lang w:eastAsia="en-US"/>
        </w:rPr>
        <w:t>(</w:t>
      </w:r>
      <w:r>
        <w:rPr>
          <w:sz w:val="20"/>
          <w:szCs w:val="20"/>
          <w:lang w:eastAsia="en-US"/>
        </w:rPr>
        <w:t>466 Millionen €</w:t>
      </w:r>
      <w:r w:rsidR="00B3211E">
        <w:rPr>
          <w:sz w:val="20"/>
          <w:szCs w:val="20"/>
          <w:lang w:eastAsia="en-US"/>
        </w:rPr>
        <w:t>)</w:t>
      </w:r>
      <w:r>
        <w:rPr>
          <w:sz w:val="20"/>
          <w:szCs w:val="20"/>
          <w:lang w:eastAsia="en-US"/>
        </w:rPr>
        <w:t xml:space="preserve"> - 150 Millionen €. Zum Jahresende 2013 verfügte Evonik über ein </w:t>
      </w:r>
      <w:r w:rsidRPr="006C712A">
        <w:rPr>
          <w:b/>
          <w:sz w:val="20"/>
          <w:szCs w:val="20"/>
          <w:lang w:eastAsia="en-US"/>
        </w:rPr>
        <w:t>Nettofinanzvermögen</w:t>
      </w:r>
      <w:r>
        <w:rPr>
          <w:sz w:val="20"/>
          <w:szCs w:val="20"/>
          <w:lang w:eastAsia="en-US"/>
        </w:rPr>
        <w:t xml:space="preserve"> von 571 Millionen €.</w:t>
      </w:r>
    </w:p>
    <w:p w:rsidR="00655EA5" w:rsidRDefault="00655EA5" w:rsidP="0033355C">
      <w:pPr>
        <w:spacing w:line="300" w:lineRule="exact"/>
        <w:rPr>
          <w:b/>
          <w:sz w:val="20"/>
          <w:szCs w:val="20"/>
          <w:lang w:eastAsia="en-US"/>
        </w:rPr>
      </w:pPr>
    </w:p>
    <w:p w:rsidR="00655EA5" w:rsidRDefault="00655EA5" w:rsidP="0033355C">
      <w:pPr>
        <w:spacing w:line="300" w:lineRule="exact"/>
        <w:rPr>
          <w:b/>
          <w:sz w:val="20"/>
          <w:szCs w:val="20"/>
          <w:lang w:eastAsia="en-US"/>
        </w:rPr>
      </w:pPr>
    </w:p>
    <w:p w:rsidR="008A7FB7" w:rsidRPr="008A7FB7" w:rsidRDefault="008A7FB7" w:rsidP="0033355C">
      <w:pPr>
        <w:spacing w:line="300" w:lineRule="exact"/>
        <w:rPr>
          <w:b/>
          <w:sz w:val="20"/>
          <w:szCs w:val="20"/>
          <w:lang w:eastAsia="en-US"/>
        </w:rPr>
      </w:pPr>
      <w:r w:rsidRPr="008A7FB7">
        <w:rPr>
          <w:b/>
          <w:sz w:val="20"/>
          <w:szCs w:val="20"/>
          <w:lang w:eastAsia="en-US"/>
        </w:rPr>
        <w:t>Geschäftsentwicklung im 2. Quartal 2014</w:t>
      </w:r>
    </w:p>
    <w:p w:rsidR="008A7FB7" w:rsidRDefault="008A7FB7" w:rsidP="0033355C">
      <w:pPr>
        <w:spacing w:line="300" w:lineRule="exact"/>
        <w:rPr>
          <w:sz w:val="20"/>
          <w:szCs w:val="20"/>
          <w:lang w:eastAsia="en-US"/>
        </w:rPr>
      </w:pPr>
    </w:p>
    <w:p w:rsidR="008A7FB7" w:rsidRDefault="00EE2AA0" w:rsidP="0033355C">
      <w:pPr>
        <w:spacing w:line="300" w:lineRule="exact"/>
        <w:rPr>
          <w:sz w:val="20"/>
          <w:szCs w:val="20"/>
          <w:lang w:eastAsia="en-US"/>
        </w:rPr>
      </w:pPr>
      <w:r>
        <w:rPr>
          <w:sz w:val="20"/>
          <w:szCs w:val="20"/>
          <w:lang w:eastAsia="en-US"/>
        </w:rPr>
        <w:t>Evonik verzeichnete im 2. Quartal 2014 weltweit eine starke Mengennachfrage. Dabei hat sich der in den Vorquartalen deutlich rückläufige Preistrend insgesamt erkennbar abgeschwächt. Gegenüber dem 1. Quartal 2014 hat das Unternehmen den Umsatz und das bereinigte EBITDA leicht verbessert</w:t>
      </w:r>
      <w:r w:rsidR="004C7992">
        <w:rPr>
          <w:sz w:val="20"/>
          <w:szCs w:val="20"/>
          <w:lang w:eastAsia="en-US"/>
        </w:rPr>
        <w:t xml:space="preserve"> </w:t>
      </w:r>
      <w:r w:rsidR="00B42788">
        <w:rPr>
          <w:sz w:val="20"/>
          <w:szCs w:val="20"/>
          <w:lang w:eastAsia="en-US"/>
        </w:rPr>
        <w:t>–</w:t>
      </w:r>
      <w:r w:rsidR="004C7992">
        <w:rPr>
          <w:sz w:val="20"/>
          <w:szCs w:val="20"/>
          <w:lang w:eastAsia="en-US"/>
        </w:rPr>
        <w:t xml:space="preserve"> </w:t>
      </w:r>
      <w:r w:rsidR="00B42788">
        <w:rPr>
          <w:sz w:val="20"/>
          <w:szCs w:val="20"/>
          <w:lang w:eastAsia="en-US"/>
        </w:rPr>
        <w:t xml:space="preserve">zum </w:t>
      </w:r>
      <w:r w:rsidR="00BD6DFC">
        <w:rPr>
          <w:sz w:val="20"/>
          <w:szCs w:val="20"/>
          <w:lang w:eastAsia="en-US"/>
        </w:rPr>
        <w:t>Ergebnis</w:t>
      </w:r>
      <w:r w:rsidR="00B42788">
        <w:rPr>
          <w:sz w:val="20"/>
          <w:szCs w:val="20"/>
          <w:lang w:eastAsia="en-US"/>
        </w:rPr>
        <w:t>anstieg</w:t>
      </w:r>
      <w:r w:rsidR="00BD6DFC">
        <w:rPr>
          <w:sz w:val="20"/>
          <w:szCs w:val="20"/>
          <w:lang w:eastAsia="en-US"/>
        </w:rPr>
        <w:t xml:space="preserve"> trugen alle Segmente bei</w:t>
      </w:r>
      <w:r>
        <w:rPr>
          <w:sz w:val="20"/>
          <w:szCs w:val="20"/>
          <w:lang w:eastAsia="en-US"/>
        </w:rPr>
        <w:t>.</w:t>
      </w:r>
    </w:p>
    <w:p w:rsidR="008A7FB7" w:rsidRDefault="008A7FB7" w:rsidP="0033355C">
      <w:pPr>
        <w:spacing w:line="300" w:lineRule="exact"/>
        <w:rPr>
          <w:sz w:val="20"/>
          <w:szCs w:val="20"/>
          <w:lang w:eastAsia="en-US"/>
        </w:rPr>
      </w:pPr>
    </w:p>
    <w:p w:rsidR="008A7FB7" w:rsidRDefault="003A2A8E" w:rsidP="0033355C">
      <w:pPr>
        <w:spacing w:line="300" w:lineRule="exact"/>
        <w:rPr>
          <w:sz w:val="20"/>
          <w:szCs w:val="20"/>
          <w:lang w:eastAsia="en-US"/>
        </w:rPr>
      </w:pPr>
      <w:r>
        <w:rPr>
          <w:sz w:val="20"/>
          <w:szCs w:val="20"/>
          <w:lang w:eastAsia="en-US"/>
        </w:rPr>
        <w:t xml:space="preserve">Der </w:t>
      </w:r>
      <w:r w:rsidRPr="003A2A8E">
        <w:rPr>
          <w:b/>
          <w:sz w:val="20"/>
          <w:szCs w:val="20"/>
          <w:lang w:eastAsia="en-US"/>
        </w:rPr>
        <w:t>Konzernumsatz</w:t>
      </w:r>
      <w:r>
        <w:rPr>
          <w:sz w:val="20"/>
          <w:szCs w:val="20"/>
          <w:lang w:eastAsia="en-US"/>
        </w:rPr>
        <w:t xml:space="preserve"> nahm im 2. Quartal 2014 um </w:t>
      </w:r>
      <w:r w:rsidR="00D17EC7">
        <w:rPr>
          <w:sz w:val="20"/>
          <w:szCs w:val="20"/>
          <w:lang w:eastAsia="en-US"/>
        </w:rPr>
        <w:t>1</w:t>
      </w:r>
      <w:r>
        <w:rPr>
          <w:sz w:val="20"/>
          <w:szCs w:val="20"/>
          <w:lang w:eastAsia="en-US"/>
        </w:rPr>
        <w:t xml:space="preserve"> Prozent auf 3.247 Millionen € zu (Vorjahresquartal:</w:t>
      </w:r>
      <w:r w:rsidR="00C45C37">
        <w:rPr>
          <w:sz w:val="20"/>
          <w:szCs w:val="20"/>
          <w:lang w:eastAsia="en-US"/>
        </w:rPr>
        <w:t xml:space="preserve"> </w:t>
      </w:r>
      <w:r>
        <w:rPr>
          <w:sz w:val="20"/>
          <w:szCs w:val="20"/>
          <w:lang w:eastAsia="en-US"/>
        </w:rPr>
        <w:t xml:space="preserve">3.209 Millionen €). Evonik </w:t>
      </w:r>
      <w:r w:rsidR="00817A00">
        <w:rPr>
          <w:sz w:val="20"/>
          <w:szCs w:val="20"/>
          <w:lang w:eastAsia="en-US"/>
        </w:rPr>
        <w:t>erzielte</w:t>
      </w:r>
      <w:r>
        <w:rPr>
          <w:sz w:val="20"/>
          <w:szCs w:val="20"/>
          <w:lang w:eastAsia="en-US"/>
        </w:rPr>
        <w:t xml:space="preserve"> </w:t>
      </w:r>
      <w:r w:rsidR="00817A00">
        <w:rPr>
          <w:sz w:val="20"/>
          <w:szCs w:val="20"/>
          <w:lang w:eastAsia="en-US"/>
        </w:rPr>
        <w:t xml:space="preserve">ein organisches Umsatzwachstum </w:t>
      </w:r>
      <w:r w:rsidR="007602A0">
        <w:rPr>
          <w:sz w:val="20"/>
          <w:szCs w:val="20"/>
          <w:lang w:eastAsia="en-US"/>
        </w:rPr>
        <w:t xml:space="preserve">von </w:t>
      </w:r>
      <w:r w:rsidR="00817A00">
        <w:rPr>
          <w:sz w:val="20"/>
          <w:szCs w:val="20"/>
          <w:lang w:eastAsia="en-US"/>
        </w:rPr>
        <w:t xml:space="preserve">3 Prozent, zu dem deutlich höhere Mengen (5 Prozentpunkte) bei leicht rückläufigen Verkaufspreisen </w:t>
      </w:r>
      <w:r w:rsidR="00F86F92">
        <w:rPr>
          <w:sz w:val="20"/>
          <w:szCs w:val="20"/>
          <w:lang w:eastAsia="en-US"/>
        </w:rPr>
        <w:br/>
      </w:r>
      <w:r w:rsidR="00817A00">
        <w:rPr>
          <w:sz w:val="20"/>
          <w:szCs w:val="20"/>
          <w:lang w:eastAsia="en-US"/>
        </w:rPr>
        <w:t>(-2 Prozentpunkte) beitrugen. Gegenläufig wirkten Währungseinflüsse mit -2 Prozentpunkten.</w:t>
      </w:r>
    </w:p>
    <w:p w:rsidR="008A7FB7" w:rsidRDefault="008A7FB7" w:rsidP="0033355C">
      <w:pPr>
        <w:spacing w:line="300" w:lineRule="exact"/>
        <w:rPr>
          <w:sz w:val="20"/>
          <w:szCs w:val="20"/>
          <w:lang w:eastAsia="en-US"/>
        </w:rPr>
      </w:pPr>
    </w:p>
    <w:p w:rsidR="008A7FB7" w:rsidRDefault="00555C3D" w:rsidP="0033355C">
      <w:pPr>
        <w:spacing w:line="300" w:lineRule="exact"/>
        <w:rPr>
          <w:sz w:val="20"/>
          <w:szCs w:val="20"/>
          <w:lang w:eastAsia="en-US"/>
        </w:rPr>
      </w:pPr>
      <w:r>
        <w:rPr>
          <w:sz w:val="20"/>
          <w:szCs w:val="20"/>
          <w:lang w:eastAsia="en-US"/>
        </w:rPr>
        <w:t xml:space="preserve">Das bereinigte </w:t>
      </w:r>
      <w:r w:rsidRPr="00555C3D">
        <w:rPr>
          <w:b/>
          <w:sz w:val="20"/>
          <w:szCs w:val="20"/>
          <w:lang w:eastAsia="en-US"/>
        </w:rPr>
        <w:t>EBITDA</w:t>
      </w:r>
      <w:r>
        <w:rPr>
          <w:sz w:val="20"/>
          <w:szCs w:val="20"/>
          <w:lang w:eastAsia="en-US"/>
        </w:rPr>
        <w:t xml:space="preserve"> blieb vor allem aufgrund geringerer Verkaufspreise bei einigen wichtigen Produkten mit 473 Millionen € um 7 Prozent unter dem Vorjahreswert von 509 Millionen €. Die bereinigte </w:t>
      </w:r>
      <w:r w:rsidRPr="00555C3D">
        <w:rPr>
          <w:b/>
          <w:sz w:val="20"/>
          <w:szCs w:val="20"/>
          <w:lang w:eastAsia="en-US"/>
        </w:rPr>
        <w:t>EBITDA-Marge</w:t>
      </w:r>
      <w:r>
        <w:rPr>
          <w:sz w:val="20"/>
          <w:szCs w:val="20"/>
          <w:lang w:eastAsia="en-US"/>
        </w:rPr>
        <w:t xml:space="preserve"> verringerte sich von 15,9 Prozent auf 14,6 Prozent. </w:t>
      </w:r>
    </w:p>
    <w:p w:rsidR="008A7FB7" w:rsidRDefault="008A7FB7" w:rsidP="0033355C">
      <w:pPr>
        <w:spacing w:line="300" w:lineRule="exact"/>
        <w:rPr>
          <w:sz w:val="20"/>
          <w:szCs w:val="20"/>
          <w:lang w:eastAsia="en-US"/>
        </w:rPr>
      </w:pPr>
    </w:p>
    <w:p w:rsidR="00893D46" w:rsidRDefault="00893D46" w:rsidP="0033355C">
      <w:pPr>
        <w:spacing w:line="300" w:lineRule="exact"/>
        <w:rPr>
          <w:sz w:val="20"/>
          <w:szCs w:val="20"/>
          <w:lang w:eastAsia="en-US"/>
        </w:rPr>
      </w:pPr>
    </w:p>
    <w:p w:rsidR="008A7FB7" w:rsidRPr="008A7FB7" w:rsidRDefault="008A7FB7" w:rsidP="0033355C">
      <w:pPr>
        <w:spacing w:line="300" w:lineRule="exact"/>
        <w:rPr>
          <w:b/>
          <w:sz w:val="20"/>
          <w:szCs w:val="20"/>
          <w:lang w:eastAsia="en-US"/>
        </w:rPr>
      </w:pPr>
      <w:r w:rsidRPr="008A7FB7">
        <w:rPr>
          <w:b/>
          <w:sz w:val="20"/>
          <w:szCs w:val="20"/>
          <w:lang w:eastAsia="en-US"/>
        </w:rPr>
        <w:lastRenderedPageBreak/>
        <w:t>Entwicklung in den Segmenten im 1. Halbjahr 2014</w:t>
      </w:r>
    </w:p>
    <w:p w:rsidR="008A7FB7" w:rsidRDefault="008A7FB7" w:rsidP="0033355C">
      <w:pPr>
        <w:spacing w:line="300" w:lineRule="exact"/>
        <w:rPr>
          <w:sz w:val="20"/>
          <w:szCs w:val="20"/>
          <w:lang w:eastAsia="en-US"/>
        </w:rPr>
      </w:pPr>
    </w:p>
    <w:p w:rsidR="008A7FB7" w:rsidRDefault="008A7FB7" w:rsidP="0033355C">
      <w:pPr>
        <w:spacing w:line="300" w:lineRule="exact"/>
        <w:rPr>
          <w:b/>
          <w:sz w:val="20"/>
          <w:szCs w:val="20"/>
          <w:lang w:eastAsia="en-US"/>
        </w:rPr>
      </w:pPr>
      <w:r w:rsidRPr="008A7FB7">
        <w:rPr>
          <w:b/>
          <w:sz w:val="20"/>
          <w:szCs w:val="20"/>
          <w:lang w:eastAsia="en-US"/>
        </w:rPr>
        <w:t>Consumer, Health &amp; Nutrition</w:t>
      </w:r>
    </w:p>
    <w:p w:rsidR="008A7FB7" w:rsidRDefault="008A7FB7" w:rsidP="0033355C">
      <w:pPr>
        <w:spacing w:line="300" w:lineRule="exact"/>
        <w:rPr>
          <w:b/>
          <w:sz w:val="20"/>
          <w:szCs w:val="20"/>
          <w:lang w:eastAsia="en-US"/>
        </w:rPr>
      </w:pPr>
    </w:p>
    <w:p w:rsidR="008A7FB7" w:rsidRPr="009E699E" w:rsidRDefault="009E699E" w:rsidP="001F513B">
      <w:pPr>
        <w:pStyle w:val="Listenabsatz"/>
        <w:numPr>
          <w:ilvl w:val="0"/>
          <w:numId w:val="20"/>
        </w:numPr>
        <w:spacing w:line="300" w:lineRule="exact"/>
        <w:rPr>
          <w:sz w:val="20"/>
          <w:szCs w:val="20"/>
          <w:lang w:eastAsia="en-US"/>
        </w:rPr>
      </w:pPr>
      <w:r w:rsidRPr="009E699E">
        <w:rPr>
          <w:sz w:val="20"/>
          <w:szCs w:val="20"/>
          <w:lang w:eastAsia="en-US"/>
        </w:rPr>
        <w:t>Höhere Mengen, rückläufige Verkaufspreise</w:t>
      </w:r>
    </w:p>
    <w:p w:rsidR="008A7FB7" w:rsidRPr="009E699E" w:rsidRDefault="009E699E" w:rsidP="001F513B">
      <w:pPr>
        <w:pStyle w:val="Listenabsatz"/>
        <w:numPr>
          <w:ilvl w:val="0"/>
          <w:numId w:val="20"/>
        </w:numPr>
        <w:spacing w:line="300" w:lineRule="exact"/>
        <w:rPr>
          <w:sz w:val="20"/>
          <w:szCs w:val="20"/>
          <w:lang w:eastAsia="en-US"/>
        </w:rPr>
      </w:pPr>
      <w:r w:rsidRPr="009E699E">
        <w:rPr>
          <w:sz w:val="20"/>
          <w:szCs w:val="20"/>
          <w:lang w:eastAsia="en-US"/>
        </w:rPr>
        <w:t>Bereinigtes EBITDA unter hohem Vorjahreswert</w:t>
      </w:r>
    </w:p>
    <w:p w:rsidR="008A7FB7" w:rsidRPr="009E699E" w:rsidRDefault="009E699E" w:rsidP="001F513B">
      <w:pPr>
        <w:pStyle w:val="Listenabsatz"/>
        <w:numPr>
          <w:ilvl w:val="0"/>
          <w:numId w:val="20"/>
        </w:numPr>
        <w:spacing w:line="300" w:lineRule="exact"/>
        <w:rPr>
          <w:sz w:val="20"/>
          <w:szCs w:val="20"/>
          <w:lang w:eastAsia="en-US"/>
        </w:rPr>
      </w:pPr>
      <w:r w:rsidRPr="009E699E">
        <w:rPr>
          <w:sz w:val="20"/>
          <w:szCs w:val="20"/>
          <w:lang w:eastAsia="en-US"/>
        </w:rPr>
        <w:t xml:space="preserve">Bereinigte EBITDA-Marge im Halbjahr mit 19,0 Prozent auf </w:t>
      </w:r>
      <w:r w:rsidR="00C85435">
        <w:rPr>
          <w:sz w:val="20"/>
          <w:szCs w:val="20"/>
          <w:lang w:eastAsia="en-US"/>
        </w:rPr>
        <w:br/>
      </w:r>
      <w:r w:rsidRPr="009E699E">
        <w:rPr>
          <w:sz w:val="20"/>
          <w:szCs w:val="20"/>
          <w:lang w:eastAsia="en-US"/>
        </w:rPr>
        <w:t>gutem Niveau</w:t>
      </w:r>
    </w:p>
    <w:p w:rsidR="008A7FB7" w:rsidRDefault="008A7FB7" w:rsidP="0033355C">
      <w:pPr>
        <w:spacing w:line="300" w:lineRule="exact"/>
        <w:rPr>
          <w:sz w:val="20"/>
          <w:szCs w:val="20"/>
          <w:lang w:eastAsia="en-US"/>
        </w:rPr>
      </w:pPr>
    </w:p>
    <w:p w:rsidR="00886A4B" w:rsidRDefault="008A7FB7" w:rsidP="0033355C">
      <w:pPr>
        <w:spacing w:line="300" w:lineRule="exact"/>
        <w:rPr>
          <w:sz w:val="20"/>
          <w:szCs w:val="20"/>
          <w:lang w:eastAsia="en-US"/>
        </w:rPr>
      </w:pPr>
      <w:r>
        <w:rPr>
          <w:sz w:val="20"/>
          <w:szCs w:val="20"/>
          <w:lang w:eastAsia="en-US"/>
        </w:rPr>
        <w:t xml:space="preserve">Das Segment </w:t>
      </w:r>
      <w:r w:rsidR="00886A4B" w:rsidRPr="00886A4B">
        <w:rPr>
          <w:b/>
          <w:sz w:val="20"/>
          <w:szCs w:val="20"/>
          <w:lang w:eastAsia="en-US"/>
        </w:rPr>
        <w:t>Consumer, Health &amp; Nutrition</w:t>
      </w:r>
      <w:r w:rsidR="00886A4B">
        <w:rPr>
          <w:sz w:val="20"/>
          <w:szCs w:val="20"/>
          <w:lang w:eastAsia="en-US"/>
        </w:rPr>
        <w:t xml:space="preserve"> produziert schwerpunktmäßig für Anwendungen in Konsumgütern, in der Tierernährung und im Bereich </w:t>
      </w:r>
      <w:proofErr w:type="spellStart"/>
      <w:r w:rsidR="00886A4B">
        <w:rPr>
          <w:sz w:val="20"/>
          <w:szCs w:val="20"/>
          <w:lang w:eastAsia="en-US"/>
        </w:rPr>
        <w:t>Healthcare</w:t>
      </w:r>
      <w:proofErr w:type="spellEnd"/>
      <w:r w:rsidR="00886A4B">
        <w:rPr>
          <w:sz w:val="20"/>
          <w:szCs w:val="20"/>
          <w:lang w:eastAsia="en-US"/>
        </w:rPr>
        <w:t>. Es umfasst die Geschäftsbereiche Consumer Specialties sowie Health &amp; Nut</w:t>
      </w:r>
      <w:r w:rsidR="00893D46">
        <w:rPr>
          <w:sz w:val="20"/>
          <w:szCs w:val="20"/>
          <w:lang w:eastAsia="en-US"/>
        </w:rPr>
        <w:t>r</w:t>
      </w:r>
      <w:r w:rsidR="00886A4B">
        <w:rPr>
          <w:sz w:val="20"/>
          <w:szCs w:val="20"/>
          <w:lang w:eastAsia="en-US"/>
        </w:rPr>
        <w:t>ition.</w:t>
      </w:r>
    </w:p>
    <w:p w:rsidR="00886A4B" w:rsidRDefault="00886A4B" w:rsidP="0033355C">
      <w:pPr>
        <w:spacing w:line="300" w:lineRule="exact"/>
        <w:rPr>
          <w:sz w:val="20"/>
          <w:szCs w:val="20"/>
          <w:lang w:eastAsia="en-US"/>
        </w:rPr>
      </w:pPr>
    </w:p>
    <w:p w:rsidR="009B6B5E" w:rsidRDefault="00886A4B" w:rsidP="0033355C">
      <w:pPr>
        <w:spacing w:line="300" w:lineRule="exact"/>
        <w:rPr>
          <w:sz w:val="20"/>
          <w:szCs w:val="20"/>
          <w:lang w:eastAsia="en-US"/>
        </w:rPr>
      </w:pPr>
      <w:r>
        <w:rPr>
          <w:sz w:val="20"/>
          <w:szCs w:val="20"/>
          <w:lang w:eastAsia="en-US"/>
        </w:rPr>
        <w:t xml:space="preserve">Der </w:t>
      </w:r>
      <w:r w:rsidRPr="00F50193">
        <w:rPr>
          <w:b/>
          <w:sz w:val="20"/>
          <w:szCs w:val="20"/>
          <w:lang w:eastAsia="en-US"/>
        </w:rPr>
        <w:t>Umsatz</w:t>
      </w:r>
      <w:r w:rsidR="00F50193">
        <w:rPr>
          <w:sz w:val="20"/>
          <w:szCs w:val="20"/>
          <w:lang w:eastAsia="en-US"/>
        </w:rPr>
        <w:t xml:space="preserve"> verringerte sich im 1. Halbjahr 2014 um 5 Prozent auf 1.981 Millionen € (Vorjahreshalbjahr: 2.076 Millionen €)</w:t>
      </w:r>
      <w:r w:rsidR="00D45696">
        <w:rPr>
          <w:sz w:val="20"/>
          <w:szCs w:val="20"/>
          <w:lang w:eastAsia="en-US"/>
        </w:rPr>
        <w:t>. Das leichte Mengenwachstum wurde hierbei von rückläufigen Verkaufspreisen und negativen Währungseinflüssen überkompensiert. Die Aminosäuren für Tierernährung verzeichneten eine weiter ansteigende Mengennachfrage</w:t>
      </w:r>
      <w:r w:rsidR="0097132E">
        <w:rPr>
          <w:sz w:val="20"/>
          <w:szCs w:val="20"/>
          <w:lang w:eastAsia="en-US"/>
        </w:rPr>
        <w:t xml:space="preserve">. Bei </w:t>
      </w:r>
      <w:r w:rsidR="00D45696">
        <w:rPr>
          <w:sz w:val="20"/>
          <w:szCs w:val="20"/>
          <w:lang w:eastAsia="en-US"/>
        </w:rPr>
        <w:t>Superabsorbern</w:t>
      </w:r>
      <w:r w:rsidR="00612C76">
        <w:rPr>
          <w:sz w:val="20"/>
          <w:szCs w:val="20"/>
          <w:lang w:eastAsia="en-US"/>
        </w:rPr>
        <w:t xml:space="preserve"> konnten die sehr hohen Absatzmengen des Vorjahreszeitraums </w:t>
      </w:r>
      <w:r w:rsidR="00893D46">
        <w:rPr>
          <w:sz w:val="20"/>
          <w:szCs w:val="20"/>
          <w:lang w:eastAsia="en-US"/>
        </w:rPr>
        <w:t xml:space="preserve">dagegen </w:t>
      </w:r>
      <w:r w:rsidR="00612C76">
        <w:rPr>
          <w:sz w:val="20"/>
          <w:szCs w:val="20"/>
          <w:lang w:eastAsia="en-US"/>
        </w:rPr>
        <w:t xml:space="preserve">nicht erreicht werden. </w:t>
      </w:r>
      <w:r w:rsidR="001A75AE">
        <w:rPr>
          <w:sz w:val="20"/>
          <w:szCs w:val="20"/>
          <w:lang w:eastAsia="en-US"/>
        </w:rPr>
        <w:t xml:space="preserve">Das bereinigte </w:t>
      </w:r>
      <w:r w:rsidR="001A75AE" w:rsidRPr="001A75AE">
        <w:rPr>
          <w:b/>
          <w:sz w:val="20"/>
          <w:szCs w:val="20"/>
          <w:lang w:eastAsia="en-US"/>
        </w:rPr>
        <w:t xml:space="preserve">EBITDA </w:t>
      </w:r>
      <w:r w:rsidR="001A75AE">
        <w:rPr>
          <w:sz w:val="20"/>
          <w:szCs w:val="20"/>
          <w:lang w:eastAsia="en-US"/>
        </w:rPr>
        <w:t xml:space="preserve">ging infolge der geringeren Verkaufspreise, insbesondere für Aminosäuren für die Tierernährung, sowie Anlaufkosten im Zusammenhang mit der Inbetriebnahme neuer Kapazitäten um 26 Prozent auf 376 Millionen € zurück (Vorjahreshalbjahr: 508 Millionen €). </w:t>
      </w:r>
      <w:r w:rsidR="007774AB">
        <w:rPr>
          <w:sz w:val="20"/>
          <w:szCs w:val="20"/>
          <w:lang w:eastAsia="en-US"/>
        </w:rPr>
        <w:t xml:space="preserve">Für die bedeutendste Aminosäure, Methionin, haben sich die Verkaufspreise </w:t>
      </w:r>
      <w:r w:rsidR="00861431">
        <w:rPr>
          <w:sz w:val="20"/>
          <w:szCs w:val="20"/>
          <w:lang w:eastAsia="en-US"/>
        </w:rPr>
        <w:t xml:space="preserve">seit Jahresbeginn </w:t>
      </w:r>
      <w:r w:rsidR="007774AB">
        <w:rPr>
          <w:sz w:val="20"/>
          <w:szCs w:val="20"/>
          <w:lang w:eastAsia="en-US"/>
        </w:rPr>
        <w:t xml:space="preserve">stabilisiert. Die bereinigte </w:t>
      </w:r>
      <w:r w:rsidR="007774AB" w:rsidRPr="005F7782">
        <w:rPr>
          <w:b/>
          <w:sz w:val="20"/>
          <w:szCs w:val="20"/>
          <w:lang w:eastAsia="en-US"/>
        </w:rPr>
        <w:t>EBITDA-Marge</w:t>
      </w:r>
      <w:r w:rsidR="007774AB">
        <w:rPr>
          <w:sz w:val="20"/>
          <w:szCs w:val="20"/>
          <w:lang w:eastAsia="en-US"/>
        </w:rPr>
        <w:t xml:space="preserve"> lag mit 19,0 Prozent auf gutem Niveau (Vorjahreswert: </w:t>
      </w:r>
      <w:r w:rsidR="0049546C">
        <w:rPr>
          <w:sz w:val="20"/>
          <w:szCs w:val="20"/>
          <w:lang w:eastAsia="en-US"/>
        </w:rPr>
        <w:t>24,5</w:t>
      </w:r>
      <w:r w:rsidR="007774AB">
        <w:rPr>
          <w:sz w:val="20"/>
          <w:szCs w:val="20"/>
          <w:lang w:eastAsia="en-US"/>
        </w:rPr>
        <w:t xml:space="preserve"> Prozent).</w:t>
      </w:r>
    </w:p>
    <w:p w:rsidR="009B6B5E" w:rsidRDefault="009B6B5E" w:rsidP="0033355C">
      <w:pPr>
        <w:spacing w:line="300" w:lineRule="exact"/>
        <w:rPr>
          <w:sz w:val="20"/>
          <w:szCs w:val="20"/>
          <w:lang w:eastAsia="en-US"/>
        </w:rPr>
      </w:pPr>
    </w:p>
    <w:p w:rsidR="009B6B5E" w:rsidRDefault="009B6B5E" w:rsidP="0033355C">
      <w:pPr>
        <w:spacing w:line="300" w:lineRule="exact"/>
        <w:rPr>
          <w:sz w:val="20"/>
          <w:szCs w:val="20"/>
          <w:lang w:eastAsia="en-US"/>
        </w:rPr>
      </w:pPr>
    </w:p>
    <w:p w:rsidR="009B6B5E" w:rsidRPr="009B6B5E" w:rsidRDefault="009B6B5E" w:rsidP="0033355C">
      <w:pPr>
        <w:spacing w:line="300" w:lineRule="exact"/>
        <w:rPr>
          <w:b/>
          <w:sz w:val="20"/>
          <w:szCs w:val="20"/>
          <w:lang w:eastAsia="en-US"/>
        </w:rPr>
      </w:pPr>
      <w:r w:rsidRPr="009B6B5E">
        <w:rPr>
          <w:b/>
          <w:sz w:val="20"/>
          <w:szCs w:val="20"/>
          <w:lang w:eastAsia="en-US"/>
        </w:rPr>
        <w:t>Resource Efficiency</w:t>
      </w:r>
    </w:p>
    <w:p w:rsidR="009B6B5E" w:rsidRDefault="009B6B5E" w:rsidP="0033355C">
      <w:pPr>
        <w:spacing w:line="300" w:lineRule="exact"/>
        <w:rPr>
          <w:sz w:val="20"/>
          <w:szCs w:val="20"/>
          <w:lang w:eastAsia="en-US"/>
        </w:rPr>
      </w:pPr>
    </w:p>
    <w:p w:rsidR="009B6B5E" w:rsidRPr="009E699E" w:rsidRDefault="009E699E" w:rsidP="0033355C">
      <w:pPr>
        <w:pStyle w:val="Listenabsatz"/>
        <w:numPr>
          <w:ilvl w:val="0"/>
          <w:numId w:val="20"/>
        </w:numPr>
        <w:spacing w:line="300" w:lineRule="exact"/>
        <w:rPr>
          <w:sz w:val="20"/>
          <w:szCs w:val="20"/>
          <w:lang w:eastAsia="en-US"/>
        </w:rPr>
      </w:pPr>
      <w:r w:rsidRPr="009E699E">
        <w:rPr>
          <w:sz w:val="20"/>
          <w:szCs w:val="20"/>
          <w:lang w:eastAsia="en-US"/>
        </w:rPr>
        <w:t>Deutlich höhere</w:t>
      </w:r>
      <w:r>
        <w:rPr>
          <w:sz w:val="20"/>
          <w:szCs w:val="20"/>
          <w:lang w:eastAsia="en-US"/>
        </w:rPr>
        <w:t xml:space="preserve"> Nachfrage bei</w:t>
      </w:r>
      <w:r w:rsidR="005B0C41">
        <w:rPr>
          <w:sz w:val="20"/>
          <w:szCs w:val="20"/>
          <w:lang w:eastAsia="en-US"/>
        </w:rPr>
        <w:t xml:space="preserve"> </w:t>
      </w:r>
      <w:r>
        <w:rPr>
          <w:sz w:val="20"/>
          <w:szCs w:val="20"/>
          <w:lang w:eastAsia="en-US"/>
        </w:rPr>
        <w:t>stabilen Verkaufspreisen</w:t>
      </w:r>
    </w:p>
    <w:p w:rsidR="009B6B5E" w:rsidRDefault="009E699E" w:rsidP="0033355C">
      <w:pPr>
        <w:pStyle w:val="Listenabsatz"/>
        <w:numPr>
          <w:ilvl w:val="0"/>
          <w:numId w:val="20"/>
        </w:numPr>
        <w:spacing w:line="300" w:lineRule="exact"/>
        <w:rPr>
          <w:sz w:val="20"/>
          <w:szCs w:val="20"/>
          <w:lang w:eastAsia="en-US"/>
        </w:rPr>
      </w:pPr>
      <w:r>
        <w:rPr>
          <w:sz w:val="20"/>
          <w:szCs w:val="20"/>
          <w:lang w:eastAsia="en-US"/>
        </w:rPr>
        <w:t>Bereinigtes EBITDA nochmals verbessert</w:t>
      </w:r>
    </w:p>
    <w:p w:rsidR="009B6B5E" w:rsidRPr="009B6B5E" w:rsidRDefault="009E699E" w:rsidP="0033355C">
      <w:pPr>
        <w:pStyle w:val="Listenabsatz"/>
        <w:numPr>
          <w:ilvl w:val="0"/>
          <w:numId w:val="20"/>
        </w:numPr>
        <w:spacing w:line="300" w:lineRule="exact"/>
        <w:rPr>
          <w:sz w:val="20"/>
          <w:szCs w:val="20"/>
          <w:lang w:eastAsia="en-US"/>
        </w:rPr>
      </w:pPr>
      <w:r>
        <w:rPr>
          <w:sz w:val="20"/>
          <w:szCs w:val="20"/>
          <w:lang w:eastAsia="en-US"/>
        </w:rPr>
        <w:t>Bereinigte EBITDA-Marge steigt im Halbjahr auf ausgezeichnete 23,</w:t>
      </w:r>
      <w:r w:rsidR="0049546C">
        <w:rPr>
          <w:sz w:val="20"/>
          <w:szCs w:val="20"/>
          <w:lang w:eastAsia="en-US"/>
        </w:rPr>
        <w:t>2</w:t>
      </w:r>
      <w:r>
        <w:rPr>
          <w:sz w:val="20"/>
          <w:szCs w:val="20"/>
          <w:lang w:eastAsia="en-US"/>
        </w:rPr>
        <w:t xml:space="preserve"> Prozent</w:t>
      </w:r>
    </w:p>
    <w:p w:rsidR="009B6B5E" w:rsidRDefault="009B6B5E" w:rsidP="0033355C">
      <w:pPr>
        <w:spacing w:line="300" w:lineRule="exact"/>
        <w:rPr>
          <w:sz w:val="20"/>
          <w:szCs w:val="20"/>
          <w:lang w:eastAsia="en-US"/>
        </w:rPr>
      </w:pPr>
      <w:r>
        <w:rPr>
          <w:sz w:val="20"/>
          <w:szCs w:val="20"/>
          <w:lang w:eastAsia="en-US"/>
        </w:rPr>
        <w:br/>
        <w:t xml:space="preserve">Das Segment </w:t>
      </w:r>
      <w:r w:rsidR="00886A4B" w:rsidRPr="000F7737">
        <w:rPr>
          <w:b/>
          <w:sz w:val="20"/>
          <w:szCs w:val="20"/>
          <w:lang w:eastAsia="en-US"/>
        </w:rPr>
        <w:t>Resource Efficiency</w:t>
      </w:r>
      <w:r w:rsidR="00886A4B">
        <w:rPr>
          <w:sz w:val="20"/>
          <w:szCs w:val="20"/>
          <w:lang w:eastAsia="en-US"/>
        </w:rPr>
        <w:t xml:space="preserve"> bietet umweltfreundliche und energieeffiziente Systemlösungen. Ihm sind die beiden </w:t>
      </w:r>
      <w:r w:rsidR="00886A4B">
        <w:rPr>
          <w:sz w:val="20"/>
          <w:szCs w:val="20"/>
          <w:lang w:eastAsia="en-US"/>
        </w:rPr>
        <w:lastRenderedPageBreak/>
        <w:t xml:space="preserve">Geschäftsbereiche </w:t>
      </w:r>
      <w:proofErr w:type="spellStart"/>
      <w:r w:rsidR="00886A4B">
        <w:rPr>
          <w:sz w:val="20"/>
          <w:szCs w:val="20"/>
          <w:lang w:eastAsia="en-US"/>
        </w:rPr>
        <w:t>Inorganic</w:t>
      </w:r>
      <w:proofErr w:type="spellEnd"/>
      <w:r w:rsidR="00886A4B">
        <w:rPr>
          <w:sz w:val="20"/>
          <w:szCs w:val="20"/>
          <w:lang w:eastAsia="en-US"/>
        </w:rPr>
        <w:t xml:space="preserve"> Materials sowie Coatings &amp; Additives zugeordnet.</w:t>
      </w:r>
    </w:p>
    <w:p w:rsidR="009B6B5E" w:rsidRDefault="009B6B5E" w:rsidP="0033355C">
      <w:pPr>
        <w:spacing w:line="300" w:lineRule="exact"/>
        <w:rPr>
          <w:sz w:val="20"/>
          <w:szCs w:val="20"/>
          <w:lang w:eastAsia="en-US"/>
        </w:rPr>
      </w:pPr>
    </w:p>
    <w:p w:rsidR="009B6B5E" w:rsidRDefault="005B5054" w:rsidP="0033355C">
      <w:pPr>
        <w:spacing w:line="300" w:lineRule="exact"/>
        <w:rPr>
          <w:sz w:val="20"/>
          <w:szCs w:val="20"/>
          <w:lang w:eastAsia="en-US"/>
        </w:rPr>
      </w:pPr>
      <w:r w:rsidRPr="005B5054">
        <w:rPr>
          <w:sz w:val="20"/>
          <w:szCs w:val="20"/>
          <w:lang w:eastAsia="en-US"/>
        </w:rPr>
        <w:t xml:space="preserve">Der </w:t>
      </w:r>
      <w:r w:rsidRPr="005B5054">
        <w:rPr>
          <w:b/>
          <w:sz w:val="20"/>
          <w:szCs w:val="20"/>
          <w:lang w:eastAsia="en-US"/>
        </w:rPr>
        <w:t>Umsatz</w:t>
      </w:r>
      <w:r w:rsidRPr="005B5054">
        <w:rPr>
          <w:sz w:val="20"/>
          <w:szCs w:val="20"/>
          <w:lang w:eastAsia="en-US"/>
        </w:rPr>
        <w:t xml:space="preserve"> stieg im 1. Halbjahr 2014 um 4 Prozent auf 1.635 </w:t>
      </w:r>
      <w:r w:rsidR="0049546C">
        <w:rPr>
          <w:sz w:val="20"/>
          <w:szCs w:val="20"/>
          <w:lang w:eastAsia="en-US"/>
        </w:rPr>
        <w:br/>
      </w:r>
      <w:r w:rsidRPr="005B5054">
        <w:rPr>
          <w:sz w:val="20"/>
          <w:szCs w:val="20"/>
          <w:lang w:eastAsia="en-US"/>
        </w:rPr>
        <w:t>Millionen</w:t>
      </w:r>
      <w:r w:rsidR="0049546C">
        <w:rPr>
          <w:sz w:val="20"/>
          <w:szCs w:val="20"/>
          <w:lang w:eastAsia="en-US"/>
        </w:rPr>
        <w:t xml:space="preserve"> </w:t>
      </w:r>
      <w:r w:rsidRPr="005B5054">
        <w:rPr>
          <w:sz w:val="20"/>
          <w:szCs w:val="20"/>
          <w:lang w:eastAsia="en-US"/>
        </w:rPr>
        <w:t>€ (Vorjahreshalbjahr: 1.572 Millionen €)</w:t>
      </w:r>
      <w:r>
        <w:rPr>
          <w:sz w:val="20"/>
          <w:szCs w:val="20"/>
          <w:lang w:eastAsia="en-US"/>
        </w:rPr>
        <w:t>. Das deutliche Mengenwachstum wurde durch leicht nachgebende Verkaufspreise</w:t>
      </w:r>
      <w:r w:rsidR="00BD691D">
        <w:rPr>
          <w:sz w:val="20"/>
          <w:szCs w:val="20"/>
          <w:lang w:eastAsia="en-US"/>
        </w:rPr>
        <w:t xml:space="preserve"> </w:t>
      </w:r>
      <w:r>
        <w:rPr>
          <w:sz w:val="20"/>
          <w:szCs w:val="20"/>
          <w:lang w:eastAsia="en-US"/>
        </w:rPr>
        <w:t xml:space="preserve">sowie negative Währungseffekte gemindert. </w:t>
      </w:r>
      <w:r w:rsidR="005B0C41">
        <w:rPr>
          <w:sz w:val="20"/>
          <w:szCs w:val="20"/>
          <w:lang w:eastAsia="en-US"/>
        </w:rPr>
        <w:t xml:space="preserve">Insbesondere das Geschäft mit Kieselsäuren und </w:t>
      </w:r>
      <w:proofErr w:type="spellStart"/>
      <w:r w:rsidR="005B0C41">
        <w:rPr>
          <w:sz w:val="20"/>
          <w:szCs w:val="20"/>
          <w:lang w:eastAsia="en-US"/>
        </w:rPr>
        <w:t>Silanen</w:t>
      </w:r>
      <w:proofErr w:type="spellEnd"/>
      <w:r w:rsidR="005B0C41">
        <w:rPr>
          <w:sz w:val="20"/>
          <w:szCs w:val="20"/>
          <w:lang w:eastAsia="en-US"/>
        </w:rPr>
        <w:t xml:space="preserve"> verlief bei starker Nachfrage aus der Reifenindustrie weiterhin sehr erfreulich. </w:t>
      </w:r>
      <w:r w:rsidR="00BD691D">
        <w:rPr>
          <w:sz w:val="20"/>
          <w:szCs w:val="20"/>
          <w:lang w:eastAsia="en-US"/>
        </w:rPr>
        <w:t xml:space="preserve">Der Geschäftsbereich Coatings &amp; Additives konnte seine Mengen deutlich ausweiten und profitierte von einer hohen Nachfrage aus der Automobil- und Bauindustrie. Das bereinigte </w:t>
      </w:r>
      <w:r w:rsidR="00BD691D" w:rsidRPr="00BD691D">
        <w:rPr>
          <w:b/>
          <w:sz w:val="20"/>
          <w:szCs w:val="20"/>
          <w:lang w:eastAsia="en-US"/>
        </w:rPr>
        <w:t>EBIT</w:t>
      </w:r>
      <w:r w:rsidR="0049546C">
        <w:rPr>
          <w:b/>
          <w:sz w:val="20"/>
          <w:szCs w:val="20"/>
          <w:lang w:eastAsia="en-US"/>
        </w:rPr>
        <w:t>D</w:t>
      </w:r>
      <w:r w:rsidR="00BD691D" w:rsidRPr="00BD691D">
        <w:rPr>
          <w:b/>
          <w:sz w:val="20"/>
          <w:szCs w:val="20"/>
          <w:lang w:eastAsia="en-US"/>
        </w:rPr>
        <w:t>A</w:t>
      </w:r>
      <w:r w:rsidR="00BD691D">
        <w:rPr>
          <w:sz w:val="20"/>
          <w:szCs w:val="20"/>
          <w:lang w:eastAsia="en-US"/>
        </w:rPr>
        <w:t xml:space="preserve"> des Segments wuchs vor allem dank der gestiegenen Mengen um 10 Prozent auf 380 Millionen € (Vorjahreshalbjahr: 346 Millionen €). Die bereinigte </w:t>
      </w:r>
      <w:r w:rsidR="00BD691D" w:rsidRPr="00BD691D">
        <w:rPr>
          <w:b/>
          <w:sz w:val="20"/>
          <w:szCs w:val="20"/>
          <w:lang w:eastAsia="en-US"/>
        </w:rPr>
        <w:t>EBITDA-Marge</w:t>
      </w:r>
      <w:r w:rsidR="00BD691D">
        <w:rPr>
          <w:sz w:val="20"/>
          <w:szCs w:val="20"/>
          <w:lang w:eastAsia="en-US"/>
        </w:rPr>
        <w:t xml:space="preserve"> stieg von 22,0 Prozent auf 23,</w:t>
      </w:r>
      <w:r w:rsidR="004650B7">
        <w:rPr>
          <w:sz w:val="20"/>
          <w:szCs w:val="20"/>
          <w:lang w:eastAsia="en-US"/>
        </w:rPr>
        <w:t>2</w:t>
      </w:r>
      <w:r w:rsidR="00BD691D">
        <w:rPr>
          <w:sz w:val="20"/>
          <w:szCs w:val="20"/>
          <w:lang w:eastAsia="en-US"/>
        </w:rPr>
        <w:t xml:space="preserve"> Prozent.</w:t>
      </w:r>
    </w:p>
    <w:p w:rsidR="009B6B5E" w:rsidRDefault="009B6B5E" w:rsidP="0033355C">
      <w:pPr>
        <w:spacing w:line="300" w:lineRule="exact"/>
        <w:rPr>
          <w:sz w:val="20"/>
          <w:szCs w:val="20"/>
          <w:lang w:eastAsia="en-US"/>
        </w:rPr>
      </w:pPr>
    </w:p>
    <w:p w:rsidR="009B6B5E" w:rsidRDefault="009B6B5E" w:rsidP="0033355C">
      <w:pPr>
        <w:spacing w:line="300" w:lineRule="exact"/>
        <w:rPr>
          <w:sz w:val="20"/>
          <w:szCs w:val="20"/>
          <w:lang w:eastAsia="en-US"/>
        </w:rPr>
      </w:pPr>
    </w:p>
    <w:p w:rsidR="009B6B5E" w:rsidRPr="00886A4B" w:rsidRDefault="009B6B5E" w:rsidP="0033355C">
      <w:pPr>
        <w:spacing w:line="300" w:lineRule="exact"/>
        <w:rPr>
          <w:b/>
          <w:sz w:val="20"/>
          <w:szCs w:val="20"/>
          <w:lang w:eastAsia="en-US"/>
        </w:rPr>
      </w:pPr>
      <w:r w:rsidRPr="00886A4B">
        <w:rPr>
          <w:b/>
          <w:sz w:val="20"/>
          <w:szCs w:val="20"/>
          <w:lang w:eastAsia="en-US"/>
        </w:rPr>
        <w:t>Specialty Materials</w:t>
      </w:r>
    </w:p>
    <w:p w:rsidR="009B6B5E" w:rsidRDefault="009B6B5E" w:rsidP="0033355C">
      <w:pPr>
        <w:spacing w:line="300" w:lineRule="exact"/>
        <w:rPr>
          <w:sz w:val="20"/>
          <w:szCs w:val="20"/>
          <w:lang w:eastAsia="en-US"/>
        </w:rPr>
      </w:pPr>
    </w:p>
    <w:p w:rsidR="009B6B5E" w:rsidRPr="009B6B5E" w:rsidRDefault="009E699E" w:rsidP="0033355C">
      <w:pPr>
        <w:pStyle w:val="Listenabsatz"/>
        <w:numPr>
          <w:ilvl w:val="0"/>
          <w:numId w:val="20"/>
        </w:numPr>
        <w:spacing w:line="300" w:lineRule="exact"/>
        <w:rPr>
          <w:sz w:val="20"/>
          <w:szCs w:val="20"/>
          <w:lang w:eastAsia="en-US"/>
        </w:rPr>
      </w:pPr>
      <w:r>
        <w:rPr>
          <w:sz w:val="20"/>
          <w:szCs w:val="20"/>
          <w:lang w:eastAsia="en-US"/>
        </w:rPr>
        <w:t>Deutlich höhere Mengen, rückläufige Verkaufspreise</w:t>
      </w:r>
    </w:p>
    <w:p w:rsidR="009B6B5E" w:rsidRPr="009B6B5E" w:rsidRDefault="009E699E" w:rsidP="0033355C">
      <w:pPr>
        <w:pStyle w:val="Listenabsatz"/>
        <w:numPr>
          <w:ilvl w:val="0"/>
          <w:numId w:val="20"/>
        </w:numPr>
        <w:spacing w:line="300" w:lineRule="exact"/>
        <w:rPr>
          <w:sz w:val="20"/>
          <w:szCs w:val="20"/>
          <w:lang w:eastAsia="en-US"/>
        </w:rPr>
      </w:pPr>
      <w:r>
        <w:rPr>
          <w:sz w:val="20"/>
          <w:szCs w:val="20"/>
          <w:lang w:eastAsia="en-US"/>
        </w:rPr>
        <w:t>Bereinigtes EBITDA unter Vorjahr</w:t>
      </w:r>
    </w:p>
    <w:p w:rsidR="00D509E1" w:rsidRPr="009B6B5E" w:rsidRDefault="009E699E" w:rsidP="0033355C">
      <w:pPr>
        <w:pStyle w:val="Listenabsatz"/>
        <w:numPr>
          <w:ilvl w:val="0"/>
          <w:numId w:val="20"/>
        </w:numPr>
        <w:spacing w:line="300" w:lineRule="exact"/>
        <w:rPr>
          <w:sz w:val="20"/>
          <w:szCs w:val="20"/>
          <w:lang w:eastAsia="en-US"/>
        </w:rPr>
      </w:pPr>
      <w:r>
        <w:rPr>
          <w:sz w:val="20"/>
          <w:szCs w:val="20"/>
          <w:lang w:eastAsia="en-US"/>
        </w:rPr>
        <w:t xml:space="preserve">Bereinigte EBITDA-Marge verringert sich im Halbjahr auf </w:t>
      </w:r>
      <w:r w:rsidR="001F513B">
        <w:rPr>
          <w:sz w:val="20"/>
          <w:szCs w:val="20"/>
          <w:lang w:eastAsia="en-US"/>
        </w:rPr>
        <w:t xml:space="preserve">schwache </w:t>
      </w:r>
      <w:r>
        <w:rPr>
          <w:sz w:val="20"/>
          <w:szCs w:val="20"/>
          <w:lang w:eastAsia="en-US"/>
        </w:rPr>
        <w:t>9,5 Prozent</w:t>
      </w:r>
    </w:p>
    <w:p w:rsidR="00886A4B" w:rsidRPr="00886A4B" w:rsidRDefault="00886A4B" w:rsidP="0033355C">
      <w:pPr>
        <w:spacing w:line="300" w:lineRule="exact"/>
        <w:rPr>
          <w:sz w:val="20"/>
          <w:szCs w:val="20"/>
          <w:lang w:eastAsia="en-US"/>
        </w:rPr>
      </w:pPr>
    </w:p>
    <w:p w:rsidR="00886A4B" w:rsidRPr="00886A4B" w:rsidRDefault="00886A4B" w:rsidP="0033355C">
      <w:pPr>
        <w:spacing w:line="300" w:lineRule="exact"/>
        <w:rPr>
          <w:sz w:val="20"/>
          <w:szCs w:val="20"/>
          <w:lang w:eastAsia="en-US"/>
        </w:rPr>
      </w:pPr>
      <w:r>
        <w:rPr>
          <w:sz w:val="20"/>
          <w:szCs w:val="20"/>
          <w:lang w:eastAsia="en-US"/>
        </w:rPr>
        <w:t xml:space="preserve">Im Mittelpunkt des Segments </w:t>
      </w:r>
      <w:r w:rsidRPr="00886A4B">
        <w:rPr>
          <w:b/>
          <w:sz w:val="20"/>
          <w:szCs w:val="20"/>
          <w:lang w:eastAsia="en-US"/>
        </w:rPr>
        <w:t>Specialty Materials</w:t>
      </w:r>
      <w:r>
        <w:rPr>
          <w:sz w:val="20"/>
          <w:szCs w:val="20"/>
          <w:lang w:eastAsia="en-US"/>
        </w:rPr>
        <w:t xml:space="preserve"> steht die Herstellung von polymeren Werkstoffen sowie Zwischenprodukten vor allem für die Gummi- und Kunststoffindustrie. Es gliedert sich in die Geschäftsbereiche Performance Polymers und </w:t>
      </w:r>
      <w:proofErr w:type="spellStart"/>
      <w:r>
        <w:rPr>
          <w:sz w:val="20"/>
          <w:szCs w:val="20"/>
          <w:lang w:eastAsia="en-US"/>
        </w:rPr>
        <w:t>Advanced</w:t>
      </w:r>
      <w:proofErr w:type="spellEnd"/>
      <w:r>
        <w:rPr>
          <w:sz w:val="20"/>
          <w:szCs w:val="20"/>
          <w:lang w:eastAsia="en-US"/>
        </w:rPr>
        <w:t xml:space="preserve"> Intermediates.</w:t>
      </w:r>
    </w:p>
    <w:p w:rsidR="00886A4B" w:rsidRPr="00886A4B" w:rsidRDefault="00886A4B" w:rsidP="0033355C">
      <w:pPr>
        <w:spacing w:line="300" w:lineRule="exact"/>
        <w:rPr>
          <w:sz w:val="20"/>
          <w:szCs w:val="20"/>
          <w:lang w:eastAsia="en-US"/>
        </w:rPr>
      </w:pPr>
    </w:p>
    <w:p w:rsidR="00886A4B" w:rsidRDefault="00BD691D" w:rsidP="0033355C">
      <w:pPr>
        <w:spacing w:line="300" w:lineRule="exact"/>
        <w:rPr>
          <w:sz w:val="20"/>
          <w:szCs w:val="20"/>
          <w:lang w:eastAsia="en-US"/>
        </w:rPr>
      </w:pPr>
      <w:r>
        <w:rPr>
          <w:sz w:val="20"/>
          <w:szCs w:val="20"/>
          <w:lang w:eastAsia="en-US"/>
        </w:rPr>
        <w:t xml:space="preserve">Der </w:t>
      </w:r>
      <w:r w:rsidRPr="00BD691D">
        <w:rPr>
          <w:b/>
          <w:sz w:val="20"/>
          <w:szCs w:val="20"/>
          <w:lang w:eastAsia="en-US"/>
        </w:rPr>
        <w:t>Umsatz</w:t>
      </w:r>
      <w:r>
        <w:rPr>
          <w:sz w:val="20"/>
          <w:szCs w:val="20"/>
          <w:lang w:eastAsia="en-US"/>
        </w:rPr>
        <w:t xml:space="preserve"> nahm im 1. Halbjahr 2014 um 2 Prozent auf 2.350 Millionen € zu (Vorjahreshalbjahr: 2.299 Millionen €). </w:t>
      </w:r>
      <w:r w:rsidR="00C56D35">
        <w:rPr>
          <w:sz w:val="20"/>
          <w:szCs w:val="20"/>
          <w:lang w:eastAsia="en-US"/>
        </w:rPr>
        <w:t xml:space="preserve">Hierzu trugen deutlich höhere Absatzmengen bei, während geringere Verkaufspreise, insbesondere für Butadien, den Umsatzanstieg minderten. </w:t>
      </w:r>
      <w:r w:rsidR="00625378">
        <w:rPr>
          <w:sz w:val="20"/>
          <w:szCs w:val="20"/>
          <w:lang w:eastAsia="en-US"/>
        </w:rPr>
        <w:t>Eine weiterhin steigende Nachfrage verzeichneten nahezu alle Produkte der C</w:t>
      </w:r>
      <w:r w:rsidR="00625378" w:rsidRPr="00D33485">
        <w:rPr>
          <w:sz w:val="20"/>
          <w:szCs w:val="20"/>
          <w:vertAlign w:val="subscript"/>
          <w:lang w:eastAsia="en-US"/>
        </w:rPr>
        <w:t>4</w:t>
      </w:r>
      <w:r w:rsidR="00625378">
        <w:rPr>
          <w:sz w:val="20"/>
          <w:szCs w:val="20"/>
          <w:lang w:eastAsia="en-US"/>
        </w:rPr>
        <w:t>-Chemie sowie Polyamid 12-Produkte</w:t>
      </w:r>
      <w:r w:rsidR="004650B7">
        <w:rPr>
          <w:sz w:val="20"/>
          <w:szCs w:val="20"/>
          <w:lang w:eastAsia="en-US"/>
        </w:rPr>
        <w:t xml:space="preserve"> und </w:t>
      </w:r>
      <w:proofErr w:type="spellStart"/>
      <w:r w:rsidR="004650B7">
        <w:rPr>
          <w:sz w:val="20"/>
          <w:szCs w:val="20"/>
          <w:lang w:eastAsia="en-US"/>
        </w:rPr>
        <w:t>Methacrylate</w:t>
      </w:r>
      <w:proofErr w:type="spellEnd"/>
      <w:r w:rsidR="00625378">
        <w:rPr>
          <w:sz w:val="20"/>
          <w:szCs w:val="20"/>
          <w:lang w:eastAsia="en-US"/>
        </w:rPr>
        <w:t xml:space="preserve">. </w:t>
      </w:r>
      <w:r w:rsidR="00370C23">
        <w:rPr>
          <w:sz w:val="20"/>
          <w:szCs w:val="20"/>
          <w:lang w:eastAsia="en-US"/>
        </w:rPr>
        <w:t xml:space="preserve">Das bereinigte </w:t>
      </w:r>
      <w:r w:rsidR="00370C23" w:rsidRPr="00370C23">
        <w:rPr>
          <w:b/>
          <w:sz w:val="20"/>
          <w:szCs w:val="20"/>
          <w:lang w:eastAsia="en-US"/>
        </w:rPr>
        <w:t>EBITDA</w:t>
      </w:r>
      <w:r w:rsidR="00370C23">
        <w:rPr>
          <w:sz w:val="20"/>
          <w:szCs w:val="20"/>
          <w:lang w:eastAsia="en-US"/>
        </w:rPr>
        <w:t xml:space="preserve"> verringerte sich vor allem infolge der rückläufigen Verkaufspreise um 28 Prozent auf 224 Millionen € (Vorjahreshalbjahr: </w:t>
      </w:r>
      <w:r w:rsidR="0049546C">
        <w:rPr>
          <w:sz w:val="20"/>
          <w:szCs w:val="20"/>
          <w:lang w:eastAsia="en-US"/>
        </w:rPr>
        <w:t>310</w:t>
      </w:r>
      <w:r w:rsidR="00370C23">
        <w:rPr>
          <w:sz w:val="20"/>
          <w:szCs w:val="20"/>
          <w:lang w:eastAsia="en-US"/>
        </w:rPr>
        <w:t xml:space="preserve"> Millionen €). Die bereinigte </w:t>
      </w:r>
      <w:r w:rsidR="00370C23" w:rsidRPr="00370C23">
        <w:rPr>
          <w:b/>
          <w:sz w:val="20"/>
          <w:szCs w:val="20"/>
          <w:lang w:eastAsia="en-US"/>
        </w:rPr>
        <w:t>EBITDA-Marge</w:t>
      </w:r>
      <w:r w:rsidR="00370C23">
        <w:rPr>
          <w:sz w:val="20"/>
          <w:szCs w:val="20"/>
          <w:lang w:eastAsia="en-US"/>
        </w:rPr>
        <w:t xml:space="preserve"> ging von 13,5 Prozent auf 9,5 Prozent zurück.</w:t>
      </w:r>
    </w:p>
    <w:p w:rsidR="00886A4B" w:rsidRDefault="00886A4B" w:rsidP="0033355C">
      <w:pPr>
        <w:spacing w:line="300" w:lineRule="exact"/>
        <w:rPr>
          <w:sz w:val="20"/>
          <w:szCs w:val="20"/>
          <w:lang w:eastAsia="en-US"/>
        </w:rPr>
      </w:pPr>
    </w:p>
    <w:p w:rsidR="00F86F92" w:rsidRDefault="00F86F92" w:rsidP="0033355C">
      <w:pPr>
        <w:spacing w:line="300" w:lineRule="exact"/>
        <w:rPr>
          <w:sz w:val="20"/>
          <w:szCs w:val="20"/>
          <w:lang w:eastAsia="en-US"/>
        </w:rPr>
      </w:pPr>
    </w:p>
    <w:p w:rsidR="00886A4B" w:rsidRPr="00886A4B" w:rsidRDefault="00886A4B" w:rsidP="0033355C">
      <w:pPr>
        <w:spacing w:line="300" w:lineRule="exact"/>
        <w:rPr>
          <w:sz w:val="20"/>
          <w:szCs w:val="20"/>
          <w:lang w:eastAsia="en-US"/>
        </w:rPr>
      </w:pPr>
    </w:p>
    <w:p w:rsidR="00665480" w:rsidRPr="00003DAF" w:rsidRDefault="009B6B5E" w:rsidP="0033355C">
      <w:pPr>
        <w:spacing w:line="300" w:lineRule="exact"/>
        <w:rPr>
          <w:b/>
          <w:sz w:val="20"/>
          <w:szCs w:val="20"/>
          <w:lang w:eastAsia="en-US"/>
        </w:rPr>
      </w:pPr>
      <w:r w:rsidRPr="00003DAF">
        <w:rPr>
          <w:b/>
          <w:sz w:val="20"/>
          <w:szCs w:val="20"/>
          <w:lang w:eastAsia="en-US"/>
        </w:rPr>
        <w:lastRenderedPageBreak/>
        <w:t>Services</w:t>
      </w:r>
    </w:p>
    <w:p w:rsidR="009B6B5E" w:rsidRDefault="009B6B5E" w:rsidP="0033355C">
      <w:pPr>
        <w:spacing w:line="300" w:lineRule="exact"/>
        <w:rPr>
          <w:sz w:val="20"/>
          <w:szCs w:val="20"/>
          <w:lang w:eastAsia="en-US"/>
        </w:rPr>
      </w:pPr>
    </w:p>
    <w:p w:rsidR="009B6B5E" w:rsidRDefault="009B6B5E" w:rsidP="0033355C">
      <w:pPr>
        <w:spacing w:line="300" w:lineRule="exact"/>
        <w:rPr>
          <w:sz w:val="20"/>
          <w:szCs w:val="20"/>
          <w:lang w:eastAsia="en-US"/>
        </w:rPr>
      </w:pPr>
      <w:r>
        <w:rPr>
          <w:sz w:val="20"/>
          <w:szCs w:val="20"/>
          <w:lang w:eastAsia="en-US"/>
        </w:rPr>
        <w:t xml:space="preserve">Das Segment </w:t>
      </w:r>
      <w:r w:rsidR="00886A4B" w:rsidRPr="000F7737">
        <w:rPr>
          <w:b/>
          <w:sz w:val="20"/>
          <w:szCs w:val="20"/>
          <w:lang w:eastAsia="en-US"/>
        </w:rPr>
        <w:t>Services</w:t>
      </w:r>
      <w:r w:rsidR="00886A4B">
        <w:rPr>
          <w:sz w:val="20"/>
          <w:szCs w:val="20"/>
          <w:lang w:eastAsia="en-US"/>
        </w:rPr>
        <w:t xml:space="preserve"> erbringt seine Dienstleistungen vor allem für die operativen Spezialchemiegeschäfte und das Corporate Center von Evonik sowie für Dritte</w:t>
      </w:r>
      <w:r w:rsidR="00370C23">
        <w:rPr>
          <w:sz w:val="20"/>
          <w:szCs w:val="20"/>
          <w:lang w:eastAsia="en-US"/>
        </w:rPr>
        <w:t>.</w:t>
      </w:r>
    </w:p>
    <w:p w:rsidR="00003DAF" w:rsidRDefault="00003DAF" w:rsidP="0033355C">
      <w:pPr>
        <w:spacing w:line="300" w:lineRule="exact"/>
        <w:rPr>
          <w:sz w:val="20"/>
          <w:szCs w:val="20"/>
          <w:lang w:eastAsia="en-US"/>
        </w:rPr>
      </w:pPr>
    </w:p>
    <w:p w:rsidR="00003DAF" w:rsidRDefault="00A73B2A" w:rsidP="0033355C">
      <w:pPr>
        <w:spacing w:line="300" w:lineRule="exact"/>
        <w:rPr>
          <w:sz w:val="20"/>
          <w:szCs w:val="20"/>
          <w:lang w:eastAsia="en-US"/>
        </w:rPr>
      </w:pPr>
      <w:r>
        <w:rPr>
          <w:sz w:val="20"/>
          <w:szCs w:val="20"/>
          <w:lang w:eastAsia="en-US"/>
        </w:rPr>
        <w:t xml:space="preserve">Der </w:t>
      </w:r>
      <w:r w:rsidR="00D303D2">
        <w:rPr>
          <w:b/>
          <w:sz w:val="20"/>
          <w:szCs w:val="20"/>
          <w:lang w:eastAsia="en-US"/>
        </w:rPr>
        <w:t>U</w:t>
      </w:r>
      <w:r w:rsidRPr="005F7782">
        <w:rPr>
          <w:b/>
          <w:sz w:val="20"/>
          <w:szCs w:val="20"/>
          <w:lang w:eastAsia="en-US"/>
        </w:rPr>
        <w:t>msatz</w:t>
      </w:r>
      <w:r>
        <w:rPr>
          <w:sz w:val="20"/>
          <w:szCs w:val="20"/>
          <w:lang w:eastAsia="en-US"/>
        </w:rPr>
        <w:t xml:space="preserve"> erhöhte sich im </w:t>
      </w:r>
      <w:r w:rsidR="00D303D2">
        <w:rPr>
          <w:sz w:val="20"/>
          <w:szCs w:val="20"/>
          <w:lang w:eastAsia="en-US"/>
        </w:rPr>
        <w:t xml:space="preserve">1. Halbjahr 2014 um </w:t>
      </w:r>
      <w:r w:rsidR="0049546C">
        <w:rPr>
          <w:sz w:val="20"/>
          <w:szCs w:val="20"/>
          <w:lang w:eastAsia="en-US"/>
        </w:rPr>
        <w:t>3</w:t>
      </w:r>
      <w:r>
        <w:rPr>
          <w:sz w:val="20"/>
          <w:szCs w:val="20"/>
          <w:lang w:eastAsia="en-US"/>
        </w:rPr>
        <w:t xml:space="preserve"> Prozent auf 449 Millionen € (Vorjahreshalbjahr: 437 Millionen €). Das bereinigte </w:t>
      </w:r>
      <w:r w:rsidRPr="005F7782">
        <w:rPr>
          <w:b/>
          <w:sz w:val="20"/>
          <w:szCs w:val="20"/>
          <w:lang w:eastAsia="en-US"/>
        </w:rPr>
        <w:t>EBITDA</w:t>
      </w:r>
      <w:r>
        <w:rPr>
          <w:sz w:val="20"/>
          <w:szCs w:val="20"/>
          <w:lang w:eastAsia="en-US"/>
        </w:rPr>
        <w:t xml:space="preserve"> sank gegenüber dem Vorjahreswert von 107 Millionen € um 2 Prozent auf 105 Millionen €.</w:t>
      </w:r>
    </w:p>
    <w:p w:rsidR="00F86F92" w:rsidRDefault="00F86F92">
      <w:pPr>
        <w:spacing w:line="240" w:lineRule="auto"/>
        <w:ind w:left="0" w:right="0"/>
        <w:rPr>
          <w:sz w:val="20"/>
          <w:szCs w:val="20"/>
          <w:lang w:eastAsia="en-US"/>
        </w:rPr>
      </w:pPr>
      <w:r>
        <w:rPr>
          <w:sz w:val="20"/>
          <w:szCs w:val="20"/>
          <w:lang w:eastAsia="en-US"/>
        </w:rPr>
        <w:br w:type="page"/>
      </w:r>
    </w:p>
    <w:p w:rsidR="00C85435" w:rsidRDefault="00C85435" w:rsidP="0033355C">
      <w:pPr>
        <w:spacing w:line="300" w:lineRule="exact"/>
        <w:rPr>
          <w:sz w:val="20"/>
          <w:szCs w:val="20"/>
          <w:lang w:eastAsia="en-US"/>
        </w:rPr>
      </w:pPr>
    </w:p>
    <w:p w:rsidR="00003DAF" w:rsidRPr="00003DAF" w:rsidRDefault="00003DAF" w:rsidP="0033355C">
      <w:pPr>
        <w:spacing w:line="300" w:lineRule="exact"/>
        <w:rPr>
          <w:b/>
          <w:sz w:val="20"/>
          <w:szCs w:val="20"/>
          <w:lang w:eastAsia="en-US"/>
        </w:rPr>
      </w:pPr>
      <w:r w:rsidRPr="00003DAF">
        <w:rPr>
          <w:b/>
          <w:sz w:val="20"/>
          <w:szCs w:val="20"/>
          <w:lang w:eastAsia="en-US"/>
        </w:rPr>
        <w:t>Ausblick für das Geschäftsjahr 2014</w:t>
      </w:r>
    </w:p>
    <w:p w:rsidR="00003DAF" w:rsidRDefault="00003DAF" w:rsidP="0033355C">
      <w:pPr>
        <w:spacing w:line="300" w:lineRule="exact"/>
        <w:rPr>
          <w:sz w:val="20"/>
          <w:szCs w:val="20"/>
          <w:lang w:eastAsia="en-US"/>
        </w:rPr>
      </w:pPr>
    </w:p>
    <w:p w:rsidR="00D40A0E" w:rsidRDefault="00AA19E0" w:rsidP="0033355C">
      <w:pPr>
        <w:spacing w:line="300" w:lineRule="exact"/>
        <w:rPr>
          <w:sz w:val="20"/>
          <w:szCs w:val="20"/>
          <w:lang w:eastAsia="en-US"/>
        </w:rPr>
      </w:pPr>
      <w:r>
        <w:rPr>
          <w:sz w:val="20"/>
          <w:szCs w:val="20"/>
          <w:lang w:eastAsia="en-US"/>
        </w:rPr>
        <w:t xml:space="preserve">Evonik geht bei den weltwirtschaftlichen Rahmenbedingungen </w:t>
      </w:r>
      <w:r w:rsidR="00A26820">
        <w:rPr>
          <w:sz w:val="20"/>
          <w:szCs w:val="20"/>
          <w:lang w:eastAsia="en-US"/>
        </w:rPr>
        <w:t xml:space="preserve">– trotz der etwas schwächer als </w:t>
      </w:r>
      <w:proofErr w:type="gramStart"/>
      <w:r w:rsidR="00A26820">
        <w:rPr>
          <w:sz w:val="20"/>
          <w:szCs w:val="20"/>
          <w:lang w:eastAsia="en-US"/>
        </w:rPr>
        <w:t>erwarteten</w:t>
      </w:r>
      <w:proofErr w:type="gramEnd"/>
      <w:r w:rsidR="00A26820">
        <w:rPr>
          <w:sz w:val="20"/>
          <w:szCs w:val="20"/>
          <w:lang w:eastAsia="en-US"/>
        </w:rPr>
        <w:t xml:space="preserve"> Entwicklung in den ersten sechs Monaten – für das Gesamtjahr 2014 </w:t>
      </w:r>
      <w:r>
        <w:rPr>
          <w:sz w:val="20"/>
          <w:szCs w:val="20"/>
          <w:lang w:eastAsia="en-US"/>
        </w:rPr>
        <w:t xml:space="preserve">weiterhin von einer </w:t>
      </w:r>
      <w:r w:rsidRPr="008A6624">
        <w:rPr>
          <w:sz w:val="20"/>
          <w:szCs w:val="20"/>
          <w:lang w:eastAsia="en-US"/>
        </w:rPr>
        <w:t>leichten</w:t>
      </w:r>
      <w:r>
        <w:rPr>
          <w:sz w:val="20"/>
          <w:szCs w:val="20"/>
          <w:lang w:eastAsia="en-US"/>
        </w:rPr>
        <w:t xml:space="preserve"> Belebung des globalen Wachstums aus. Der schrittweisen Erholung der Weltwirtschaft stehen jedoch zunehmend strukturelle Herausforderungen in den Schwellenländern sowie Unsicherheiten durch weitere politische und militärische Auseinandersetzungen gegenüber. </w:t>
      </w:r>
      <w:r w:rsidR="009B4878">
        <w:rPr>
          <w:sz w:val="20"/>
          <w:szCs w:val="20"/>
          <w:lang w:eastAsia="en-US"/>
        </w:rPr>
        <w:t>Der bereits 2013 beobachtete Rückgang der Erzeugerpreise wird sich im Jahresverlauf 2014 trotz der erwarteten Belebung der Nachfrage nicht in allen Endkundenindustrien umkehren lassen.</w:t>
      </w:r>
    </w:p>
    <w:p w:rsidR="00D40A0E" w:rsidRDefault="00D40A0E" w:rsidP="0033355C">
      <w:pPr>
        <w:spacing w:line="300" w:lineRule="exact"/>
        <w:rPr>
          <w:sz w:val="20"/>
          <w:szCs w:val="20"/>
          <w:lang w:eastAsia="en-US"/>
        </w:rPr>
      </w:pPr>
    </w:p>
    <w:p w:rsidR="00D303D2" w:rsidRDefault="00D40A0E" w:rsidP="0033355C">
      <w:pPr>
        <w:spacing w:line="300" w:lineRule="exact"/>
        <w:rPr>
          <w:sz w:val="20"/>
          <w:szCs w:val="20"/>
          <w:lang w:eastAsia="en-US"/>
        </w:rPr>
      </w:pPr>
      <w:r>
        <w:rPr>
          <w:sz w:val="20"/>
          <w:szCs w:val="20"/>
          <w:lang w:eastAsia="en-US"/>
        </w:rPr>
        <w:t>Insgesamt bestätigt Evonik seinen Ausblick für das Gesamtjahr 2014</w:t>
      </w:r>
      <w:r w:rsidR="00841C5E">
        <w:rPr>
          <w:sz w:val="20"/>
          <w:szCs w:val="20"/>
          <w:lang w:eastAsia="en-US"/>
        </w:rPr>
        <w:t xml:space="preserve"> und präzisiert ihn zugleich</w:t>
      </w:r>
      <w:r w:rsidR="00C85435">
        <w:rPr>
          <w:sz w:val="20"/>
          <w:szCs w:val="20"/>
          <w:lang w:eastAsia="en-US"/>
        </w:rPr>
        <w:t>.</w:t>
      </w:r>
      <w:r>
        <w:rPr>
          <w:sz w:val="20"/>
          <w:szCs w:val="20"/>
          <w:lang w:eastAsia="en-US"/>
        </w:rPr>
        <w:t xml:space="preserve"> </w:t>
      </w:r>
    </w:p>
    <w:p w:rsidR="00D303D2" w:rsidRDefault="00D303D2" w:rsidP="0033355C">
      <w:pPr>
        <w:spacing w:line="300" w:lineRule="exact"/>
        <w:rPr>
          <w:sz w:val="20"/>
          <w:szCs w:val="20"/>
          <w:lang w:eastAsia="en-US"/>
        </w:rPr>
      </w:pPr>
    </w:p>
    <w:p w:rsidR="00D40A0E" w:rsidRDefault="00D40A0E" w:rsidP="0033355C">
      <w:pPr>
        <w:spacing w:line="300" w:lineRule="exact"/>
        <w:rPr>
          <w:sz w:val="20"/>
          <w:szCs w:val="20"/>
          <w:lang w:eastAsia="en-US"/>
        </w:rPr>
      </w:pPr>
      <w:r>
        <w:rPr>
          <w:sz w:val="20"/>
          <w:szCs w:val="20"/>
          <w:lang w:eastAsia="en-US"/>
        </w:rPr>
        <w:t xml:space="preserve">Das Unternehmen rechnet unverändert mit einem leicht höheren </w:t>
      </w:r>
      <w:r w:rsidRPr="00C85435">
        <w:rPr>
          <w:b/>
          <w:sz w:val="20"/>
          <w:szCs w:val="20"/>
          <w:lang w:eastAsia="en-US"/>
        </w:rPr>
        <w:t>Umsatz</w:t>
      </w:r>
      <w:r>
        <w:rPr>
          <w:sz w:val="20"/>
          <w:szCs w:val="20"/>
          <w:lang w:eastAsia="en-US"/>
        </w:rPr>
        <w:t xml:space="preserve"> (2013: 12,7 Milliarden €) und erwartet weiterhin ein bereinigtes </w:t>
      </w:r>
      <w:r w:rsidRPr="00C85435">
        <w:rPr>
          <w:b/>
          <w:sz w:val="20"/>
          <w:szCs w:val="20"/>
          <w:lang w:eastAsia="en-US"/>
        </w:rPr>
        <w:t>EBITDA</w:t>
      </w:r>
      <w:r>
        <w:rPr>
          <w:sz w:val="20"/>
          <w:szCs w:val="20"/>
          <w:lang w:eastAsia="en-US"/>
        </w:rPr>
        <w:t xml:space="preserve"> </w:t>
      </w:r>
      <w:r w:rsidR="00E1760D">
        <w:rPr>
          <w:sz w:val="20"/>
          <w:szCs w:val="20"/>
          <w:lang w:eastAsia="en-US"/>
        </w:rPr>
        <w:t xml:space="preserve">zwischen 1,8 und 2,1 Milliarden € (2013: 2,0 Milliarden €). </w:t>
      </w:r>
    </w:p>
    <w:p w:rsidR="00E1760D" w:rsidRDefault="00E1760D" w:rsidP="0033355C">
      <w:pPr>
        <w:spacing w:line="300" w:lineRule="exact"/>
        <w:rPr>
          <w:sz w:val="20"/>
          <w:szCs w:val="20"/>
          <w:lang w:eastAsia="en-US"/>
        </w:rPr>
      </w:pPr>
    </w:p>
    <w:p w:rsidR="00003DAF" w:rsidRDefault="00E1760D" w:rsidP="0033355C">
      <w:pPr>
        <w:spacing w:line="300" w:lineRule="exact"/>
        <w:rPr>
          <w:sz w:val="20"/>
          <w:szCs w:val="20"/>
          <w:lang w:eastAsia="en-US"/>
        </w:rPr>
      </w:pPr>
      <w:r>
        <w:rPr>
          <w:sz w:val="20"/>
          <w:szCs w:val="20"/>
          <w:lang w:eastAsia="en-US"/>
        </w:rPr>
        <w:t>Die positive Mengenentwicklung sollte sich weiter fortsetzen, wozu auch die ersten bereits umgesetzten Wachstumsinvestitionen beitragen werden. Auf der Preisseite geht das Unternehmen davon aus, das</w:t>
      </w:r>
      <w:r w:rsidR="00B2662A">
        <w:rPr>
          <w:sz w:val="20"/>
          <w:szCs w:val="20"/>
          <w:lang w:eastAsia="en-US"/>
        </w:rPr>
        <w:t>s</w:t>
      </w:r>
      <w:r>
        <w:rPr>
          <w:sz w:val="20"/>
          <w:szCs w:val="20"/>
          <w:lang w:eastAsia="en-US"/>
        </w:rPr>
        <w:t xml:space="preserve"> der bisher erkennbare Stabilisierungstrend anhält. </w:t>
      </w:r>
      <w:r w:rsidR="009B058A">
        <w:rPr>
          <w:sz w:val="20"/>
          <w:szCs w:val="20"/>
          <w:lang w:eastAsia="en-US"/>
        </w:rPr>
        <w:t xml:space="preserve">In einigen Geschäften sind leicht positive Preisentwicklungen erkennbar. Dies gilt jedoch bisher nicht für Aktivitäten im Segment Specialty Materials, </w:t>
      </w:r>
      <w:r w:rsidR="00D60B9A">
        <w:rPr>
          <w:sz w:val="20"/>
          <w:szCs w:val="20"/>
          <w:lang w:eastAsia="en-US"/>
        </w:rPr>
        <w:t xml:space="preserve">in dem </w:t>
      </w:r>
      <w:r w:rsidR="009B058A">
        <w:rPr>
          <w:sz w:val="20"/>
          <w:szCs w:val="20"/>
          <w:lang w:eastAsia="en-US"/>
        </w:rPr>
        <w:t>die Preisentwicklung hinter den ursprünglichen Erwartungen zurück blieb. Sollte</w:t>
      </w:r>
      <w:r w:rsidR="00DA3F59">
        <w:rPr>
          <w:sz w:val="20"/>
          <w:szCs w:val="20"/>
          <w:lang w:eastAsia="en-US"/>
        </w:rPr>
        <w:t>n</w:t>
      </w:r>
      <w:r w:rsidR="009B058A">
        <w:rPr>
          <w:sz w:val="20"/>
          <w:szCs w:val="20"/>
          <w:lang w:eastAsia="en-US"/>
        </w:rPr>
        <w:t xml:space="preserve"> sich diese Entwicklung</w:t>
      </w:r>
      <w:r w:rsidR="00DA3F59">
        <w:rPr>
          <w:sz w:val="20"/>
          <w:szCs w:val="20"/>
          <w:lang w:eastAsia="en-US"/>
        </w:rPr>
        <w:t>en</w:t>
      </w:r>
      <w:r w:rsidR="009B058A">
        <w:rPr>
          <w:sz w:val="20"/>
          <w:szCs w:val="20"/>
          <w:lang w:eastAsia="en-US"/>
        </w:rPr>
        <w:t xml:space="preserve"> im weiteren Jahresverlauf fortsetzen, geht Evonik aus heutiger Sicht davon aus, dass das bereinigte </w:t>
      </w:r>
      <w:r w:rsidR="009B058A" w:rsidRPr="00C85435">
        <w:rPr>
          <w:b/>
          <w:sz w:val="20"/>
          <w:szCs w:val="20"/>
          <w:lang w:eastAsia="en-US"/>
        </w:rPr>
        <w:t>EBITDA</w:t>
      </w:r>
      <w:r w:rsidR="009B058A">
        <w:rPr>
          <w:sz w:val="20"/>
          <w:szCs w:val="20"/>
          <w:lang w:eastAsia="en-US"/>
        </w:rPr>
        <w:t xml:space="preserve"> eher im unteren </w:t>
      </w:r>
      <w:r w:rsidR="00C85435">
        <w:rPr>
          <w:sz w:val="20"/>
          <w:szCs w:val="20"/>
          <w:lang w:eastAsia="en-US"/>
        </w:rPr>
        <w:t xml:space="preserve">als im oberen </w:t>
      </w:r>
      <w:r w:rsidR="009B058A">
        <w:rPr>
          <w:sz w:val="20"/>
          <w:szCs w:val="20"/>
          <w:lang w:eastAsia="en-US"/>
        </w:rPr>
        <w:t>Bereich der Spanne von 1,8 bis 2,1 Milliarden € liegen wird.</w:t>
      </w:r>
    </w:p>
    <w:p w:rsidR="00003DAF" w:rsidRPr="009B6B5E" w:rsidRDefault="00003DAF" w:rsidP="0033355C">
      <w:pPr>
        <w:spacing w:line="300" w:lineRule="exact"/>
        <w:rPr>
          <w:sz w:val="20"/>
          <w:szCs w:val="20"/>
          <w:lang w:eastAsia="en-US"/>
        </w:rPr>
      </w:pPr>
    </w:p>
    <w:p w:rsidR="00A02C86" w:rsidRPr="00B2662A" w:rsidRDefault="00754119" w:rsidP="0033355C">
      <w:pPr>
        <w:spacing w:line="300" w:lineRule="exact"/>
        <w:rPr>
          <w:rFonts w:cs="Lucida Sans Unicode"/>
          <w:bCs/>
          <w:sz w:val="20"/>
          <w:szCs w:val="20"/>
          <w:lang w:eastAsia="en-US"/>
        </w:rPr>
      </w:pPr>
      <w:r w:rsidRPr="00B2662A">
        <w:rPr>
          <w:rFonts w:cs="Lucida Sans Unicode"/>
          <w:bCs/>
          <w:sz w:val="20"/>
          <w:szCs w:val="20"/>
          <w:lang w:eastAsia="en-US"/>
        </w:rPr>
        <w:t xml:space="preserve">Auf der Kostenseite wird das Effizienzsteigerungsprogramm On Track 2.0 weitere Entlastungen bringen. </w:t>
      </w:r>
      <w:r w:rsidR="00B2662A">
        <w:rPr>
          <w:rFonts w:cs="Lucida Sans Unicode"/>
          <w:bCs/>
          <w:sz w:val="20"/>
          <w:szCs w:val="20"/>
          <w:lang w:eastAsia="en-US"/>
        </w:rPr>
        <w:t>Zusätzlich erwartet</w:t>
      </w:r>
      <w:r w:rsidRPr="00B2662A">
        <w:rPr>
          <w:rFonts w:cs="Lucida Sans Unicode"/>
          <w:bCs/>
          <w:sz w:val="20"/>
          <w:szCs w:val="20"/>
          <w:lang w:eastAsia="en-US"/>
        </w:rPr>
        <w:t xml:space="preserve"> </w:t>
      </w:r>
      <w:r w:rsidR="00B2662A">
        <w:rPr>
          <w:rFonts w:cs="Lucida Sans Unicode"/>
          <w:bCs/>
          <w:sz w:val="20"/>
          <w:szCs w:val="20"/>
          <w:lang w:eastAsia="en-US"/>
        </w:rPr>
        <w:t>Evonik</w:t>
      </w:r>
      <w:r w:rsidRPr="00B2662A">
        <w:rPr>
          <w:rFonts w:cs="Lucida Sans Unicode"/>
          <w:bCs/>
          <w:sz w:val="20"/>
          <w:szCs w:val="20"/>
          <w:lang w:eastAsia="en-US"/>
        </w:rPr>
        <w:t xml:space="preserve"> erste positive Effekte aus </w:t>
      </w:r>
      <w:r w:rsidR="00DE5952">
        <w:rPr>
          <w:rFonts w:cs="Lucida Sans Unicode"/>
          <w:bCs/>
          <w:sz w:val="20"/>
          <w:szCs w:val="20"/>
          <w:lang w:eastAsia="en-US"/>
        </w:rPr>
        <w:t>seinem</w:t>
      </w:r>
      <w:r w:rsidRPr="00B2662A">
        <w:rPr>
          <w:rFonts w:cs="Lucida Sans Unicode"/>
          <w:bCs/>
          <w:sz w:val="20"/>
          <w:szCs w:val="20"/>
          <w:lang w:eastAsia="en-US"/>
        </w:rPr>
        <w:t xml:space="preserve"> im Herbst 2013 aufgelegten Programm Administration Excellence zur Optimierung der Verwaltungsstrukturen, während Anlaufkosten der Wachstumsinvestitionen gegenläufig wirken werden. Weitere Belastungen können aus negativen Währungseffekten sowie dem steigenden Rohölpreis resultieren.</w:t>
      </w:r>
    </w:p>
    <w:p w:rsidR="00F86F92" w:rsidRDefault="00F86F92">
      <w:pPr>
        <w:spacing w:line="240" w:lineRule="auto"/>
        <w:ind w:left="0" w:right="0"/>
        <w:rPr>
          <w:bCs/>
          <w:sz w:val="20"/>
          <w:szCs w:val="20"/>
        </w:rPr>
      </w:pPr>
      <w:r>
        <w:rPr>
          <w:bCs/>
          <w:sz w:val="20"/>
          <w:szCs w:val="20"/>
        </w:rPr>
        <w:br w:type="page"/>
      </w:r>
    </w:p>
    <w:p w:rsidR="00A02C86" w:rsidRPr="00B2662A" w:rsidRDefault="00A02C86" w:rsidP="0033355C">
      <w:pPr>
        <w:spacing w:line="300" w:lineRule="exact"/>
        <w:rPr>
          <w:bCs/>
          <w:sz w:val="20"/>
          <w:szCs w:val="20"/>
        </w:rPr>
      </w:pPr>
    </w:p>
    <w:p w:rsidR="00A42FAE" w:rsidRDefault="00A42FAE" w:rsidP="0033355C">
      <w:pPr>
        <w:spacing w:line="300" w:lineRule="exact"/>
        <w:rPr>
          <w:rFonts w:cs="Lucida Sans Unicode"/>
          <w:b/>
          <w:sz w:val="20"/>
          <w:szCs w:val="20"/>
        </w:rPr>
      </w:pPr>
    </w:p>
    <w:p w:rsidR="00665480" w:rsidRDefault="00665480" w:rsidP="00BD0B63">
      <w:pPr>
        <w:spacing w:after="120" w:line="300" w:lineRule="atLeast"/>
        <w:ind w:left="0"/>
        <w:rPr>
          <w:rFonts w:cs="Lucida Sans Unicode"/>
          <w:b/>
          <w:bCs/>
          <w:sz w:val="20"/>
          <w:szCs w:val="20"/>
        </w:rPr>
      </w:pPr>
      <w:r>
        <w:rPr>
          <w:rFonts w:cs="Lucida Sans Unicode"/>
          <w:b/>
          <w:bCs/>
          <w:sz w:val="20"/>
          <w:szCs w:val="20"/>
        </w:rPr>
        <w:t>Evonik-Konzern: Ergebnisrechnung im Überblick</w:t>
      </w:r>
    </w:p>
    <w:tbl>
      <w:tblPr>
        <w:tblW w:w="103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7"/>
        <w:gridCol w:w="863"/>
        <w:gridCol w:w="862"/>
        <w:gridCol w:w="898"/>
        <w:gridCol w:w="863"/>
        <w:gridCol w:w="862"/>
        <w:gridCol w:w="898"/>
      </w:tblGrid>
      <w:tr w:rsidR="00665480" w:rsidTr="0037497A">
        <w:trPr>
          <w:trHeight w:val="510"/>
        </w:trPr>
        <w:tc>
          <w:tcPr>
            <w:tcW w:w="4835" w:type="dxa"/>
            <w:shd w:val="clear" w:color="auto" w:fill="auto"/>
            <w:noWrap/>
            <w:vAlign w:val="center"/>
          </w:tcPr>
          <w:p w:rsidR="00665480" w:rsidRDefault="00665480" w:rsidP="00BD0B63">
            <w:pPr>
              <w:ind w:left="0"/>
              <w:rPr>
                <w:rFonts w:cs="Lucida Sans Unicode"/>
                <w:b/>
                <w:bCs/>
                <w:szCs w:val="20"/>
              </w:rPr>
            </w:pPr>
            <w:r>
              <w:rPr>
                <w:rFonts w:cs="Lucida Sans Unicode"/>
                <w:b/>
                <w:bCs/>
                <w:szCs w:val="20"/>
              </w:rPr>
              <w:t>(in Mio. €)</w:t>
            </w:r>
          </w:p>
        </w:tc>
        <w:tc>
          <w:tcPr>
            <w:tcW w:w="823" w:type="dxa"/>
            <w:shd w:val="clear" w:color="auto" w:fill="CCCCCC"/>
            <w:vAlign w:val="center"/>
          </w:tcPr>
          <w:p w:rsidR="00665480" w:rsidRDefault="00665480" w:rsidP="00BD0B63">
            <w:pPr>
              <w:ind w:left="0"/>
              <w:jc w:val="center"/>
              <w:rPr>
                <w:rFonts w:cs="Lucida Sans Unicode"/>
                <w:b/>
                <w:bCs/>
                <w:szCs w:val="20"/>
              </w:rPr>
            </w:pPr>
            <w:r>
              <w:rPr>
                <w:rFonts w:cs="Lucida Sans Unicode"/>
                <w:b/>
                <w:bCs/>
                <w:szCs w:val="20"/>
              </w:rPr>
              <w:t>Q2 2014</w:t>
            </w:r>
          </w:p>
        </w:tc>
        <w:tc>
          <w:tcPr>
            <w:tcW w:w="822" w:type="dxa"/>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 xml:space="preserve">Q2  </w:t>
            </w:r>
            <w:r>
              <w:rPr>
                <w:rFonts w:cs="Lucida Sans Unicode"/>
                <w:b/>
                <w:bCs/>
                <w:szCs w:val="20"/>
              </w:rPr>
              <w:br/>
              <w:t xml:space="preserve"> 2013</w:t>
            </w:r>
          </w:p>
        </w:tc>
        <w:tc>
          <w:tcPr>
            <w:tcW w:w="822" w:type="dxa"/>
            <w:shd w:val="clear" w:color="auto" w:fill="auto"/>
            <w:vAlign w:val="center"/>
          </w:tcPr>
          <w:p w:rsidR="00665480" w:rsidRDefault="00665480" w:rsidP="00BD0B63">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c>
          <w:tcPr>
            <w:tcW w:w="823" w:type="dxa"/>
            <w:shd w:val="clear" w:color="auto" w:fill="CCCCCC"/>
            <w:vAlign w:val="center"/>
          </w:tcPr>
          <w:p w:rsidR="00665480" w:rsidRDefault="00665480" w:rsidP="00BD0B63">
            <w:pPr>
              <w:ind w:left="0"/>
              <w:jc w:val="center"/>
              <w:rPr>
                <w:rFonts w:cs="Lucida Sans Unicode"/>
                <w:b/>
                <w:bCs/>
                <w:szCs w:val="20"/>
              </w:rPr>
            </w:pPr>
            <w:r>
              <w:rPr>
                <w:rFonts w:cs="Lucida Sans Unicode"/>
                <w:b/>
                <w:bCs/>
                <w:szCs w:val="20"/>
              </w:rPr>
              <w:t>H1</w:t>
            </w:r>
          </w:p>
          <w:p w:rsidR="00665480" w:rsidRDefault="00665480" w:rsidP="00BD0B63">
            <w:pPr>
              <w:ind w:left="0"/>
              <w:jc w:val="center"/>
              <w:rPr>
                <w:rFonts w:cs="Lucida Sans Unicode"/>
                <w:b/>
                <w:bCs/>
                <w:szCs w:val="20"/>
              </w:rPr>
            </w:pPr>
            <w:r>
              <w:rPr>
                <w:rFonts w:cs="Lucida Sans Unicode"/>
                <w:b/>
                <w:bCs/>
                <w:szCs w:val="20"/>
              </w:rPr>
              <w:t>2014</w:t>
            </w:r>
          </w:p>
        </w:tc>
        <w:tc>
          <w:tcPr>
            <w:tcW w:w="822" w:type="dxa"/>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H1</w:t>
            </w:r>
          </w:p>
          <w:p w:rsidR="00665480" w:rsidRDefault="00665480" w:rsidP="00BD0B63">
            <w:pPr>
              <w:ind w:left="0"/>
              <w:jc w:val="center"/>
              <w:rPr>
                <w:rFonts w:cs="Lucida Sans Unicode"/>
                <w:b/>
                <w:bCs/>
                <w:szCs w:val="20"/>
              </w:rPr>
            </w:pPr>
            <w:r>
              <w:rPr>
                <w:rFonts w:cs="Lucida Sans Unicode"/>
                <w:b/>
                <w:bCs/>
                <w:szCs w:val="20"/>
              </w:rPr>
              <w:t>2013</w:t>
            </w:r>
          </w:p>
        </w:tc>
        <w:tc>
          <w:tcPr>
            <w:tcW w:w="822" w:type="dxa"/>
            <w:shd w:val="clear" w:color="auto" w:fill="auto"/>
            <w:vAlign w:val="center"/>
          </w:tcPr>
          <w:p w:rsidR="00665480" w:rsidRDefault="00665480" w:rsidP="00BD0B63">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Umsatz</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3.247</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3.209</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1</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6.448</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6.421</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0</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Bereinigtes EBITDA</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473</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509</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-7</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936</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1.115</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-16</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Bereinigtes EBIT</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322</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364</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-12</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638</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828</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-23</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Bereinigungen</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-51</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-63</w:t>
            </w:r>
          </w:p>
        </w:tc>
        <w:tc>
          <w:tcPr>
            <w:tcW w:w="822" w:type="dxa"/>
            <w:shd w:val="clear" w:color="auto" w:fill="auto"/>
            <w:noWrap/>
            <w:vAlign w:val="bottom"/>
          </w:tcPr>
          <w:p w:rsidR="00665480" w:rsidRDefault="00665480" w:rsidP="00BD0B63">
            <w:pPr>
              <w:ind w:left="0"/>
              <w:rPr>
                <w:rFonts w:cs="Lucida Sans Unicode"/>
                <w:position w:val="0"/>
                <w:szCs w:val="20"/>
              </w:rPr>
            </w:pP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-79</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-93</w:t>
            </w:r>
          </w:p>
        </w:tc>
        <w:tc>
          <w:tcPr>
            <w:tcW w:w="822" w:type="dxa"/>
            <w:shd w:val="clear" w:color="auto" w:fill="auto"/>
            <w:noWrap/>
            <w:vAlign w:val="bottom"/>
          </w:tcPr>
          <w:p w:rsidR="00665480" w:rsidRDefault="00665480" w:rsidP="00BD0B63">
            <w:pPr>
              <w:ind w:left="0"/>
              <w:rPr>
                <w:rFonts w:cs="Lucida Sans Unicode"/>
                <w:position w:val="0"/>
                <w:szCs w:val="20"/>
              </w:rPr>
            </w:pP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Zinsergebnis</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-59</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-68</w:t>
            </w:r>
          </w:p>
        </w:tc>
        <w:tc>
          <w:tcPr>
            <w:tcW w:w="822" w:type="dxa"/>
            <w:shd w:val="clear" w:color="auto" w:fill="auto"/>
            <w:noWrap/>
            <w:vAlign w:val="bottom"/>
          </w:tcPr>
          <w:p w:rsidR="00665480" w:rsidRDefault="00665480" w:rsidP="00BD0B63">
            <w:pPr>
              <w:ind w:left="0"/>
              <w:jc w:val="right"/>
              <w:rPr>
                <w:rFonts w:cs="Lucida Sans Unicode"/>
                <w:position w:val="0"/>
                <w:szCs w:val="20"/>
              </w:rPr>
            </w:pP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-135</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-134</w:t>
            </w:r>
          </w:p>
        </w:tc>
        <w:tc>
          <w:tcPr>
            <w:tcW w:w="822" w:type="dxa"/>
            <w:shd w:val="clear" w:color="auto" w:fill="auto"/>
            <w:noWrap/>
            <w:vAlign w:val="bottom"/>
          </w:tcPr>
          <w:p w:rsidR="00665480" w:rsidRDefault="00665480" w:rsidP="00BD0B63">
            <w:pPr>
              <w:ind w:left="0"/>
              <w:rPr>
                <w:rFonts w:cs="Lucida Sans Unicode"/>
                <w:position w:val="0"/>
                <w:szCs w:val="20"/>
              </w:rPr>
            </w:pPr>
          </w:p>
        </w:tc>
      </w:tr>
      <w:tr w:rsidR="00665480" w:rsidTr="0037497A">
        <w:trPr>
          <w:trHeight w:val="300"/>
        </w:trPr>
        <w:tc>
          <w:tcPr>
            <w:tcW w:w="4835" w:type="dxa"/>
            <w:shd w:val="clear" w:color="auto" w:fill="auto"/>
            <w:noWrap/>
            <w:vAlign w:val="bottom"/>
          </w:tcPr>
          <w:p w:rsidR="00665480" w:rsidRPr="00E83E1D" w:rsidRDefault="00665480" w:rsidP="00BD0B63">
            <w:pPr>
              <w:ind w:left="0"/>
              <w:rPr>
                <w:rFonts w:cs="Lucida Sans Unicode"/>
                <w:bCs/>
                <w:szCs w:val="20"/>
              </w:rPr>
            </w:pPr>
            <w:r w:rsidRPr="00665480">
              <w:rPr>
                <w:rFonts w:cs="Lucida Sans Unicode"/>
                <w:position w:val="0"/>
                <w:szCs w:val="20"/>
              </w:rPr>
              <w:t>Ergebnis vor Ertragsteuern fortgeführter Aktivitäten</w:t>
            </w:r>
          </w:p>
        </w:tc>
        <w:tc>
          <w:tcPr>
            <w:tcW w:w="823" w:type="dxa"/>
            <w:shd w:val="clear" w:color="auto" w:fill="CCCCCC"/>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212</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233</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-9</w:t>
            </w:r>
          </w:p>
        </w:tc>
        <w:tc>
          <w:tcPr>
            <w:tcW w:w="823" w:type="dxa"/>
            <w:shd w:val="clear" w:color="auto" w:fill="CCCCCC"/>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424</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601</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-29</w:t>
            </w:r>
          </w:p>
        </w:tc>
      </w:tr>
      <w:tr w:rsidR="00665480" w:rsidTr="0037497A">
        <w:trPr>
          <w:trHeight w:val="300"/>
        </w:trPr>
        <w:tc>
          <w:tcPr>
            <w:tcW w:w="4835" w:type="dxa"/>
            <w:shd w:val="clear" w:color="auto" w:fill="auto"/>
            <w:noWrap/>
            <w:vAlign w:val="bottom"/>
          </w:tcPr>
          <w:p w:rsidR="00665480" w:rsidRPr="00E83E1D" w:rsidRDefault="00665480" w:rsidP="00BD0B63">
            <w:pPr>
              <w:ind w:left="0"/>
              <w:rPr>
                <w:rFonts w:cs="Lucida Sans Unicode"/>
                <w:position w:val="0"/>
                <w:szCs w:val="20"/>
              </w:rPr>
            </w:pPr>
            <w:r w:rsidRPr="00E83E1D">
              <w:rPr>
                <w:rFonts w:cs="Lucida Sans Unicode"/>
                <w:position w:val="0"/>
                <w:szCs w:val="20"/>
              </w:rPr>
              <w:t>Ertragsteuern</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-70</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-80</w:t>
            </w:r>
          </w:p>
        </w:tc>
        <w:tc>
          <w:tcPr>
            <w:tcW w:w="822" w:type="dxa"/>
            <w:shd w:val="clear" w:color="auto" w:fill="auto"/>
            <w:noWrap/>
            <w:vAlign w:val="bottom"/>
          </w:tcPr>
          <w:p w:rsidR="00665480" w:rsidRDefault="00665480" w:rsidP="00BD0B63">
            <w:pPr>
              <w:ind w:left="0"/>
              <w:jc w:val="right"/>
              <w:rPr>
                <w:rFonts w:cs="Lucida Sans Unicode"/>
                <w:position w:val="0"/>
                <w:szCs w:val="20"/>
              </w:rPr>
            </w:pP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-133</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-165</w:t>
            </w:r>
          </w:p>
        </w:tc>
        <w:tc>
          <w:tcPr>
            <w:tcW w:w="822" w:type="dxa"/>
            <w:shd w:val="clear" w:color="auto" w:fill="auto"/>
            <w:noWrap/>
            <w:vAlign w:val="bottom"/>
          </w:tcPr>
          <w:p w:rsidR="00665480" w:rsidRDefault="00665480" w:rsidP="00BD0B63">
            <w:pPr>
              <w:ind w:left="0"/>
              <w:jc w:val="right"/>
              <w:rPr>
                <w:rFonts w:cs="Lucida Sans Unicode"/>
                <w:position w:val="0"/>
                <w:szCs w:val="20"/>
              </w:rPr>
            </w:pPr>
          </w:p>
        </w:tc>
      </w:tr>
      <w:tr w:rsidR="00665480" w:rsidTr="0037497A">
        <w:trPr>
          <w:trHeight w:val="300"/>
        </w:trPr>
        <w:tc>
          <w:tcPr>
            <w:tcW w:w="4835" w:type="dxa"/>
            <w:shd w:val="clear" w:color="auto" w:fill="auto"/>
            <w:noWrap/>
            <w:vAlign w:val="bottom"/>
          </w:tcPr>
          <w:p w:rsidR="00665480" w:rsidRPr="00E83E1D" w:rsidRDefault="00DA2E4E" w:rsidP="00BD0B63">
            <w:pPr>
              <w:ind w:left="0"/>
              <w:rPr>
                <w:rFonts w:cs="Lucida Sans Unicode"/>
                <w:bCs/>
                <w:szCs w:val="20"/>
              </w:rPr>
            </w:pPr>
            <w:r>
              <w:rPr>
                <w:rFonts w:cs="Lucida Sans Unicode"/>
                <w:position w:val="0"/>
                <w:szCs w:val="20"/>
              </w:rPr>
              <w:t>Ergebnis nach S</w:t>
            </w:r>
            <w:r w:rsidR="00665480" w:rsidRPr="00DA2E4E">
              <w:rPr>
                <w:rFonts w:cs="Lucida Sans Unicode"/>
                <w:position w:val="0"/>
                <w:szCs w:val="20"/>
              </w:rPr>
              <w:t>teuern fortgeführter Aktivitäten</w:t>
            </w:r>
          </w:p>
        </w:tc>
        <w:tc>
          <w:tcPr>
            <w:tcW w:w="823" w:type="dxa"/>
            <w:shd w:val="clear" w:color="auto" w:fill="CCCCCC"/>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142</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153</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-7</w:t>
            </w:r>
          </w:p>
        </w:tc>
        <w:tc>
          <w:tcPr>
            <w:tcW w:w="823" w:type="dxa"/>
            <w:shd w:val="clear" w:color="auto" w:fill="CCCCCC"/>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291</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436</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-33</w:t>
            </w:r>
          </w:p>
        </w:tc>
      </w:tr>
      <w:tr w:rsidR="00665480" w:rsidTr="0037497A">
        <w:trPr>
          <w:trHeight w:val="300"/>
        </w:trPr>
        <w:tc>
          <w:tcPr>
            <w:tcW w:w="4835" w:type="dxa"/>
            <w:shd w:val="clear" w:color="auto" w:fill="auto"/>
            <w:noWrap/>
            <w:vAlign w:val="bottom"/>
          </w:tcPr>
          <w:p w:rsidR="00665480" w:rsidRDefault="00DA2E4E" w:rsidP="00BD0B63">
            <w:pPr>
              <w:ind w:left="0"/>
              <w:rPr>
                <w:rFonts w:cs="Lucida Sans Unicode"/>
                <w:position w:val="0"/>
                <w:szCs w:val="20"/>
              </w:rPr>
            </w:pPr>
            <w:r>
              <w:rPr>
                <w:rFonts w:cs="Lucida Sans Unicode"/>
                <w:position w:val="0"/>
                <w:szCs w:val="20"/>
              </w:rPr>
              <w:t>Ergebnis nach S</w:t>
            </w:r>
            <w:r w:rsidR="00665480">
              <w:rPr>
                <w:rFonts w:cs="Lucida Sans Unicode"/>
                <w:position w:val="0"/>
                <w:szCs w:val="20"/>
              </w:rPr>
              <w:t>teuern nicht fortgeführter Aktivitäten</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35</w:t>
            </w:r>
          </w:p>
        </w:tc>
        <w:tc>
          <w:tcPr>
            <w:tcW w:w="822" w:type="dxa"/>
            <w:shd w:val="clear" w:color="auto" w:fill="auto"/>
            <w:noWrap/>
            <w:vAlign w:val="bottom"/>
          </w:tcPr>
          <w:p w:rsidR="00665480" w:rsidRDefault="00665480" w:rsidP="00BD0B63">
            <w:pPr>
              <w:ind w:left="0"/>
              <w:rPr>
                <w:rFonts w:cs="Lucida Sans Unicode"/>
                <w:position w:val="0"/>
                <w:szCs w:val="20"/>
              </w:rPr>
            </w:pP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21</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42</w:t>
            </w:r>
          </w:p>
        </w:tc>
        <w:tc>
          <w:tcPr>
            <w:tcW w:w="822" w:type="dxa"/>
            <w:shd w:val="clear" w:color="auto" w:fill="auto"/>
            <w:noWrap/>
            <w:vAlign w:val="bottom"/>
          </w:tcPr>
          <w:p w:rsidR="00665480" w:rsidRDefault="00665480" w:rsidP="00BD0B63">
            <w:pPr>
              <w:ind w:left="0"/>
              <w:rPr>
                <w:rFonts w:cs="Lucida Sans Unicode"/>
                <w:position w:val="0"/>
                <w:szCs w:val="20"/>
              </w:rPr>
            </w:pPr>
          </w:p>
        </w:tc>
      </w:tr>
      <w:tr w:rsidR="00665480" w:rsidTr="0037497A">
        <w:trPr>
          <w:trHeight w:val="300"/>
        </w:trPr>
        <w:tc>
          <w:tcPr>
            <w:tcW w:w="4835" w:type="dxa"/>
            <w:shd w:val="clear" w:color="auto" w:fill="auto"/>
            <w:noWrap/>
            <w:vAlign w:val="bottom"/>
          </w:tcPr>
          <w:p w:rsidR="00665480" w:rsidRPr="00E83E1D" w:rsidRDefault="00665480" w:rsidP="00BD0B63">
            <w:pPr>
              <w:ind w:left="0"/>
              <w:rPr>
                <w:rFonts w:cs="Lucida Sans Unicode"/>
                <w:bCs/>
                <w:szCs w:val="20"/>
              </w:rPr>
            </w:pPr>
            <w:r w:rsidRPr="00E83E1D">
              <w:rPr>
                <w:rFonts w:cs="Lucida Sans Unicode"/>
                <w:bCs/>
                <w:position w:val="0"/>
                <w:szCs w:val="20"/>
              </w:rPr>
              <w:t>Ergebnis nach Steuern</w:t>
            </w:r>
          </w:p>
        </w:tc>
        <w:tc>
          <w:tcPr>
            <w:tcW w:w="823" w:type="dxa"/>
            <w:shd w:val="clear" w:color="auto" w:fill="CCCCCC"/>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142</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188</w:t>
            </w:r>
          </w:p>
        </w:tc>
        <w:tc>
          <w:tcPr>
            <w:tcW w:w="822" w:type="dxa"/>
            <w:shd w:val="clear" w:color="auto" w:fill="auto"/>
            <w:noWrap/>
            <w:vAlign w:val="bottom"/>
          </w:tcPr>
          <w:p w:rsidR="00665480" w:rsidRPr="002B19DA" w:rsidRDefault="00F73E17" w:rsidP="00BD0B63">
            <w:pPr>
              <w:ind w:left="0"/>
              <w:jc w:val="right"/>
              <w:rPr>
                <w:rFonts w:cs="Lucida Sans Unicode"/>
                <w:bCs/>
                <w:position w:val="0"/>
                <w:szCs w:val="20"/>
              </w:rPr>
            </w:pPr>
            <w:r>
              <w:rPr>
                <w:rFonts w:cs="Lucida Sans Unicode"/>
                <w:bCs/>
                <w:position w:val="0"/>
                <w:szCs w:val="20"/>
              </w:rPr>
              <w:t>-24</w:t>
            </w:r>
          </w:p>
        </w:tc>
        <w:tc>
          <w:tcPr>
            <w:tcW w:w="823" w:type="dxa"/>
            <w:shd w:val="clear" w:color="auto" w:fill="CCCCCC"/>
            <w:noWrap/>
            <w:vAlign w:val="bottom"/>
          </w:tcPr>
          <w:p w:rsidR="00665480" w:rsidRPr="002B19DA" w:rsidRDefault="00F73E17" w:rsidP="00BD0B63">
            <w:pPr>
              <w:ind w:left="0"/>
              <w:jc w:val="right"/>
              <w:rPr>
                <w:rFonts w:cs="Lucida Sans Unicode"/>
                <w:position w:val="0"/>
                <w:szCs w:val="20"/>
              </w:rPr>
            </w:pPr>
            <w:r>
              <w:rPr>
                <w:rFonts w:cs="Lucida Sans Unicode"/>
                <w:position w:val="0"/>
                <w:szCs w:val="20"/>
              </w:rPr>
              <w:t>312</w:t>
            </w:r>
          </w:p>
        </w:tc>
        <w:tc>
          <w:tcPr>
            <w:tcW w:w="822" w:type="dxa"/>
            <w:shd w:val="clear" w:color="auto" w:fill="auto"/>
            <w:noWrap/>
            <w:vAlign w:val="bottom"/>
          </w:tcPr>
          <w:p w:rsidR="00665480" w:rsidRPr="002B19DA" w:rsidRDefault="00F73E17" w:rsidP="00BD0B63">
            <w:pPr>
              <w:ind w:left="0"/>
              <w:jc w:val="right"/>
              <w:rPr>
                <w:rFonts w:cs="Lucida Sans Unicode"/>
                <w:position w:val="0"/>
                <w:szCs w:val="20"/>
              </w:rPr>
            </w:pPr>
            <w:r>
              <w:rPr>
                <w:rFonts w:cs="Lucida Sans Unicode"/>
                <w:position w:val="0"/>
                <w:szCs w:val="20"/>
              </w:rPr>
              <w:t>478</w:t>
            </w:r>
          </w:p>
        </w:tc>
        <w:tc>
          <w:tcPr>
            <w:tcW w:w="822" w:type="dxa"/>
            <w:shd w:val="clear" w:color="auto" w:fill="auto"/>
            <w:noWrap/>
            <w:vAlign w:val="bottom"/>
          </w:tcPr>
          <w:p w:rsidR="00665480" w:rsidRPr="002B19DA" w:rsidRDefault="00F73E17" w:rsidP="00BD0B63">
            <w:pPr>
              <w:ind w:left="0"/>
              <w:jc w:val="right"/>
              <w:rPr>
                <w:rFonts w:cs="Lucida Sans Unicode"/>
                <w:position w:val="0"/>
                <w:szCs w:val="20"/>
              </w:rPr>
            </w:pPr>
            <w:r>
              <w:rPr>
                <w:rFonts w:cs="Lucida Sans Unicode"/>
                <w:position w:val="0"/>
                <w:szCs w:val="20"/>
              </w:rPr>
              <w:t>-35</w:t>
            </w:r>
          </w:p>
        </w:tc>
      </w:tr>
      <w:tr w:rsidR="00665480" w:rsidTr="0037497A">
        <w:trPr>
          <w:trHeight w:val="255"/>
        </w:trPr>
        <w:tc>
          <w:tcPr>
            <w:tcW w:w="4835" w:type="dxa"/>
            <w:shd w:val="clear" w:color="auto" w:fill="auto"/>
            <w:noWrap/>
            <w:vAlign w:val="bottom"/>
          </w:tcPr>
          <w:p w:rsidR="00665480" w:rsidRDefault="00DA2E4E" w:rsidP="00BD0B63">
            <w:pPr>
              <w:ind w:left="0"/>
              <w:rPr>
                <w:rFonts w:cs="Lucida Sans Unicode"/>
                <w:position w:val="0"/>
                <w:szCs w:val="20"/>
              </w:rPr>
            </w:pPr>
            <w:r>
              <w:rPr>
                <w:rFonts w:cs="Lucida Sans Unicode"/>
                <w:position w:val="0"/>
                <w:szCs w:val="20"/>
              </w:rPr>
              <w:t>Davon Ergebnis anderer Gesellschafter</w:t>
            </w:r>
          </w:p>
        </w:tc>
        <w:tc>
          <w:tcPr>
            <w:tcW w:w="823" w:type="dxa"/>
            <w:shd w:val="clear" w:color="auto" w:fill="CCCCCC"/>
            <w:noWrap/>
            <w:vAlign w:val="bottom"/>
          </w:tcPr>
          <w:p w:rsidR="00665480" w:rsidRDefault="00F73E17" w:rsidP="00BD0B63">
            <w:pPr>
              <w:ind w:left="0"/>
              <w:jc w:val="right"/>
              <w:rPr>
                <w:rFonts w:cs="Lucida Sans Unicode"/>
                <w:position w:val="0"/>
                <w:szCs w:val="20"/>
              </w:rPr>
            </w:pPr>
            <w:r>
              <w:rPr>
                <w:rFonts w:cs="Lucida Sans Unicode"/>
                <w:position w:val="0"/>
                <w:szCs w:val="20"/>
              </w:rPr>
              <w:t>3</w:t>
            </w:r>
          </w:p>
        </w:tc>
        <w:tc>
          <w:tcPr>
            <w:tcW w:w="822" w:type="dxa"/>
            <w:shd w:val="clear" w:color="auto" w:fill="auto"/>
            <w:noWrap/>
            <w:vAlign w:val="bottom"/>
          </w:tcPr>
          <w:p w:rsidR="00665480" w:rsidRDefault="00F73E17" w:rsidP="00BD0B63">
            <w:pPr>
              <w:ind w:left="0"/>
              <w:jc w:val="right"/>
              <w:rPr>
                <w:rFonts w:cs="Lucida Sans Unicode"/>
                <w:position w:val="0"/>
                <w:szCs w:val="20"/>
              </w:rPr>
            </w:pPr>
            <w:r>
              <w:rPr>
                <w:rFonts w:cs="Lucida Sans Unicode"/>
                <w:position w:val="0"/>
                <w:szCs w:val="20"/>
              </w:rPr>
              <w:t>-5</w:t>
            </w:r>
          </w:p>
        </w:tc>
        <w:tc>
          <w:tcPr>
            <w:tcW w:w="822" w:type="dxa"/>
            <w:shd w:val="clear" w:color="auto" w:fill="auto"/>
            <w:noWrap/>
            <w:vAlign w:val="bottom"/>
          </w:tcPr>
          <w:p w:rsidR="00665480" w:rsidRDefault="00665480" w:rsidP="00BD0B63">
            <w:pPr>
              <w:ind w:left="0"/>
              <w:rPr>
                <w:rFonts w:cs="Lucida Sans Unicode"/>
                <w:position w:val="0"/>
                <w:szCs w:val="20"/>
              </w:rPr>
            </w:pPr>
          </w:p>
        </w:tc>
        <w:tc>
          <w:tcPr>
            <w:tcW w:w="823" w:type="dxa"/>
            <w:shd w:val="clear" w:color="auto" w:fill="CCCCCC"/>
            <w:noWrap/>
            <w:vAlign w:val="bottom"/>
          </w:tcPr>
          <w:p w:rsidR="00665480" w:rsidRDefault="00F73E17" w:rsidP="00BD0B63">
            <w:pPr>
              <w:ind w:left="0"/>
              <w:jc w:val="right"/>
              <w:rPr>
                <w:rFonts w:cs="Lucida Sans Unicode"/>
                <w:bCs/>
                <w:position w:val="0"/>
                <w:szCs w:val="20"/>
              </w:rPr>
            </w:pPr>
            <w:r>
              <w:rPr>
                <w:rFonts w:cs="Lucida Sans Unicode"/>
                <w:bCs/>
                <w:position w:val="0"/>
                <w:szCs w:val="20"/>
              </w:rPr>
              <w:t>7</w:t>
            </w:r>
          </w:p>
        </w:tc>
        <w:tc>
          <w:tcPr>
            <w:tcW w:w="822" w:type="dxa"/>
            <w:shd w:val="clear" w:color="auto" w:fill="auto"/>
            <w:noWrap/>
            <w:vAlign w:val="bottom"/>
          </w:tcPr>
          <w:p w:rsidR="00665480" w:rsidRDefault="00F73E17" w:rsidP="00BD0B63">
            <w:pPr>
              <w:ind w:left="0"/>
              <w:jc w:val="right"/>
              <w:rPr>
                <w:rFonts w:cs="Lucida Sans Unicode"/>
                <w:bCs/>
                <w:position w:val="0"/>
                <w:szCs w:val="20"/>
              </w:rPr>
            </w:pPr>
            <w:r>
              <w:rPr>
                <w:rFonts w:cs="Lucida Sans Unicode"/>
                <w:bCs/>
                <w:position w:val="0"/>
                <w:szCs w:val="20"/>
              </w:rPr>
              <w:t>-8</w:t>
            </w:r>
          </w:p>
        </w:tc>
        <w:tc>
          <w:tcPr>
            <w:tcW w:w="822" w:type="dxa"/>
            <w:shd w:val="clear" w:color="auto" w:fill="auto"/>
            <w:noWrap/>
            <w:vAlign w:val="bottom"/>
          </w:tcPr>
          <w:p w:rsidR="00665480" w:rsidRDefault="00665480" w:rsidP="00BD0B63">
            <w:pPr>
              <w:ind w:left="0"/>
              <w:jc w:val="right"/>
              <w:rPr>
                <w:rFonts w:cs="Lucida Sans Unicode"/>
                <w:b/>
                <w:bCs/>
                <w:position w:val="0"/>
                <w:szCs w:val="20"/>
              </w:rPr>
            </w:pPr>
          </w:p>
        </w:tc>
      </w:tr>
      <w:tr w:rsidR="00665480" w:rsidRPr="00DA2E4E" w:rsidTr="0037497A">
        <w:trPr>
          <w:trHeight w:val="255"/>
        </w:trPr>
        <w:tc>
          <w:tcPr>
            <w:tcW w:w="4835" w:type="dxa"/>
            <w:shd w:val="clear" w:color="auto" w:fill="auto"/>
            <w:noWrap/>
            <w:vAlign w:val="bottom"/>
          </w:tcPr>
          <w:p w:rsidR="00665480" w:rsidRPr="00DA2E4E" w:rsidRDefault="00665480" w:rsidP="00BD0B63">
            <w:pPr>
              <w:ind w:left="0"/>
              <w:rPr>
                <w:rFonts w:cs="Lucida Sans Unicode"/>
                <w:b/>
                <w:position w:val="0"/>
                <w:szCs w:val="20"/>
              </w:rPr>
            </w:pPr>
            <w:r w:rsidRPr="00DA2E4E">
              <w:rPr>
                <w:rFonts w:cs="Lucida Sans Unicode"/>
                <w:b/>
                <w:position w:val="0"/>
                <w:szCs w:val="20"/>
              </w:rPr>
              <w:t>Konzernergebnis</w:t>
            </w:r>
          </w:p>
        </w:tc>
        <w:tc>
          <w:tcPr>
            <w:tcW w:w="823" w:type="dxa"/>
            <w:shd w:val="clear" w:color="auto" w:fill="CCCCCC"/>
            <w:noWrap/>
            <w:vAlign w:val="bottom"/>
          </w:tcPr>
          <w:p w:rsidR="00665480" w:rsidRPr="00F73E17" w:rsidRDefault="00F73E17" w:rsidP="00BD0B63">
            <w:pPr>
              <w:ind w:left="0"/>
              <w:jc w:val="right"/>
              <w:rPr>
                <w:rFonts w:cs="Lucida Sans Unicode"/>
                <w:bCs/>
                <w:position w:val="0"/>
                <w:szCs w:val="20"/>
              </w:rPr>
            </w:pPr>
            <w:r w:rsidRPr="00F73E17">
              <w:rPr>
                <w:rFonts w:cs="Lucida Sans Unicode"/>
                <w:bCs/>
                <w:position w:val="0"/>
                <w:szCs w:val="20"/>
              </w:rPr>
              <w:t>139</w:t>
            </w:r>
          </w:p>
        </w:tc>
        <w:tc>
          <w:tcPr>
            <w:tcW w:w="822" w:type="dxa"/>
            <w:shd w:val="clear" w:color="auto" w:fill="auto"/>
            <w:noWrap/>
            <w:vAlign w:val="bottom"/>
          </w:tcPr>
          <w:p w:rsidR="00665480" w:rsidRPr="00F73E17" w:rsidRDefault="00F73E17" w:rsidP="00BD0B63">
            <w:pPr>
              <w:ind w:left="0"/>
              <w:jc w:val="right"/>
              <w:rPr>
                <w:rFonts w:cs="Lucida Sans Unicode"/>
                <w:bCs/>
                <w:position w:val="0"/>
                <w:szCs w:val="20"/>
              </w:rPr>
            </w:pPr>
            <w:r w:rsidRPr="00F73E17">
              <w:rPr>
                <w:rFonts w:cs="Lucida Sans Unicode"/>
                <w:bCs/>
                <w:position w:val="0"/>
                <w:szCs w:val="20"/>
              </w:rPr>
              <w:t>193</w:t>
            </w:r>
          </w:p>
        </w:tc>
        <w:tc>
          <w:tcPr>
            <w:tcW w:w="822" w:type="dxa"/>
            <w:shd w:val="clear" w:color="auto" w:fill="auto"/>
            <w:noWrap/>
            <w:vAlign w:val="bottom"/>
          </w:tcPr>
          <w:p w:rsidR="00665480" w:rsidRPr="00F73E17" w:rsidRDefault="00F73E17" w:rsidP="00BD0B63">
            <w:pPr>
              <w:ind w:left="0"/>
              <w:jc w:val="right"/>
              <w:rPr>
                <w:rFonts w:cs="Lucida Sans Unicode"/>
                <w:bCs/>
                <w:position w:val="0"/>
                <w:szCs w:val="20"/>
              </w:rPr>
            </w:pPr>
            <w:r w:rsidRPr="00F73E17">
              <w:rPr>
                <w:rFonts w:cs="Lucida Sans Unicode"/>
                <w:bCs/>
                <w:position w:val="0"/>
                <w:szCs w:val="20"/>
              </w:rPr>
              <w:t>-28</w:t>
            </w:r>
          </w:p>
        </w:tc>
        <w:tc>
          <w:tcPr>
            <w:tcW w:w="823" w:type="dxa"/>
            <w:shd w:val="clear" w:color="auto" w:fill="CCCCCC"/>
            <w:noWrap/>
            <w:vAlign w:val="bottom"/>
          </w:tcPr>
          <w:p w:rsidR="00665480" w:rsidRPr="00F73E17" w:rsidRDefault="00F73E17" w:rsidP="00BD0B63">
            <w:pPr>
              <w:ind w:left="0"/>
              <w:jc w:val="right"/>
              <w:rPr>
                <w:rFonts w:cs="Lucida Sans Unicode"/>
                <w:bCs/>
                <w:position w:val="0"/>
                <w:szCs w:val="20"/>
              </w:rPr>
            </w:pPr>
            <w:r w:rsidRPr="00F73E17">
              <w:rPr>
                <w:rFonts w:cs="Lucida Sans Unicode"/>
                <w:bCs/>
                <w:position w:val="0"/>
                <w:szCs w:val="20"/>
              </w:rPr>
              <w:t>305</w:t>
            </w:r>
          </w:p>
        </w:tc>
        <w:tc>
          <w:tcPr>
            <w:tcW w:w="822" w:type="dxa"/>
            <w:shd w:val="clear" w:color="auto" w:fill="auto"/>
            <w:noWrap/>
            <w:vAlign w:val="bottom"/>
          </w:tcPr>
          <w:p w:rsidR="00665480" w:rsidRPr="00F73E17" w:rsidRDefault="00F73E17" w:rsidP="00BD0B63">
            <w:pPr>
              <w:ind w:left="0"/>
              <w:jc w:val="right"/>
              <w:rPr>
                <w:rFonts w:cs="Lucida Sans Unicode"/>
                <w:bCs/>
                <w:position w:val="0"/>
                <w:szCs w:val="20"/>
              </w:rPr>
            </w:pPr>
            <w:r w:rsidRPr="00F73E17">
              <w:rPr>
                <w:rFonts w:cs="Lucida Sans Unicode"/>
                <w:bCs/>
                <w:position w:val="0"/>
                <w:szCs w:val="20"/>
              </w:rPr>
              <w:t>486</w:t>
            </w:r>
          </w:p>
        </w:tc>
        <w:tc>
          <w:tcPr>
            <w:tcW w:w="822" w:type="dxa"/>
            <w:shd w:val="clear" w:color="auto" w:fill="auto"/>
            <w:noWrap/>
            <w:vAlign w:val="bottom"/>
          </w:tcPr>
          <w:p w:rsidR="00665480" w:rsidRPr="00F73E17" w:rsidRDefault="00F73E17" w:rsidP="00BD0B63">
            <w:pPr>
              <w:ind w:left="0"/>
              <w:jc w:val="right"/>
              <w:rPr>
                <w:rFonts w:cs="Lucida Sans Unicode"/>
                <w:bCs/>
                <w:position w:val="0"/>
                <w:szCs w:val="20"/>
              </w:rPr>
            </w:pPr>
            <w:r w:rsidRPr="00F73E17">
              <w:rPr>
                <w:rFonts w:cs="Lucida Sans Unicode"/>
                <w:bCs/>
                <w:position w:val="0"/>
                <w:szCs w:val="20"/>
              </w:rPr>
              <w:t>-37</w:t>
            </w:r>
          </w:p>
        </w:tc>
      </w:tr>
      <w:tr w:rsidR="00665480" w:rsidRPr="00DA2E4E" w:rsidTr="0037497A">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665480" w:rsidP="00BD0B63">
            <w:pPr>
              <w:ind w:left="0"/>
              <w:rPr>
                <w:rFonts w:cs="Lucida Sans Unicode"/>
                <w:b/>
                <w:position w:val="0"/>
                <w:szCs w:val="20"/>
              </w:rPr>
            </w:pPr>
            <w:r w:rsidRPr="00DA2E4E">
              <w:rPr>
                <w:rFonts w:cs="Lucida Sans Unicode"/>
                <w:b/>
                <w:position w:val="0"/>
                <w:szCs w:val="20"/>
              </w:rPr>
              <w:t>Bereinigtes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665480" w:rsidRPr="00DA2E4E" w:rsidRDefault="008B30ED" w:rsidP="00BD0B63">
            <w:pPr>
              <w:ind w:left="0"/>
              <w:jc w:val="right"/>
              <w:rPr>
                <w:rFonts w:cs="Lucida Sans Unicode"/>
                <w:b/>
                <w:bCs/>
                <w:position w:val="0"/>
                <w:szCs w:val="20"/>
              </w:rPr>
            </w:pPr>
            <w:r>
              <w:rPr>
                <w:rFonts w:cs="Lucida Sans Unicode"/>
                <w:b/>
                <w:bCs/>
                <w:position w:val="0"/>
                <w:szCs w:val="20"/>
              </w:rPr>
              <w:t>174</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8B30ED" w:rsidP="00BD0B63">
            <w:pPr>
              <w:ind w:left="0"/>
              <w:jc w:val="right"/>
              <w:rPr>
                <w:rFonts w:cs="Lucida Sans Unicode"/>
                <w:b/>
                <w:bCs/>
                <w:position w:val="0"/>
                <w:szCs w:val="20"/>
              </w:rPr>
            </w:pPr>
            <w:r>
              <w:rPr>
                <w:rFonts w:cs="Lucida Sans Unicode"/>
                <w:b/>
                <w:bCs/>
                <w:position w:val="0"/>
                <w:szCs w:val="20"/>
              </w:rPr>
              <w:t>194</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8B30ED" w:rsidP="00BD0B63">
            <w:pPr>
              <w:ind w:left="0"/>
              <w:jc w:val="right"/>
              <w:rPr>
                <w:rFonts w:cs="Lucida Sans Unicode"/>
                <w:b/>
                <w:bCs/>
                <w:position w:val="0"/>
                <w:szCs w:val="20"/>
              </w:rPr>
            </w:pPr>
            <w:r>
              <w:rPr>
                <w:rFonts w:cs="Lucida Sans Unicode"/>
                <w:b/>
                <w:bCs/>
                <w:position w:val="0"/>
                <w:szCs w:val="20"/>
              </w:rPr>
              <w:t>-10</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665480" w:rsidRPr="00DA2E4E" w:rsidRDefault="008B30ED" w:rsidP="00BD0B63">
            <w:pPr>
              <w:ind w:left="0"/>
              <w:jc w:val="right"/>
              <w:rPr>
                <w:rFonts w:cs="Lucida Sans Unicode"/>
                <w:b/>
                <w:bCs/>
                <w:position w:val="0"/>
                <w:szCs w:val="20"/>
              </w:rPr>
            </w:pPr>
            <w:r>
              <w:rPr>
                <w:rFonts w:cs="Lucida Sans Unicode"/>
                <w:b/>
                <w:bCs/>
                <w:position w:val="0"/>
                <w:szCs w:val="20"/>
              </w:rPr>
              <w:t>361</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8B30ED" w:rsidP="00BD0B63">
            <w:pPr>
              <w:ind w:left="0"/>
              <w:jc w:val="right"/>
              <w:rPr>
                <w:rFonts w:cs="Lucida Sans Unicode"/>
                <w:b/>
                <w:bCs/>
                <w:position w:val="0"/>
                <w:szCs w:val="20"/>
              </w:rPr>
            </w:pPr>
            <w:r>
              <w:rPr>
                <w:rFonts w:cs="Lucida Sans Unicode"/>
                <w:b/>
                <w:bCs/>
                <w:position w:val="0"/>
                <w:szCs w:val="20"/>
              </w:rPr>
              <w:t>499</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8B30ED" w:rsidP="00BD0B63">
            <w:pPr>
              <w:ind w:left="0"/>
              <w:jc w:val="right"/>
              <w:rPr>
                <w:rFonts w:cs="Lucida Sans Unicode"/>
                <w:b/>
                <w:bCs/>
                <w:position w:val="0"/>
                <w:szCs w:val="20"/>
              </w:rPr>
            </w:pPr>
            <w:r>
              <w:rPr>
                <w:rFonts w:cs="Lucida Sans Unicode"/>
                <w:b/>
                <w:bCs/>
                <w:position w:val="0"/>
                <w:szCs w:val="20"/>
              </w:rPr>
              <w:t>-28</w:t>
            </w:r>
          </w:p>
        </w:tc>
      </w:tr>
    </w:tbl>
    <w:p w:rsidR="00665480" w:rsidRPr="0028315E" w:rsidRDefault="00665480" w:rsidP="00BD0B63">
      <w:pPr>
        <w:spacing w:line="300" w:lineRule="exact"/>
        <w:ind w:left="0"/>
        <w:outlineLvl w:val="0"/>
        <w:rPr>
          <w:rFonts w:cs="Lucida Sans Unicode"/>
          <w:bCs/>
          <w:sz w:val="16"/>
          <w:szCs w:val="16"/>
        </w:rPr>
      </w:pPr>
      <w:r w:rsidRPr="0028315E">
        <w:rPr>
          <w:rFonts w:cs="Lucida Sans Unicode"/>
          <w:bCs/>
          <w:sz w:val="16"/>
          <w:szCs w:val="16"/>
        </w:rPr>
        <w:t>Vorjahreszahlen angepasst</w:t>
      </w:r>
    </w:p>
    <w:p w:rsidR="00665480" w:rsidRDefault="00665480" w:rsidP="00BD0B63">
      <w:pPr>
        <w:spacing w:line="300" w:lineRule="exact"/>
        <w:ind w:left="0"/>
        <w:outlineLvl w:val="0"/>
        <w:rPr>
          <w:rFonts w:cs="Lucida Sans Unicode"/>
          <w:b/>
          <w:bCs/>
          <w:sz w:val="20"/>
          <w:szCs w:val="20"/>
        </w:rPr>
      </w:pPr>
    </w:p>
    <w:p w:rsidR="0033355C" w:rsidRDefault="0033355C" w:rsidP="0033355C">
      <w:pPr>
        <w:spacing w:after="120" w:line="300" w:lineRule="atLeast"/>
        <w:ind w:left="0"/>
        <w:rPr>
          <w:rFonts w:cs="Lucida Sans Unicode"/>
          <w:b/>
          <w:bCs/>
          <w:sz w:val="20"/>
          <w:szCs w:val="20"/>
        </w:rPr>
      </w:pPr>
    </w:p>
    <w:p w:rsidR="00665480" w:rsidRDefault="00665480" w:rsidP="0033355C">
      <w:pPr>
        <w:spacing w:after="120" w:line="300" w:lineRule="atLeast"/>
        <w:ind w:left="0"/>
        <w:rPr>
          <w:rFonts w:cs="Lucida Sans Unicode"/>
          <w:b/>
          <w:bCs/>
          <w:sz w:val="20"/>
          <w:szCs w:val="20"/>
        </w:rPr>
      </w:pPr>
      <w:r>
        <w:rPr>
          <w:rFonts w:cs="Lucida Sans Unicode"/>
          <w:b/>
          <w:bCs/>
          <w:sz w:val="20"/>
          <w:szCs w:val="20"/>
        </w:rPr>
        <w:t>Entwicklung in den Segmenten</w:t>
      </w:r>
    </w:p>
    <w:tbl>
      <w:tblPr>
        <w:tblW w:w="9884" w:type="dxa"/>
        <w:tblInd w:w="5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665480" w:rsidTr="00665480">
        <w:trPr>
          <w:trHeight w:val="271"/>
        </w:trPr>
        <w:tc>
          <w:tcPr>
            <w:tcW w:w="3193" w:type="dxa"/>
            <w:tcBorders>
              <w:top w:val="single" w:sz="4" w:space="0" w:color="auto"/>
              <w:left w:val="single" w:sz="4" w:space="0" w:color="auto"/>
              <w:bottom w:val="nil"/>
              <w:right w:val="single" w:sz="4" w:space="0" w:color="auto"/>
            </w:tcBorders>
            <w:shd w:val="clear" w:color="auto" w:fill="auto"/>
            <w:noWrap/>
            <w:vAlign w:val="center"/>
          </w:tcPr>
          <w:p w:rsidR="00665480" w:rsidRDefault="00665480" w:rsidP="00BD0B63">
            <w:pPr>
              <w:ind w:left="0"/>
              <w:jc w:val="right"/>
              <w:rPr>
                <w:rFonts w:cs="Lucida Sans Unicode"/>
                <w:b/>
                <w:bCs/>
                <w:szCs w:val="20"/>
              </w:rPr>
            </w:pPr>
            <w:r>
              <w:rPr>
                <w:rFonts w:cs="Lucida Sans Unicode"/>
                <w:b/>
                <w:bCs/>
                <w:szCs w:val="20"/>
              </w:rPr>
              <w:t> </w:t>
            </w:r>
          </w:p>
        </w:tc>
        <w:tc>
          <w:tcPr>
            <w:tcW w:w="3375" w:type="dxa"/>
            <w:gridSpan w:val="3"/>
            <w:tcBorders>
              <w:top w:val="single" w:sz="4" w:space="0" w:color="auto"/>
              <w:left w:val="nil"/>
              <w:bottom w:val="single" w:sz="4" w:space="0" w:color="auto"/>
              <w:right w:val="single" w:sz="4" w:space="0" w:color="000000"/>
            </w:tcBorders>
            <w:shd w:val="clear" w:color="auto" w:fill="auto"/>
            <w:noWrap/>
            <w:vAlign w:val="bottom"/>
          </w:tcPr>
          <w:p w:rsidR="00665480" w:rsidRDefault="00665480" w:rsidP="00BD0B63">
            <w:pPr>
              <w:ind w:left="0"/>
              <w:jc w:val="center"/>
              <w:rPr>
                <w:rFonts w:cs="Lucida Sans Unicode"/>
                <w:b/>
                <w:bCs/>
                <w:szCs w:val="20"/>
              </w:rPr>
            </w:pPr>
            <w:r>
              <w:rPr>
                <w:rFonts w:cs="Lucida Sans Unicode"/>
                <w:b/>
                <w:bCs/>
                <w:szCs w:val="20"/>
              </w:rPr>
              <w:t xml:space="preserve">Umsatz 2. Quartal </w:t>
            </w:r>
          </w:p>
        </w:tc>
        <w:tc>
          <w:tcPr>
            <w:tcW w:w="3316" w:type="dxa"/>
            <w:gridSpan w:val="4"/>
            <w:tcBorders>
              <w:top w:val="single" w:sz="4" w:space="0" w:color="auto"/>
              <w:left w:val="nil"/>
              <w:bottom w:val="single" w:sz="4" w:space="0" w:color="auto"/>
              <w:right w:val="single" w:sz="4" w:space="0" w:color="auto"/>
            </w:tcBorders>
            <w:shd w:val="clear" w:color="auto" w:fill="auto"/>
            <w:noWrap/>
            <w:vAlign w:val="bottom"/>
          </w:tcPr>
          <w:p w:rsidR="00665480" w:rsidRDefault="00665480" w:rsidP="00BD0B63">
            <w:pPr>
              <w:ind w:left="0"/>
              <w:jc w:val="center"/>
              <w:rPr>
                <w:rFonts w:cs="Lucida Sans Unicode"/>
                <w:b/>
                <w:bCs/>
                <w:szCs w:val="20"/>
              </w:rPr>
            </w:pPr>
            <w:r>
              <w:rPr>
                <w:rFonts w:cs="Lucida Sans Unicode"/>
                <w:b/>
                <w:bCs/>
                <w:szCs w:val="20"/>
              </w:rPr>
              <w:t>Bereinigtes EBITDA 2. Quartal</w:t>
            </w:r>
          </w:p>
        </w:tc>
      </w:tr>
      <w:tr w:rsidR="00665480" w:rsidTr="00665480">
        <w:trPr>
          <w:trHeight w:val="255"/>
        </w:trPr>
        <w:tc>
          <w:tcPr>
            <w:tcW w:w="3193" w:type="dxa"/>
            <w:tcBorders>
              <w:top w:val="nil"/>
              <w:left w:val="single" w:sz="4" w:space="0" w:color="auto"/>
              <w:bottom w:val="nil"/>
              <w:right w:val="single" w:sz="4" w:space="0" w:color="auto"/>
            </w:tcBorders>
            <w:shd w:val="clear" w:color="auto" w:fill="auto"/>
            <w:noWrap/>
            <w:vAlign w:val="center"/>
          </w:tcPr>
          <w:p w:rsidR="00665480" w:rsidRDefault="00665480" w:rsidP="00BD0B63">
            <w:pPr>
              <w:ind w:left="0"/>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665480" w:rsidRDefault="00665480" w:rsidP="00BD0B63">
            <w:pPr>
              <w:ind w:left="0"/>
              <w:jc w:val="center"/>
              <w:rPr>
                <w:rFonts w:cs="Lucida Sans Unicode"/>
                <w:b/>
                <w:bCs/>
                <w:szCs w:val="20"/>
              </w:rPr>
            </w:pPr>
            <w:r>
              <w:rPr>
                <w:rFonts w:cs="Lucida Sans Unicode"/>
                <w:b/>
                <w:bCs/>
                <w:szCs w:val="20"/>
              </w:rPr>
              <w:t>Q2/201</w:t>
            </w:r>
            <w:r w:rsidR="00DA2E4E">
              <w:rPr>
                <w:rFonts w:cs="Lucida Sans Unicode"/>
                <w:b/>
                <w:bCs/>
                <w:szCs w:val="20"/>
              </w:rPr>
              <w:t>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szCs w:val="20"/>
              </w:rPr>
            </w:pPr>
            <w:r>
              <w:rPr>
                <w:rFonts w:cs="Lucida Sans Unicode"/>
                <w:b/>
                <w:bCs/>
                <w:szCs w:val="20"/>
              </w:rPr>
              <w:t>Q2/201</w:t>
            </w:r>
            <w:r w:rsidR="00DA2E4E">
              <w:rPr>
                <w:rFonts w:cs="Lucida Sans Unicode"/>
                <w:b/>
                <w:bCs/>
                <w:szCs w:val="20"/>
              </w:rPr>
              <w:t>3</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c>
          <w:tcPr>
            <w:tcW w:w="1114" w:type="dxa"/>
            <w:tcBorders>
              <w:top w:val="single" w:sz="4" w:space="0" w:color="auto"/>
              <w:left w:val="nil"/>
              <w:right w:val="single" w:sz="4" w:space="0" w:color="auto"/>
            </w:tcBorders>
            <w:shd w:val="clear" w:color="auto" w:fill="CCCCCC"/>
            <w:noWrap/>
            <w:vAlign w:val="bottom"/>
          </w:tcPr>
          <w:p w:rsidR="00665480" w:rsidRDefault="00665480" w:rsidP="00BD0B63">
            <w:pPr>
              <w:ind w:left="0"/>
              <w:jc w:val="center"/>
              <w:rPr>
                <w:rFonts w:cs="Lucida Sans Unicode"/>
                <w:b/>
                <w:bCs/>
                <w:szCs w:val="20"/>
              </w:rPr>
            </w:pPr>
            <w:r>
              <w:rPr>
                <w:rFonts w:cs="Lucida Sans Unicode"/>
                <w:b/>
                <w:bCs/>
                <w:szCs w:val="20"/>
              </w:rPr>
              <w:t>Q2/201</w:t>
            </w:r>
            <w:r w:rsidR="00DA2E4E">
              <w:rPr>
                <w:rFonts w:cs="Lucida Sans Unicode"/>
                <w:b/>
                <w:bCs/>
                <w:szCs w:val="20"/>
              </w:rPr>
              <w:t>4</w:t>
            </w:r>
          </w:p>
        </w:tc>
        <w:tc>
          <w:tcPr>
            <w:tcW w:w="1125" w:type="dxa"/>
            <w:gridSpan w:val="2"/>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szCs w:val="20"/>
              </w:rPr>
            </w:pPr>
            <w:r>
              <w:rPr>
                <w:rFonts w:cs="Lucida Sans Unicode"/>
                <w:b/>
                <w:bCs/>
                <w:szCs w:val="20"/>
              </w:rPr>
              <w:t>Q2/201</w:t>
            </w:r>
            <w:r w:rsidR="00DA2E4E">
              <w:rPr>
                <w:rFonts w:cs="Lucida Sans Unicode"/>
                <w:b/>
                <w:bCs/>
                <w:szCs w:val="20"/>
              </w:rPr>
              <w:t>3</w:t>
            </w:r>
          </w:p>
        </w:tc>
        <w:tc>
          <w:tcPr>
            <w:tcW w:w="1077"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b/>
                <w:bCs/>
                <w:szCs w:val="20"/>
              </w:rPr>
            </w:pPr>
            <w:r>
              <w:rPr>
                <w:rFonts w:cs="Lucida Sans Unicode"/>
                <w:b/>
                <w:bCs/>
                <w:szCs w:val="20"/>
              </w:rPr>
              <w:t> </w:t>
            </w:r>
          </w:p>
        </w:tc>
        <w:tc>
          <w:tcPr>
            <w:tcW w:w="1125"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in %</w:t>
            </w:r>
          </w:p>
        </w:tc>
        <w:tc>
          <w:tcPr>
            <w:tcW w:w="1114"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125" w:type="dxa"/>
            <w:gridSpan w:val="2"/>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077"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in %</w:t>
            </w:r>
          </w:p>
        </w:tc>
      </w:tr>
      <w:tr w:rsidR="00665480" w:rsidTr="00665480">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1.003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1.049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188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227</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-17</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830</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801</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191</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174</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10</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1.174</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1.129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AB1DB9" w:rsidP="00BD0B63">
            <w:pPr>
              <w:ind w:left="0"/>
              <w:jc w:val="right"/>
              <w:rPr>
                <w:rFonts w:cs="Lucida Sans Unicode"/>
                <w:position w:val="0"/>
                <w:szCs w:val="20"/>
              </w:rPr>
            </w:pPr>
            <w:r>
              <w:rPr>
                <w:rFonts w:cs="Lucida Sans Unicode"/>
                <w:position w:val="0"/>
                <w:szCs w:val="20"/>
              </w:rPr>
              <w:t>112</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AB1DB9" w:rsidP="00BD0B63">
            <w:pPr>
              <w:ind w:left="0"/>
              <w:jc w:val="right"/>
              <w:rPr>
                <w:rFonts w:cs="Lucida Sans Unicode"/>
                <w:position w:val="0"/>
                <w:szCs w:val="20"/>
              </w:rPr>
            </w:pPr>
            <w:r>
              <w:rPr>
                <w:rFonts w:cs="Lucida Sans Unicode"/>
                <w:position w:val="0"/>
                <w:szCs w:val="20"/>
              </w:rPr>
              <w:t>128</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AB1DB9" w:rsidP="006D08E6">
            <w:pPr>
              <w:ind w:left="0"/>
              <w:jc w:val="right"/>
              <w:rPr>
                <w:rFonts w:cs="Lucida Sans Unicode"/>
                <w:position w:val="0"/>
                <w:szCs w:val="20"/>
              </w:rPr>
            </w:pPr>
            <w:r>
              <w:rPr>
                <w:rFonts w:cs="Lucida Sans Unicode"/>
                <w:position w:val="0"/>
                <w:szCs w:val="20"/>
              </w:rPr>
              <w:t>-1</w:t>
            </w:r>
            <w:r w:rsidR="006D08E6">
              <w:rPr>
                <w:rFonts w:cs="Lucida Sans Unicode"/>
                <w:position w:val="0"/>
                <w:szCs w:val="20"/>
              </w:rPr>
              <w:t>3</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AB1DB9" w:rsidP="00BD0B63">
            <w:pPr>
              <w:ind w:left="0"/>
              <w:jc w:val="right"/>
              <w:rPr>
                <w:rFonts w:cs="Lucida Sans Unicode"/>
                <w:position w:val="0"/>
                <w:szCs w:val="20"/>
              </w:rPr>
            </w:pPr>
            <w:r>
              <w:rPr>
                <w:rFonts w:cs="Lucida Sans Unicode"/>
                <w:position w:val="0"/>
                <w:szCs w:val="20"/>
              </w:rPr>
              <w:t>220</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AB1DB9" w:rsidP="00BD0B63">
            <w:pPr>
              <w:ind w:left="0"/>
              <w:jc w:val="right"/>
              <w:rPr>
                <w:rFonts w:cs="Lucida Sans Unicode"/>
                <w:position w:val="0"/>
                <w:szCs w:val="20"/>
              </w:rPr>
            </w:pPr>
            <w:r>
              <w:rPr>
                <w:rFonts w:cs="Lucida Sans Unicode"/>
                <w:position w:val="0"/>
                <w:szCs w:val="20"/>
              </w:rPr>
              <w:t>210</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AB1DB9" w:rsidP="00BD0B63">
            <w:pPr>
              <w:ind w:left="0"/>
              <w:jc w:val="right"/>
              <w:rPr>
                <w:rFonts w:cs="Lucida Sans Unicode"/>
                <w:position w:val="0"/>
                <w:szCs w:val="20"/>
              </w:rPr>
            </w:pPr>
            <w:r>
              <w:rPr>
                <w:rFonts w:cs="Lucida Sans Unicode"/>
                <w:position w:val="0"/>
                <w:szCs w:val="20"/>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AB1DB9" w:rsidP="00BD0B63">
            <w:pPr>
              <w:ind w:left="0"/>
              <w:jc w:val="right"/>
              <w:rPr>
                <w:rFonts w:cs="Lucida Sans Unicode"/>
                <w:position w:val="0"/>
                <w:szCs w:val="20"/>
              </w:rPr>
            </w:pPr>
            <w:r>
              <w:rPr>
                <w:rFonts w:cs="Lucida Sans Unicode"/>
                <w:position w:val="0"/>
                <w:szCs w:val="20"/>
              </w:rPr>
              <w:t>54</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AB1DB9" w:rsidP="00BD0B63">
            <w:pPr>
              <w:ind w:left="0"/>
              <w:jc w:val="right"/>
              <w:rPr>
                <w:rFonts w:cs="Lucida Sans Unicode"/>
                <w:position w:val="0"/>
                <w:szCs w:val="20"/>
              </w:rPr>
            </w:pPr>
            <w:r>
              <w:rPr>
                <w:rFonts w:cs="Lucida Sans Unicode"/>
                <w:position w:val="0"/>
                <w:szCs w:val="20"/>
              </w:rPr>
              <w:t>53</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6D08E6" w:rsidP="00BD0B63">
            <w:pPr>
              <w:ind w:left="0"/>
              <w:jc w:val="right"/>
              <w:rPr>
                <w:rFonts w:cs="Lucida Sans Unicode"/>
                <w:position w:val="0"/>
                <w:szCs w:val="20"/>
              </w:rPr>
            </w:pPr>
            <w:r>
              <w:rPr>
                <w:rFonts w:cs="Lucida Sans Unicode"/>
                <w:position w:val="0"/>
                <w:szCs w:val="20"/>
              </w:rPr>
              <w:t>2</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Pr="00A03972" w:rsidRDefault="00523F91" w:rsidP="00BD0B63">
            <w:pPr>
              <w:ind w:left="0"/>
              <w:jc w:val="right"/>
              <w:rPr>
                <w:rFonts w:cs="Lucida Sans Unicode"/>
                <w:position w:val="0"/>
                <w:szCs w:val="20"/>
              </w:rPr>
            </w:pPr>
            <w:r>
              <w:rPr>
                <w:rFonts w:cs="Lucida Sans Unicode"/>
                <w:position w:val="0"/>
                <w:szCs w:val="20"/>
              </w:rPr>
              <w:t>20</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523F91" w:rsidP="00BD0B63">
            <w:pPr>
              <w:ind w:left="0"/>
              <w:jc w:val="right"/>
              <w:rPr>
                <w:rFonts w:cs="Lucida Sans Unicode"/>
                <w:position w:val="0"/>
                <w:szCs w:val="20"/>
              </w:rPr>
            </w:pPr>
            <w:r>
              <w:rPr>
                <w:rFonts w:cs="Lucida Sans Unicode"/>
                <w:position w:val="0"/>
                <w:szCs w:val="20"/>
              </w:rPr>
              <w:t>20</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523F91" w:rsidP="00BD0B63">
            <w:pPr>
              <w:ind w:left="0"/>
              <w:jc w:val="right"/>
              <w:rPr>
                <w:rFonts w:cs="Lucida Sans Unicode"/>
                <w:position w:val="0"/>
                <w:szCs w:val="20"/>
              </w:rPr>
            </w:pPr>
            <w:r>
              <w:rPr>
                <w:rFonts w:cs="Lucida Sans Unicode"/>
                <w:position w:val="0"/>
                <w:szCs w:val="20"/>
              </w:rP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523F91" w:rsidP="00BD0B63">
            <w:pPr>
              <w:ind w:left="0"/>
              <w:jc w:val="right"/>
              <w:rPr>
                <w:rFonts w:cs="Lucida Sans Unicode"/>
                <w:position w:val="0"/>
                <w:szCs w:val="20"/>
              </w:rPr>
            </w:pPr>
            <w:r>
              <w:rPr>
                <w:rFonts w:cs="Lucida Sans Unicode"/>
                <w:position w:val="0"/>
                <w:szCs w:val="20"/>
              </w:rPr>
              <w:t>-72</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523F91" w:rsidP="00523F91">
            <w:pPr>
              <w:ind w:left="0"/>
              <w:jc w:val="right"/>
              <w:rPr>
                <w:rFonts w:cs="Lucida Sans Unicode"/>
                <w:position w:val="0"/>
                <w:szCs w:val="20"/>
              </w:rPr>
            </w:pPr>
            <w:r>
              <w:rPr>
                <w:rFonts w:cs="Lucida Sans Unicode"/>
                <w:position w:val="0"/>
                <w:szCs w:val="20"/>
              </w:rPr>
              <w:t>-73</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523F91" w:rsidP="00BD0B63">
            <w:pPr>
              <w:ind w:left="0"/>
              <w:jc w:val="right"/>
              <w:rPr>
                <w:rFonts w:cs="Lucida Sans Unicode"/>
                <w:position w:val="0"/>
                <w:szCs w:val="20"/>
              </w:rPr>
            </w:pPr>
            <w:r>
              <w:rPr>
                <w:rFonts w:cs="Lucida Sans Unicode"/>
                <w:position w:val="0"/>
                <w:szCs w:val="20"/>
              </w:rPr>
              <w:t>1</w:t>
            </w:r>
          </w:p>
        </w:tc>
      </w:tr>
      <w:tr w:rsidR="00665480" w:rsidRPr="00DA2E4E" w:rsidTr="00665480">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DA2E4E" w:rsidRDefault="00665480" w:rsidP="00BD0B63">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3.247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3.209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473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509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-7</w:t>
            </w:r>
          </w:p>
        </w:tc>
      </w:tr>
      <w:tr w:rsidR="00665480" w:rsidTr="00665480">
        <w:trPr>
          <w:trHeight w:val="255"/>
        </w:trPr>
        <w:tc>
          <w:tcPr>
            <w:tcW w:w="3193" w:type="dxa"/>
            <w:tcBorders>
              <w:top w:val="single" w:sz="4" w:space="0" w:color="auto"/>
              <w:left w:val="single" w:sz="4" w:space="0" w:color="auto"/>
              <w:bottom w:val="nil"/>
              <w:right w:val="single" w:sz="4" w:space="0" w:color="auto"/>
            </w:tcBorders>
            <w:shd w:val="clear" w:color="auto" w:fill="auto"/>
            <w:noWrap/>
            <w:vAlign w:val="center"/>
          </w:tcPr>
          <w:p w:rsidR="00665480" w:rsidRDefault="00665480" w:rsidP="00BD0B63">
            <w:pPr>
              <w:ind w:left="0"/>
              <w:jc w:val="right"/>
              <w:rPr>
                <w:rFonts w:cs="Lucida Sans Unicode"/>
                <w:b/>
                <w:bCs/>
                <w:position w:val="0"/>
                <w:szCs w:val="20"/>
              </w:rPr>
            </w:pPr>
            <w:r>
              <w:rPr>
                <w:rFonts w:cs="Lucida Sans Unicode"/>
                <w:b/>
                <w:bCs/>
                <w:position w:val="0"/>
                <w:szCs w:val="20"/>
              </w:rPr>
              <w:t> </w:t>
            </w:r>
          </w:p>
        </w:tc>
        <w:tc>
          <w:tcPr>
            <w:tcW w:w="3375" w:type="dxa"/>
            <w:gridSpan w:val="3"/>
            <w:tcBorders>
              <w:top w:val="single" w:sz="4" w:space="0" w:color="auto"/>
              <w:left w:val="nil"/>
              <w:bottom w:val="single" w:sz="4" w:space="0" w:color="auto"/>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r>
              <w:rPr>
                <w:rFonts w:cs="Lucida Sans Unicode"/>
                <w:b/>
                <w:bCs/>
                <w:position w:val="0"/>
                <w:szCs w:val="20"/>
              </w:rPr>
              <w:t>Umsatz 1. Halbjahr</w:t>
            </w:r>
          </w:p>
        </w:tc>
        <w:tc>
          <w:tcPr>
            <w:tcW w:w="3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r>
              <w:rPr>
                <w:rFonts w:cs="Lucida Sans Unicode"/>
                <w:b/>
                <w:bCs/>
                <w:position w:val="0"/>
                <w:szCs w:val="20"/>
              </w:rPr>
              <w:t>Bereinigtes EBITDA 1. Halbjahr</w:t>
            </w:r>
          </w:p>
        </w:tc>
      </w:tr>
      <w:tr w:rsidR="00665480" w:rsidTr="00665480">
        <w:trPr>
          <w:trHeight w:val="255"/>
        </w:trPr>
        <w:tc>
          <w:tcPr>
            <w:tcW w:w="3193" w:type="dxa"/>
            <w:tcBorders>
              <w:top w:val="nil"/>
              <w:left w:val="single" w:sz="4" w:space="0" w:color="auto"/>
              <w:bottom w:val="nil"/>
              <w:right w:val="single" w:sz="4" w:space="0" w:color="auto"/>
            </w:tcBorders>
            <w:shd w:val="clear" w:color="auto" w:fill="auto"/>
            <w:noWrap/>
            <w:vAlign w:val="center"/>
          </w:tcPr>
          <w:p w:rsidR="00665480" w:rsidRDefault="00665480" w:rsidP="00BD0B63">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665480" w:rsidRDefault="00665480" w:rsidP="00BD0B63">
            <w:pPr>
              <w:ind w:left="0"/>
              <w:jc w:val="center"/>
              <w:rPr>
                <w:rFonts w:cs="Lucida Sans Unicode"/>
                <w:b/>
                <w:bCs/>
                <w:position w:val="0"/>
                <w:szCs w:val="20"/>
              </w:rPr>
            </w:pPr>
            <w:r>
              <w:rPr>
                <w:rFonts w:cs="Lucida Sans Unicode"/>
                <w:b/>
                <w:bCs/>
                <w:position w:val="0"/>
                <w:szCs w:val="20"/>
              </w:rPr>
              <w:t>H1 201</w:t>
            </w:r>
            <w:r w:rsidR="00DA2E4E">
              <w:rPr>
                <w:rFonts w:cs="Lucida Sans Unicode"/>
                <w:b/>
                <w:bCs/>
                <w:position w:val="0"/>
                <w:szCs w:val="20"/>
              </w:rPr>
              <w:t>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r>
              <w:rPr>
                <w:rFonts w:cs="Lucida Sans Unicode"/>
                <w:b/>
                <w:bCs/>
                <w:position w:val="0"/>
                <w:szCs w:val="20"/>
              </w:rPr>
              <w:t>H1 201</w:t>
            </w:r>
            <w:r w:rsidR="00DA2E4E">
              <w:rPr>
                <w:rFonts w:cs="Lucida Sans Unicode"/>
                <w:b/>
                <w:bCs/>
                <w:position w:val="0"/>
                <w:szCs w:val="20"/>
              </w:rPr>
              <w:t>3</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c>
          <w:tcPr>
            <w:tcW w:w="1114" w:type="dxa"/>
            <w:tcBorders>
              <w:top w:val="single" w:sz="4" w:space="0" w:color="auto"/>
              <w:left w:val="nil"/>
              <w:right w:val="single" w:sz="4" w:space="0" w:color="auto"/>
            </w:tcBorders>
            <w:shd w:val="clear" w:color="auto" w:fill="CCCCCC"/>
            <w:noWrap/>
            <w:vAlign w:val="bottom"/>
          </w:tcPr>
          <w:p w:rsidR="00665480" w:rsidRDefault="00665480" w:rsidP="00BD0B63">
            <w:pPr>
              <w:ind w:left="0"/>
              <w:jc w:val="center"/>
              <w:rPr>
                <w:rFonts w:cs="Lucida Sans Unicode"/>
                <w:b/>
                <w:bCs/>
                <w:position w:val="0"/>
                <w:szCs w:val="20"/>
              </w:rPr>
            </w:pPr>
            <w:r>
              <w:rPr>
                <w:rFonts w:cs="Lucida Sans Unicode"/>
                <w:b/>
                <w:bCs/>
                <w:position w:val="0"/>
                <w:szCs w:val="20"/>
              </w:rPr>
              <w:t>H1 201</w:t>
            </w:r>
            <w:r w:rsidR="00DA2E4E">
              <w:rPr>
                <w:rFonts w:cs="Lucida Sans Unicode"/>
                <w:b/>
                <w:bCs/>
                <w:position w:val="0"/>
                <w:szCs w:val="20"/>
              </w:rPr>
              <w:t>4</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r>
              <w:rPr>
                <w:rFonts w:cs="Lucida Sans Unicode"/>
                <w:b/>
                <w:bCs/>
                <w:position w:val="0"/>
                <w:szCs w:val="20"/>
              </w:rPr>
              <w:t>H1 201</w:t>
            </w:r>
            <w:r w:rsidR="00DA2E4E">
              <w:rPr>
                <w:rFonts w:cs="Lucida Sans Unicode"/>
                <w:b/>
                <w:bCs/>
                <w:position w:val="0"/>
                <w:szCs w:val="20"/>
              </w:rPr>
              <w:t>3</w:t>
            </w:r>
          </w:p>
        </w:tc>
        <w:tc>
          <w:tcPr>
            <w:tcW w:w="1122" w:type="dxa"/>
            <w:gridSpan w:val="2"/>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b/>
                <w:bCs/>
                <w:position w:val="0"/>
                <w:szCs w:val="20"/>
              </w:rPr>
            </w:pPr>
            <w:r>
              <w:rPr>
                <w:rFonts w:cs="Lucida Sans Unicode"/>
                <w:b/>
                <w:bCs/>
                <w:position w:val="0"/>
                <w:szCs w:val="20"/>
              </w:rPr>
              <w:t> </w:t>
            </w:r>
          </w:p>
        </w:tc>
        <w:tc>
          <w:tcPr>
            <w:tcW w:w="1125"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in %</w:t>
            </w:r>
          </w:p>
        </w:tc>
        <w:tc>
          <w:tcPr>
            <w:tcW w:w="1114"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080"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in %</w:t>
            </w:r>
          </w:p>
        </w:tc>
      </w:tr>
      <w:tr w:rsidR="00665480"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1.981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2.076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376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508</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-26</w:t>
            </w:r>
          </w:p>
        </w:tc>
      </w:tr>
      <w:tr w:rsidR="00665480"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1.635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1.572</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380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346</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10</w:t>
            </w:r>
          </w:p>
        </w:tc>
      </w:tr>
      <w:tr w:rsidR="00665480"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B30ED" w:rsidP="00BD0B63">
            <w:pPr>
              <w:ind w:left="0"/>
              <w:jc w:val="right"/>
              <w:rPr>
                <w:rFonts w:cs="Lucida Sans Unicode"/>
                <w:position w:val="0"/>
                <w:szCs w:val="20"/>
              </w:rPr>
            </w:pPr>
            <w:r>
              <w:rPr>
                <w:rFonts w:cs="Lucida Sans Unicode"/>
                <w:position w:val="0"/>
                <w:szCs w:val="20"/>
              </w:rPr>
              <w:t>2.350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B30ED" w:rsidP="00BD0B63">
            <w:pPr>
              <w:ind w:left="0"/>
              <w:jc w:val="right"/>
              <w:rPr>
                <w:rFonts w:cs="Lucida Sans Unicode"/>
                <w:position w:val="0"/>
                <w:szCs w:val="20"/>
              </w:rPr>
            </w:pPr>
            <w:r>
              <w:rPr>
                <w:rFonts w:cs="Lucida Sans Unicode"/>
                <w:position w:val="0"/>
                <w:szCs w:val="20"/>
              </w:rPr>
              <w:t>2.299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B30ED" w:rsidP="00BD0B63">
            <w:pPr>
              <w:ind w:left="0"/>
              <w:jc w:val="right"/>
              <w:rPr>
                <w:rFonts w:cs="Lucida Sans Unicode"/>
                <w:position w:val="0"/>
                <w:szCs w:val="20"/>
              </w:rPr>
            </w:pPr>
            <w:r>
              <w:rPr>
                <w:rFonts w:cs="Lucida Sans Unicode"/>
                <w:position w:val="0"/>
                <w:szCs w:val="20"/>
              </w:rP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AB1DB9" w:rsidP="00BD0B63">
            <w:pPr>
              <w:ind w:left="0"/>
              <w:jc w:val="right"/>
              <w:rPr>
                <w:rFonts w:cs="Lucida Sans Unicode"/>
                <w:position w:val="0"/>
                <w:szCs w:val="20"/>
              </w:rPr>
            </w:pPr>
            <w:r>
              <w:rPr>
                <w:rFonts w:cs="Lucida Sans Unicode"/>
                <w:position w:val="0"/>
                <w:szCs w:val="20"/>
              </w:rPr>
              <w:t>224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AB1DB9" w:rsidP="00BD0B63">
            <w:pPr>
              <w:ind w:left="0"/>
              <w:jc w:val="right"/>
              <w:rPr>
                <w:rFonts w:cs="Lucida Sans Unicode"/>
                <w:position w:val="0"/>
                <w:szCs w:val="20"/>
              </w:rPr>
            </w:pPr>
            <w:r>
              <w:rPr>
                <w:rFonts w:cs="Lucida Sans Unicode"/>
                <w:position w:val="0"/>
                <w:szCs w:val="20"/>
              </w:rPr>
              <w:t>310</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AB1DB9" w:rsidP="00BD0B63">
            <w:pPr>
              <w:ind w:left="0"/>
              <w:jc w:val="right"/>
              <w:rPr>
                <w:rFonts w:cs="Lucida Sans Unicode"/>
                <w:position w:val="0"/>
                <w:szCs w:val="20"/>
              </w:rPr>
            </w:pPr>
            <w:r>
              <w:rPr>
                <w:rFonts w:cs="Lucida Sans Unicode"/>
                <w:position w:val="0"/>
                <w:szCs w:val="20"/>
              </w:rPr>
              <w:t>-28</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AB1DB9" w:rsidP="00BD0B63">
            <w:pPr>
              <w:ind w:left="0"/>
              <w:jc w:val="right"/>
              <w:rPr>
                <w:rFonts w:cs="Lucida Sans Unicode"/>
                <w:position w:val="0"/>
                <w:szCs w:val="20"/>
              </w:rPr>
            </w:pPr>
            <w:r>
              <w:rPr>
                <w:rFonts w:cs="Lucida Sans Unicode"/>
                <w:position w:val="0"/>
                <w:szCs w:val="20"/>
              </w:rPr>
              <w:t>449</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AB1DB9" w:rsidP="00BD0B63">
            <w:pPr>
              <w:ind w:left="0"/>
              <w:jc w:val="right"/>
              <w:rPr>
                <w:rFonts w:cs="Lucida Sans Unicode"/>
                <w:position w:val="0"/>
                <w:szCs w:val="20"/>
              </w:rPr>
            </w:pPr>
            <w:r>
              <w:rPr>
                <w:rFonts w:cs="Lucida Sans Unicode"/>
                <w:position w:val="0"/>
                <w:szCs w:val="20"/>
              </w:rPr>
              <w:t>437</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AB1DB9" w:rsidP="00BD0B63">
            <w:pPr>
              <w:ind w:left="0"/>
              <w:jc w:val="right"/>
              <w:rPr>
                <w:rFonts w:cs="Lucida Sans Unicode"/>
                <w:position w:val="0"/>
                <w:szCs w:val="20"/>
              </w:rPr>
            </w:pPr>
            <w:r>
              <w:rPr>
                <w:rFonts w:cs="Lucida Sans Unicode"/>
                <w:position w:val="0"/>
                <w:szCs w:val="20"/>
              </w:rP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AB1DB9" w:rsidP="00BD0B63">
            <w:pPr>
              <w:ind w:left="0"/>
              <w:jc w:val="right"/>
              <w:rPr>
                <w:rFonts w:cs="Lucida Sans Unicode"/>
                <w:position w:val="0"/>
                <w:szCs w:val="20"/>
              </w:rPr>
            </w:pPr>
            <w:r>
              <w:rPr>
                <w:rFonts w:cs="Lucida Sans Unicode"/>
                <w:position w:val="0"/>
                <w:szCs w:val="20"/>
              </w:rPr>
              <w:t>105</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665480" w:rsidRDefault="00AB1DB9" w:rsidP="00BD0B63">
            <w:pPr>
              <w:ind w:left="0"/>
              <w:jc w:val="right"/>
              <w:rPr>
                <w:rFonts w:cs="Lucida Sans Unicode"/>
                <w:position w:val="0"/>
                <w:szCs w:val="20"/>
              </w:rPr>
            </w:pPr>
            <w:r>
              <w:rPr>
                <w:rFonts w:cs="Lucida Sans Unicode"/>
                <w:position w:val="0"/>
                <w:szCs w:val="20"/>
              </w:rPr>
              <w:t>107</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AB1DB9" w:rsidP="00BD0B63">
            <w:pPr>
              <w:ind w:left="0"/>
              <w:jc w:val="right"/>
              <w:rPr>
                <w:rFonts w:cs="Lucida Sans Unicode"/>
                <w:position w:val="0"/>
                <w:szCs w:val="20"/>
              </w:rPr>
            </w:pPr>
            <w:r>
              <w:rPr>
                <w:rFonts w:cs="Lucida Sans Unicode"/>
                <w:position w:val="0"/>
                <w:szCs w:val="20"/>
              </w:rPr>
              <w:t>-2</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523F91" w:rsidP="00BD0B63">
            <w:pPr>
              <w:ind w:left="0"/>
              <w:jc w:val="right"/>
              <w:rPr>
                <w:rFonts w:cs="Lucida Sans Unicode"/>
                <w:position w:val="0"/>
                <w:szCs w:val="20"/>
              </w:rPr>
            </w:pPr>
            <w:r>
              <w:rPr>
                <w:rFonts w:cs="Lucida Sans Unicode"/>
                <w:position w:val="0"/>
                <w:szCs w:val="20"/>
              </w:rPr>
              <w:t>33</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523F91" w:rsidP="00BD0B63">
            <w:pPr>
              <w:ind w:left="0"/>
              <w:jc w:val="right"/>
              <w:rPr>
                <w:rFonts w:cs="Lucida Sans Unicode"/>
                <w:position w:val="0"/>
                <w:szCs w:val="20"/>
              </w:rPr>
            </w:pPr>
            <w:r>
              <w:rPr>
                <w:rFonts w:cs="Lucida Sans Unicode"/>
                <w:position w:val="0"/>
                <w:szCs w:val="20"/>
              </w:rPr>
              <w:t>37</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523F91" w:rsidP="00BD0B63">
            <w:pPr>
              <w:ind w:left="0"/>
              <w:jc w:val="right"/>
              <w:rPr>
                <w:rFonts w:cs="Lucida Sans Unicode"/>
                <w:position w:val="0"/>
                <w:szCs w:val="20"/>
              </w:rPr>
            </w:pPr>
            <w:r>
              <w:rPr>
                <w:rFonts w:cs="Lucida Sans Unicode"/>
                <w:position w:val="0"/>
                <w:szCs w:val="20"/>
              </w:rPr>
              <w:t>-11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523F91" w:rsidP="00BD0B63">
            <w:pPr>
              <w:ind w:left="0"/>
              <w:jc w:val="right"/>
              <w:rPr>
                <w:rFonts w:cs="Lucida Sans Unicode"/>
                <w:position w:val="0"/>
                <w:szCs w:val="20"/>
              </w:rPr>
            </w:pPr>
            <w:r>
              <w:rPr>
                <w:rFonts w:cs="Lucida Sans Unicode"/>
                <w:position w:val="0"/>
                <w:szCs w:val="20"/>
              </w:rPr>
              <w:t>-149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665480" w:rsidRDefault="00523F91" w:rsidP="00BD0B63">
            <w:pPr>
              <w:ind w:left="0"/>
              <w:jc w:val="right"/>
              <w:rPr>
                <w:rFonts w:cs="Lucida Sans Unicode"/>
                <w:position w:val="0"/>
                <w:szCs w:val="20"/>
              </w:rPr>
            </w:pPr>
            <w:r>
              <w:rPr>
                <w:rFonts w:cs="Lucida Sans Unicode"/>
                <w:position w:val="0"/>
                <w:szCs w:val="20"/>
              </w:rPr>
              <w:t>-156</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523F91" w:rsidP="00BD0B63">
            <w:pPr>
              <w:ind w:left="0"/>
              <w:jc w:val="right"/>
              <w:rPr>
                <w:rFonts w:cs="Lucida Sans Unicode"/>
                <w:position w:val="0"/>
                <w:szCs w:val="20"/>
              </w:rPr>
            </w:pPr>
            <w:r>
              <w:rPr>
                <w:rFonts w:cs="Lucida Sans Unicode"/>
                <w:position w:val="0"/>
                <w:szCs w:val="20"/>
              </w:rPr>
              <w:t>4</w:t>
            </w:r>
          </w:p>
        </w:tc>
      </w:tr>
      <w:tr w:rsidR="00665480" w:rsidRPr="00DA2E4E"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DA2E4E" w:rsidRDefault="00665480" w:rsidP="00BD0B63">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6.448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6.421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936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1.115</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AB1DB9" w:rsidP="00BD0B63">
            <w:pPr>
              <w:ind w:left="0"/>
              <w:jc w:val="right"/>
              <w:rPr>
                <w:rFonts w:cs="Lucida Sans Unicode"/>
                <w:bCs/>
                <w:position w:val="0"/>
                <w:szCs w:val="20"/>
              </w:rPr>
            </w:pPr>
            <w:r w:rsidRPr="00AB1DB9">
              <w:rPr>
                <w:rFonts w:cs="Lucida Sans Unicode"/>
                <w:bCs/>
                <w:position w:val="0"/>
                <w:szCs w:val="20"/>
              </w:rPr>
              <w:t>-16</w:t>
            </w:r>
          </w:p>
        </w:tc>
      </w:tr>
    </w:tbl>
    <w:p w:rsidR="00665480" w:rsidRPr="00A03972" w:rsidRDefault="00665480" w:rsidP="00BD0B63">
      <w:pPr>
        <w:spacing w:line="240" w:lineRule="auto"/>
        <w:ind w:left="0" w:right="0"/>
        <w:rPr>
          <w:bCs/>
          <w:sz w:val="16"/>
          <w:szCs w:val="16"/>
        </w:rPr>
      </w:pPr>
      <w:r>
        <w:rPr>
          <w:bCs/>
          <w:sz w:val="16"/>
          <w:szCs w:val="16"/>
        </w:rPr>
        <w:t>Vorjahreszahlen angepasst</w:t>
      </w:r>
    </w:p>
    <w:p w:rsidR="00665480" w:rsidRPr="00A03972" w:rsidRDefault="00665480" w:rsidP="00BD0B63">
      <w:pPr>
        <w:spacing w:line="240" w:lineRule="auto"/>
        <w:ind w:left="0" w:right="0"/>
        <w:rPr>
          <w:bCs/>
          <w:sz w:val="16"/>
          <w:szCs w:val="16"/>
        </w:rPr>
      </w:pPr>
    </w:p>
    <w:p w:rsidR="002641D9" w:rsidRDefault="002641D9" w:rsidP="00BE5DBC">
      <w:pPr>
        <w:spacing w:after="120"/>
        <w:rPr>
          <w:b/>
          <w:bCs/>
        </w:rPr>
      </w:pPr>
    </w:p>
    <w:p w:rsidR="00A02C86" w:rsidRPr="00D941D1" w:rsidRDefault="00A02C86" w:rsidP="00BD0B63">
      <w:pPr>
        <w:spacing w:after="120"/>
        <w:rPr>
          <w:b/>
          <w:bCs/>
        </w:rPr>
      </w:pPr>
      <w:r w:rsidRPr="00D941D1">
        <w:rPr>
          <w:b/>
          <w:bCs/>
        </w:rPr>
        <w:t>Mitarbeiter nach Segmenten</w:t>
      </w: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A02C86" w:rsidRPr="00BE5DBC" w:rsidTr="00617B2D">
        <w:tc>
          <w:tcPr>
            <w:tcW w:w="4122" w:type="dxa"/>
            <w:shd w:val="clear" w:color="auto" w:fill="auto"/>
          </w:tcPr>
          <w:p w:rsidR="00A02C86" w:rsidRPr="00B13E9A" w:rsidRDefault="00A02C86" w:rsidP="00BD0B63">
            <w:pPr>
              <w:ind w:left="0"/>
              <w:rPr>
                <w:bCs/>
              </w:rPr>
            </w:pPr>
          </w:p>
        </w:tc>
        <w:tc>
          <w:tcPr>
            <w:tcW w:w="2172" w:type="dxa"/>
            <w:shd w:val="clear" w:color="auto" w:fill="auto"/>
          </w:tcPr>
          <w:p w:rsidR="00A02C86" w:rsidRPr="00BE5DBC" w:rsidRDefault="00DA2E4E" w:rsidP="00BD0B63">
            <w:pPr>
              <w:ind w:left="0"/>
              <w:jc w:val="center"/>
              <w:rPr>
                <w:b/>
                <w:bCs/>
              </w:rPr>
            </w:pPr>
            <w:r>
              <w:rPr>
                <w:b/>
                <w:bCs/>
              </w:rPr>
              <w:t>30.06.2014</w:t>
            </w:r>
          </w:p>
        </w:tc>
        <w:tc>
          <w:tcPr>
            <w:tcW w:w="2173" w:type="dxa"/>
            <w:shd w:val="clear" w:color="auto" w:fill="auto"/>
          </w:tcPr>
          <w:p w:rsidR="00A02C86" w:rsidRPr="00BE5DBC" w:rsidRDefault="00A02C86" w:rsidP="00BD0B63">
            <w:pPr>
              <w:ind w:left="0"/>
              <w:jc w:val="center"/>
              <w:rPr>
                <w:b/>
                <w:bCs/>
              </w:rPr>
            </w:pPr>
            <w:r w:rsidRPr="00BE5DBC">
              <w:rPr>
                <w:b/>
                <w:bCs/>
              </w:rPr>
              <w:t>31.12.201</w:t>
            </w:r>
            <w:r w:rsidR="00AF2A30">
              <w:rPr>
                <w:b/>
                <w:bCs/>
              </w:rPr>
              <w:t>3</w:t>
            </w:r>
          </w:p>
        </w:tc>
      </w:tr>
      <w:tr w:rsidR="00A02C86" w:rsidRPr="00A14C8B" w:rsidTr="00617B2D">
        <w:tc>
          <w:tcPr>
            <w:tcW w:w="4122" w:type="dxa"/>
            <w:shd w:val="clear" w:color="auto" w:fill="auto"/>
          </w:tcPr>
          <w:p w:rsidR="00A02C86" w:rsidRPr="00B13E9A" w:rsidRDefault="00A02C86" w:rsidP="00BD0B63">
            <w:pPr>
              <w:ind w:left="0"/>
              <w:rPr>
                <w:bCs/>
              </w:rPr>
            </w:pPr>
            <w:r w:rsidRPr="00B13E9A">
              <w:rPr>
                <w:bCs/>
              </w:rPr>
              <w:t>Consumer, Health &amp; Nutrition</w:t>
            </w:r>
          </w:p>
        </w:tc>
        <w:tc>
          <w:tcPr>
            <w:tcW w:w="2172" w:type="dxa"/>
            <w:shd w:val="clear" w:color="auto" w:fill="auto"/>
          </w:tcPr>
          <w:p w:rsidR="00A02C86" w:rsidRPr="00A14C8B" w:rsidRDefault="00BF7B5D" w:rsidP="00BD0B63">
            <w:pPr>
              <w:ind w:left="0"/>
              <w:jc w:val="right"/>
              <w:rPr>
                <w:bCs/>
                <w:lang w:val="en-US"/>
              </w:rPr>
            </w:pPr>
            <w:r>
              <w:rPr>
                <w:bCs/>
                <w:lang w:val="en-US"/>
              </w:rPr>
              <w:t>7.059</w:t>
            </w:r>
          </w:p>
        </w:tc>
        <w:tc>
          <w:tcPr>
            <w:tcW w:w="2173" w:type="dxa"/>
            <w:shd w:val="clear" w:color="auto" w:fill="auto"/>
          </w:tcPr>
          <w:p w:rsidR="00A02C86" w:rsidRPr="00A14C8B" w:rsidRDefault="00A14C8B" w:rsidP="00BD0B63">
            <w:pPr>
              <w:ind w:left="0"/>
              <w:jc w:val="right"/>
              <w:rPr>
                <w:bCs/>
                <w:lang w:val="en-US"/>
              </w:rPr>
            </w:pPr>
            <w:r>
              <w:rPr>
                <w:bCs/>
                <w:lang w:val="en-US"/>
              </w:rPr>
              <w:t>7.150</w:t>
            </w:r>
          </w:p>
        </w:tc>
      </w:tr>
      <w:tr w:rsidR="00A02C86" w:rsidRPr="00A14C8B" w:rsidTr="00617B2D">
        <w:tc>
          <w:tcPr>
            <w:tcW w:w="4122" w:type="dxa"/>
            <w:shd w:val="clear" w:color="auto" w:fill="auto"/>
          </w:tcPr>
          <w:p w:rsidR="00A02C86" w:rsidRPr="00A14C8B" w:rsidRDefault="00A02C86" w:rsidP="00BD0B63">
            <w:pPr>
              <w:ind w:left="0"/>
              <w:rPr>
                <w:bCs/>
                <w:lang w:val="en-US"/>
              </w:rPr>
            </w:pPr>
            <w:r w:rsidRPr="00A14C8B">
              <w:rPr>
                <w:bCs/>
                <w:lang w:val="en-US"/>
              </w:rPr>
              <w:t>Resource Efficiency</w:t>
            </w:r>
          </w:p>
        </w:tc>
        <w:tc>
          <w:tcPr>
            <w:tcW w:w="2172" w:type="dxa"/>
            <w:shd w:val="clear" w:color="auto" w:fill="auto"/>
          </w:tcPr>
          <w:p w:rsidR="00A02C86" w:rsidRPr="00A14C8B" w:rsidRDefault="00BF7B5D" w:rsidP="00BD0B63">
            <w:pPr>
              <w:ind w:left="0"/>
              <w:jc w:val="right"/>
              <w:rPr>
                <w:bCs/>
                <w:lang w:val="en-US"/>
              </w:rPr>
            </w:pPr>
            <w:r>
              <w:rPr>
                <w:bCs/>
                <w:lang w:val="en-US"/>
              </w:rPr>
              <w:t>5.984</w:t>
            </w:r>
          </w:p>
        </w:tc>
        <w:tc>
          <w:tcPr>
            <w:tcW w:w="2173" w:type="dxa"/>
            <w:shd w:val="clear" w:color="auto" w:fill="auto"/>
          </w:tcPr>
          <w:p w:rsidR="00A02C86" w:rsidRPr="00A14C8B" w:rsidRDefault="00A14C8B" w:rsidP="00BD0B63">
            <w:pPr>
              <w:ind w:left="0"/>
              <w:jc w:val="right"/>
              <w:rPr>
                <w:bCs/>
                <w:lang w:val="en-US"/>
              </w:rPr>
            </w:pPr>
            <w:r>
              <w:rPr>
                <w:bCs/>
                <w:lang w:val="en-US"/>
              </w:rPr>
              <w:t>5.854</w:t>
            </w:r>
          </w:p>
        </w:tc>
      </w:tr>
      <w:tr w:rsidR="00A02C86" w:rsidRPr="00A14C8B" w:rsidTr="00617B2D">
        <w:tc>
          <w:tcPr>
            <w:tcW w:w="4122" w:type="dxa"/>
            <w:shd w:val="clear" w:color="auto" w:fill="auto"/>
          </w:tcPr>
          <w:p w:rsidR="00A02C86" w:rsidRPr="00A14C8B" w:rsidRDefault="00A02C86" w:rsidP="00BD0B63">
            <w:pPr>
              <w:ind w:left="0"/>
              <w:rPr>
                <w:bCs/>
                <w:lang w:val="en-US"/>
              </w:rPr>
            </w:pPr>
            <w:r w:rsidRPr="00A14C8B">
              <w:rPr>
                <w:bCs/>
                <w:lang w:val="en-US"/>
              </w:rPr>
              <w:t>Specialty Materials</w:t>
            </w:r>
          </w:p>
        </w:tc>
        <w:tc>
          <w:tcPr>
            <w:tcW w:w="2172" w:type="dxa"/>
            <w:shd w:val="clear" w:color="auto" w:fill="auto"/>
          </w:tcPr>
          <w:p w:rsidR="00A02C86" w:rsidRPr="00A14C8B" w:rsidRDefault="00BF7B5D" w:rsidP="00BD0B63">
            <w:pPr>
              <w:ind w:left="0"/>
              <w:jc w:val="right"/>
              <w:rPr>
                <w:bCs/>
                <w:lang w:val="en-US"/>
              </w:rPr>
            </w:pPr>
            <w:r>
              <w:rPr>
                <w:bCs/>
                <w:lang w:val="en-US"/>
              </w:rPr>
              <w:t>6.333</w:t>
            </w:r>
          </w:p>
        </w:tc>
        <w:tc>
          <w:tcPr>
            <w:tcW w:w="2173" w:type="dxa"/>
            <w:shd w:val="clear" w:color="auto" w:fill="auto"/>
          </w:tcPr>
          <w:p w:rsidR="00A02C86" w:rsidRPr="00A14C8B" w:rsidRDefault="00A02C86" w:rsidP="00BD0B63">
            <w:pPr>
              <w:ind w:left="0"/>
              <w:jc w:val="right"/>
              <w:rPr>
                <w:bCs/>
                <w:lang w:val="en-US"/>
              </w:rPr>
            </w:pPr>
            <w:r w:rsidRPr="00A14C8B">
              <w:rPr>
                <w:bCs/>
                <w:lang w:val="en-US"/>
              </w:rPr>
              <w:t>6.</w:t>
            </w:r>
            <w:r w:rsidR="00A14C8B">
              <w:rPr>
                <w:bCs/>
                <w:lang w:val="en-US"/>
              </w:rPr>
              <w:t>268</w:t>
            </w:r>
          </w:p>
        </w:tc>
      </w:tr>
      <w:tr w:rsidR="00A02C86" w:rsidRPr="00A14C8B" w:rsidTr="00617B2D">
        <w:tc>
          <w:tcPr>
            <w:tcW w:w="4122" w:type="dxa"/>
            <w:shd w:val="clear" w:color="auto" w:fill="auto"/>
          </w:tcPr>
          <w:p w:rsidR="00A02C86" w:rsidRPr="00A14C8B" w:rsidRDefault="00A02C86" w:rsidP="00BD0B63">
            <w:pPr>
              <w:ind w:left="0"/>
              <w:rPr>
                <w:bCs/>
                <w:lang w:val="en-US"/>
              </w:rPr>
            </w:pPr>
            <w:r w:rsidRPr="00A14C8B">
              <w:rPr>
                <w:bCs/>
                <w:lang w:val="en-US"/>
              </w:rPr>
              <w:t>Services</w:t>
            </w:r>
          </w:p>
        </w:tc>
        <w:tc>
          <w:tcPr>
            <w:tcW w:w="2172" w:type="dxa"/>
            <w:shd w:val="clear" w:color="auto" w:fill="auto"/>
          </w:tcPr>
          <w:p w:rsidR="00A02C86" w:rsidRPr="00A14C8B" w:rsidRDefault="00BF7B5D" w:rsidP="00BD0B63">
            <w:pPr>
              <w:ind w:left="0"/>
              <w:jc w:val="right"/>
              <w:rPr>
                <w:bCs/>
                <w:lang w:val="en-US"/>
              </w:rPr>
            </w:pPr>
            <w:r>
              <w:rPr>
                <w:bCs/>
                <w:lang w:val="en-US"/>
              </w:rPr>
              <w:t>12.185</w:t>
            </w:r>
          </w:p>
        </w:tc>
        <w:tc>
          <w:tcPr>
            <w:tcW w:w="2173" w:type="dxa"/>
            <w:shd w:val="clear" w:color="auto" w:fill="auto"/>
          </w:tcPr>
          <w:p w:rsidR="00A02C86" w:rsidRPr="00A14C8B" w:rsidRDefault="00A14C8B" w:rsidP="00BD0B63">
            <w:pPr>
              <w:ind w:left="0"/>
              <w:jc w:val="right"/>
              <w:rPr>
                <w:bCs/>
                <w:lang w:val="en-US"/>
              </w:rPr>
            </w:pPr>
            <w:r>
              <w:rPr>
                <w:bCs/>
                <w:lang w:val="en-US"/>
              </w:rPr>
              <w:t>12.192</w:t>
            </w:r>
          </w:p>
        </w:tc>
      </w:tr>
      <w:tr w:rsidR="00A02C86" w:rsidRPr="00B13E9A" w:rsidTr="00617B2D">
        <w:tc>
          <w:tcPr>
            <w:tcW w:w="4122" w:type="dxa"/>
            <w:shd w:val="clear" w:color="auto" w:fill="auto"/>
          </w:tcPr>
          <w:p w:rsidR="00A02C86" w:rsidRPr="00A14C8B" w:rsidRDefault="00A02C86" w:rsidP="00BD0B63">
            <w:pPr>
              <w:ind w:left="0"/>
              <w:rPr>
                <w:bCs/>
                <w:lang w:val="en-US"/>
              </w:rPr>
            </w:pPr>
            <w:proofErr w:type="spellStart"/>
            <w:r w:rsidRPr="00A14C8B">
              <w:rPr>
                <w:bCs/>
                <w:lang w:val="en-US"/>
              </w:rPr>
              <w:t>Sonstige</w:t>
            </w:r>
            <w:proofErr w:type="spellEnd"/>
            <w:r w:rsidRPr="00A14C8B">
              <w:rPr>
                <w:bCs/>
                <w:lang w:val="en-US"/>
              </w:rPr>
              <w:t xml:space="preserve"> </w:t>
            </w:r>
            <w:proofErr w:type="spellStart"/>
            <w:r w:rsidRPr="00A14C8B">
              <w:rPr>
                <w:bCs/>
                <w:lang w:val="en-US"/>
              </w:rPr>
              <w:t>Aktivitäten</w:t>
            </w:r>
            <w:proofErr w:type="spellEnd"/>
          </w:p>
        </w:tc>
        <w:tc>
          <w:tcPr>
            <w:tcW w:w="2172" w:type="dxa"/>
            <w:shd w:val="clear" w:color="auto" w:fill="auto"/>
          </w:tcPr>
          <w:p w:rsidR="00A02C86" w:rsidRPr="00A14C8B" w:rsidRDefault="00BF7B5D" w:rsidP="00BD0B63">
            <w:pPr>
              <w:ind w:left="0"/>
              <w:jc w:val="right"/>
              <w:rPr>
                <w:bCs/>
                <w:lang w:val="en-US"/>
              </w:rPr>
            </w:pPr>
            <w:r>
              <w:rPr>
                <w:bCs/>
                <w:lang w:val="en-US"/>
              </w:rPr>
              <w:t>1.421</w:t>
            </w:r>
          </w:p>
        </w:tc>
        <w:tc>
          <w:tcPr>
            <w:tcW w:w="2173" w:type="dxa"/>
            <w:shd w:val="clear" w:color="auto" w:fill="auto"/>
          </w:tcPr>
          <w:p w:rsidR="00A02C86" w:rsidRPr="00B13E9A" w:rsidRDefault="00A14C8B" w:rsidP="00BD0B63">
            <w:pPr>
              <w:ind w:left="0"/>
              <w:jc w:val="right"/>
              <w:rPr>
                <w:bCs/>
              </w:rPr>
            </w:pPr>
            <w:r>
              <w:rPr>
                <w:bCs/>
              </w:rPr>
              <w:t>1.531</w:t>
            </w:r>
          </w:p>
        </w:tc>
      </w:tr>
      <w:tr w:rsidR="00A02C86" w:rsidRPr="00B13E9A" w:rsidTr="00617B2D">
        <w:tc>
          <w:tcPr>
            <w:tcW w:w="4122" w:type="dxa"/>
            <w:shd w:val="clear" w:color="auto" w:fill="auto"/>
          </w:tcPr>
          <w:p w:rsidR="00A02C86" w:rsidRPr="00B13E9A" w:rsidRDefault="00A02C86" w:rsidP="00BD0B63">
            <w:pPr>
              <w:ind w:left="0"/>
              <w:rPr>
                <w:bCs/>
              </w:rPr>
            </w:pPr>
            <w:r w:rsidRPr="00B13E9A">
              <w:rPr>
                <w:bCs/>
              </w:rPr>
              <w:t>Fortgeführte Aktivitäten</w:t>
            </w:r>
          </w:p>
        </w:tc>
        <w:tc>
          <w:tcPr>
            <w:tcW w:w="2172" w:type="dxa"/>
            <w:shd w:val="clear" w:color="auto" w:fill="auto"/>
          </w:tcPr>
          <w:p w:rsidR="00A02C86" w:rsidRPr="00B13E9A" w:rsidRDefault="00BF7B5D" w:rsidP="00BD0B63">
            <w:pPr>
              <w:ind w:left="0"/>
              <w:jc w:val="right"/>
              <w:rPr>
                <w:bCs/>
              </w:rPr>
            </w:pPr>
            <w:r>
              <w:rPr>
                <w:bCs/>
              </w:rPr>
              <w:t>32.982</w:t>
            </w:r>
          </w:p>
        </w:tc>
        <w:tc>
          <w:tcPr>
            <w:tcW w:w="2173" w:type="dxa"/>
            <w:shd w:val="clear" w:color="auto" w:fill="auto"/>
          </w:tcPr>
          <w:p w:rsidR="00A02C86" w:rsidRPr="00B13E9A" w:rsidRDefault="00A14C8B" w:rsidP="00BD0B63">
            <w:pPr>
              <w:ind w:left="0"/>
              <w:jc w:val="right"/>
              <w:rPr>
                <w:bCs/>
              </w:rPr>
            </w:pPr>
            <w:r>
              <w:rPr>
                <w:bCs/>
              </w:rPr>
              <w:t>32.995</w:t>
            </w:r>
          </w:p>
        </w:tc>
      </w:tr>
      <w:tr w:rsidR="00A02C86" w:rsidRPr="00B13E9A" w:rsidTr="00617B2D">
        <w:tc>
          <w:tcPr>
            <w:tcW w:w="4122" w:type="dxa"/>
            <w:shd w:val="clear" w:color="auto" w:fill="auto"/>
          </w:tcPr>
          <w:p w:rsidR="00A02C86" w:rsidRPr="00B13E9A" w:rsidRDefault="00A02C86" w:rsidP="00BD0B63">
            <w:pPr>
              <w:ind w:left="0"/>
              <w:rPr>
                <w:bCs/>
              </w:rPr>
            </w:pPr>
            <w:r w:rsidRPr="00B13E9A">
              <w:rPr>
                <w:bCs/>
              </w:rPr>
              <w:t xml:space="preserve">Nicht fortgeführte Aktivitäten </w:t>
            </w:r>
          </w:p>
        </w:tc>
        <w:tc>
          <w:tcPr>
            <w:tcW w:w="2172" w:type="dxa"/>
            <w:shd w:val="clear" w:color="auto" w:fill="auto"/>
          </w:tcPr>
          <w:p w:rsidR="00A02C86" w:rsidRPr="00B13E9A" w:rsidRDefault="00BF7B5D" w:rsidP="00BD0B63">
            <w:pPr>
              <w:ind w:left="0"/>
              <w:jc w:val="right"/>
              <w:rPr>
                <w:bCs/>
              </w:rPr>
            </w:pPr>
            <w:r>
              <w:rPr>
                <w:bCs/>
              </w:rPr>
              <w:t>186</w:t>
            </w:r>
          </w:p>
        </w:tc>
        <w:tc>
          <w:tcPr>
            <w:tcW w:w="2173" w:type="dxa"/>
            <w:shd w:val="clear" w:color="auto" w:fill="auto"/>
          </w:tcPr>
          <w:p w:rsidR="00A02C86" w:rsidRPr="00B13E9A" w:rsidRDefault="00A14C8B" w:rsidP="00BD0B63">
            <w:pPr>
              <w:ind w:left="0"/>
              <w:jc w:val="right"/>
              <w:rPr>
                <w:bCs/>
              </w:rPr>
            </w:pPr>
            <w:r>
              <w:rPr>
                <w:bCs/>
              </w:rPr>
              <w:t>655</w:t>
            </w:r>
          </w:p>
        </w:tc>
      </w:tr>
      <w:tr w:rsidR="00A02C86" w:rsidRPr="00BE5DBC" w:rsidTr="00617B2D">
        <w:tc>
          <w:tcPr>
            <w:tcW w:w="4122" w:type="dxa"/>
            <w:shd w:val="clear" w:color="auto" w:fill="auto"/>
          </w:tcPr>
          <w:p w:rsidR="00A02C86" w:rsidRPr="00BE5DBC" w:rsidRDefault="00AF2A30" w:rsidP="00BD0B63">
            <w:pPr>
              <w:ind w:left="0"/>
              <w:rPr>
                <w:b/>
                <w:bCs/>
              </w:rPr>
            </w:pPr>
            <w:r>
              <w:rPr>
                <w:b/>
                <w:bCs/>
              </w:rPr>
              <w:t>Konzern</w:t>
            </w:r>
          </w:p>
        </w:tc>
        <w:tc>
          <w:tcPr>
            <w:tcW w:w="2172" w:type="dxa"/>
            <w:shd w:val="clear" w:color="auto" w:fill="auto"/>
          </w:tcPr>
          <w:p w:rsidR="00A02C86" w:rsidRPr="00BE5DBC" w:rsidRDefault="00BF7B5D" w:rsidP="00BD0B63">
            <w:pPr>
              <w:ind w:left="0"/>
              <w:jc w:val="right"/>
              <w:rPr>
                <w:b/>
                <w:bCs/>
              </w:rPr>
            </w:pPr>
            <w:r>
              <w:rPr>
                <w:b/>
                <w:bCs/>
              </w:rPr>
              <w:t>33.168</w:t>
            </w:r>
          </w:p>
        </w:tc>
        <w:tc>
          <w:tcPr>
            <w:tcW w:w="2173" w:type="dxa"/>
            <w:shd w:val="clear" w:color="auto" w:fill="auto"/>
          </w:tcPr>
          <w:p w:rsidR="00A02C86" w:rsidRPr="00BE5DBC" w:rsidRDefault="00A02C86" w:rsidP="00BD0B63">
            <w:pPr>
              <w:ind w:left="0"/>
              <w:jc w:val="right"/>
              <w:rPr>
                <w:b/>
                <w:bCs/>
              </w:rPr>
            </w:pPr>
            <w:r w:rsidRPr="00BE5DBC">
              <w:rPr>
                <w:b/>
                <w:bCs/>
              </w:rPr>
              <w:t>33.</w:t>
            </w:r>
            <w:r w:rsidR="00A14C8B">
              <w:rPr>
                <w:b/>
                <w:bCs/>
              </w:rPr>
              <w:t>650</w:t>
            </w:r>
          </w:p>
        </w:tc>
      </w:tr>
    </w:tbl>
    <w:p w:rsidR="00A02C86" w:rsidRPr="00B13E9A" w:rsidRDefault="00A02C86" w:rsidP="0037497A">
      <w:pPr>
        <w:rPr>
          <w:bCs/>
          <w:lang w:eastAsia="en-US"/>
        </w:rPr>
      </w:pPr>
    </w:p>
    <w:p w:rsidR="00A02C86" w:rsidRDefault="00A02C86">
      <w:pPr>
        <w:spacing w:line="240" w:lineRule="auto"/>
        <w:ind w:left="0" w:right="0"/>
        <w:rPr>
          <w:b/>
          <w:bCs/>
          <w:sz w:val="22"/>
          <w:szCs w:val="22"/>
        </w:rPr>
      </w:pPr>
    </w:p>
    <w:p w:rsidR="00BE5DBC" w:rsidRDefault="00BE5DBC">
      <w:pPr>
        <w:spacing w:line="240" w:lineRule="auto"/>
        <w:ind w:left="0" w:right="0"/>
        <w:rPr>
          <w:rFonts w:cs="Lucida Sans Unicode"/>
          <w:b/>
          <w:bCs/>
          <w:szCs w:val="18"/>
        </w:rPr>
      </w:pPr>
    </w:p>
    <w:p w:rsidR="009D734A" w:rsidRDefault="009D734A" w:rsidP="0037497A">
      <w:pPr>
        <w:autoSpaceDE w:val="0"/>
        <w:autoSpaceDN w:val="0"/>
        <w:adjustRightInd w:val="0"/>
        <w:spacing w:line="220" w:lineRule="exact"/>
        <w:rPr>
          <w:rFonts w:cs="Lucida Sans Unicode"/>
          <w:b/>
          <w:bCs/>
          <w:szCs w:val="18"/>
        </w:rPr>
      </w:pPr>
      <w:r>
        <w:rPr>
          <w:rFonts w:cs="Lucida Sans Unicode"/>
          <w:b/>
          <w:bCs/>
          <w:szCs w:val="18"/>
        </w:rPr>
        <w:t xml:space="preserve">Informationen zum Konzern </w:t>
      </w:r>
    </w:p>
    <w:p w:rsidR="009D734A" w:rsidRPr="009D734A" w:rsidRDefault="009D734A" w:rsidP="0037497A">
      <w:pPr>
        <w:autoSpaceDE w:val="0"/>
        <w:autoSpaceDN w:val="0"/>
        <w:adjustRightInd w:val="0"/>
        <w:spacing w:line="220" w:lineRule="exact"/>
        <w:ind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Pr="009D734A" w:rsidRDefault="009D734A" w:rsidP="0037497A">
      <w:pPr>
        <w:autoSpaceDE w:val="0"/>
        <w:autoSpaceDN w:val="0"/>
        <w:adjustRightInd w:val="0"/>
        <w:spacing w:line="220" w:lineRule="exact"/>
        <w:ind w:right="0"/>
        <w:rPr>
          <w:rFonts w:cs="Lucida Sans Unicode"/>
          <w:position w:val="0"/>
          <w:szCs w:val="18"/>
        </w:rPr>
      </w:pPr>
    </w:p>
    <w:p w:rsidR="009D734A" w:rsidRDefault="009D734A" w:rsidP="0037497A">
      <w:pPr>
        <w:autoSpaceDE w:val="0"/>
        <w:autoSpaceDN w:val="0"/>
        <w:adjustRightInd w:val="0"/>
        <w:spacing w:line="220" w:lineRule="exact"/>
        <w:ind w:right="0"/>
        <w:rPr>
          <w:rFonts w:cs="Lucida Sans Unicode"/>
          <w:position w:val="0"/>
          <w:szCs w:val="18"/>
        </w:rPr>
      </w:pPr>
      <w:r w:rsidRPr="009D734A">
        <w:rPr>
          <w:rFonts w:cs="Lucida Sans Unicode"/>
          <w:position w:val="0"/>
          <w:szCs w:val="18"/>
        </w:rPr>
        <w:t>Evonik ist in mehr als 100 Ländern der Welt aktiv. Über 33.</w:t>
      </w:r>
      <w:r w:rsidR="005844AC">
        <w:rPr>
          <w:rFonts w:cs="Lucida Sans Unicode"/>
          <w:position w:val="0"/>
          <w:szCs w:val="18"/>
        </w:rPr>
        <w:t>500</w:t>
      </w:r>
      <w:r w:rsidRPr="009D734A">
        <w:rPr>
          <w:rFonts w:cs="Lucida Sans Unicode"/>
          <w:position w:val="0"/>
          <w:szCs w:val="18"/>
        </w:rPr>
        <w:t xml:space="preserve"> Mitarbeiter erwirtschafteten im Geschäftsjahr 201</w:t>
      </w:r>
      <w:r w:rsidR="005844AC">
        <w:rPr>
          <w:rFonts w:cs="Lucida Sans Unicode"/>
          <w:position w:val="0"/>
          <w:szCs w:val="18"/>
        </w:rPr>
        <w:t>3</w:t>
      </w:r>
      <w:r w:rsidRPr="009D734A">
        <w:rPr>
          <w:rFonts w:cs="Lucida Sans Unicode"/>
          <w:position w:val="0"/>
          <w:szCs w:val="18"/>
        </w:rPr>
        <w:t xml:space="preserve"> einen Umsatz von rund 1</w:t>
      </w:r>
      <w:r w:rsidR="005844AC">
        <w:rPr>
          <w:rFonts w:cs="Lucida Sans Unicode"/>
          <w:position w:val="0"/>
          <w:szCs w:val="18"/>
        </w:rPr>
        <w:t>2,</w:t>
      </w:r>
      <w:r w:rsidR="00824C27">
        <w:rPr>
          <w:rFonts w:cs="Lucida Sans Unicode"/>
          <w:position w:val="0"/>
          <w:szCs w:val="18"/>
        </w:rPr>
        <w:t>7</w:t>
      </w:r>
      <w:r w:rsidRPr="009D734A">
        <w:rPr>
          <w:rFonts w:cs="Lucida Sans Unicode"/>
          <w:position w:val="0"/>
          <w:szCs w:val="18"/>
        </w:rPr>
        <w:t xml:space="preserve"> Milliarden € und ein operatives Ergebnis (bereinigtes EBITDA) von rund 2</w:t>
      </w:r>
      <w:r w:rsidR="005844AC">
        <w:rPr>
          <w:rFonts w:cs="Lucida Sans Unicode"/>
          <w:position w:val="0"/>
          <w:szCs w:val="18"/>
        </w:rPr>
        <w:t>,0</w:t>
      </w:r>
      <w:r w:rsidRPr="009D734A">
        <w:rPr>
          <w:rFonts w:cs="Lucida Sans Unicode"/>
          <w:position w:val="0"/>
          <w:szCs w:val="18"/>
        </w:rPr>
        <w:t xml:space="preserve"> Milliarden €.</w:t>
      </w:r>
    </w:p>
    <w:p w:rsidR="00AF2A30" w:rsidRDefault="00AF2A30" w:rsidP="0037497A">
      <w:pPr>
        <w:autoSpaceDE w:val="0"/>
        <w:autoSpaceDN w:val="0"/>
        <w:adjustRightInd w:val="0"/>
        <w:spacing w:line="220" w:lineRule="exact"/>
        <w:ind w:right="0"/>
        <w:rPr>
          <w:rFonts w:cs="Lucida Sans Unicode"/>
          <w:position w:val="0"/>
          <w:szCs w:val="18"/>
        </w:rPr>
      </w:pPr>
    </w:p>
    <w:p w:rsidR="00751151" w:rsidRDefault="00751151" w:rsidP="0037497A">
      <w:pPr>
        <w:autoSpaceDE w:val="0"/>
        <w:autoSpaceDN w:val="0"/>
        <w:adjustRightInd w:val="0"/>
        <w:spacing w:line="220" w:lineRule="exact"/>
        <w:ind w:right="0"/>
        <w:rPr>
          <w:rFonts w:cs="Lucida Sans Unicode"/>
          <w:position w:val="0"/>
          <w:szCs w:val="18"/>
        </w:rPr>
      </w:pPr>
    </w:p>
    <w:p w:rsidR="00AF2A30" w:rsidRPr="005844AC" w:rsidRDefault="00AF2A30" w:rsidP="0037497A">
      <w:pPr>
        <w:autoSpaceDE w:val="0"/>
        <w:autoSpaceDN w:val="0"/>
        <w:adjustRightInd w:val="0"/>
        <w:spacing w:line="220" w:lineRule="exact"/>
        <w:ind w:right="0"/>
        <w:rPr>
          <w:rFonts w:cs="Lucida Sans Unicode"/>
          <w:b/>
          <w:position w:val="0"/>
          <w:szCs w:val="18"/>
        </w:rPr>
      </w:pPr>
      <w:r w:rsidRPr="005844AC">
        <w:rPr>
          <w:rFonts w:cs="Lucida Sans Unicode"/>
          <w:b/>
          <w:position w:val="0"/>
          <w:szCs w:val="18"/>
        </w:rPr>
        <w:t xml:space="preserve">Rechtlicher Hinweis </w:t>
      </w:r>
    </w:p>
    <w:p w:rsidR="00AF2A30" w:rsidRPr="009D734A" w:rsidRDefault="005844AC" w:rsidP="0037497A">
      <w:pPr>
        <w:autoSpaceDE w:val="0"/>
        <w:autoSpaceDN w:val="0"/>
        <w:adjustRightInd w:val="0"/>
        <w:spacing w:line="220" w:lineRule="exact"/>
        <w:ind w:right="0"/>
        <w:rPr>
          <w:rFonts w:cs="Lucida Sans Unicode"/>
          <w:position w:val="0"/>
          <w:szCs w:val="18"/>
        </w:rPr>
      </w:pPr>
      <w:r>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Ungewissheiten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F2A30" w:rsidRP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3D" w:rsidRDefault="009F5B3D">
      <w:r>
        <w:separator/>
      </w:r>
    </w:p>
    <w:p w:rsidR="009F5B3D" w:rsidRDefault="009F5B3D"/>
  </w:endnote>
  <w:endnote w:type="continuationSeparator" w:id="0">
    <w:p w:rsidR="009F5B3D" w:rsidRDefault="009F5B3D">
      <w:r>
        <w:continuationSeparator/>
      </w:r>
    </w:p>
    <w:p w:rsidR="009F5B3D" w:rsidRDefault="009F5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C9" w:rsidRDefault="007B1EC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4398">
      <w:rPr>
        <w:rStyle w:val="Seitenzahl"/>
        <w:noProof/>
      </w:rPr>
      <w:t>10</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4398">
      <w:rPr>
        <w:rStyle w:val="Seitenzahl"/>
        <w:noProof/>
      </w:rPr>
      <w:t>10</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C9" w:rsidRDefault="007B1EC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439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4398">
      <w:rPr>
        <w:rStyle w:val="Seitenzahl"/>
        <w:noProof/>
      </w:rPr>
      <w:t>10</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3D" w:rsidRDefault="009F5B3D">
      <w:r>
        <w:separator/>
      </w:r>
    </w:p>
    <w:p w:rsidR="009F5B3D" w:rsidRDefault="009F5B3D"/>
  </w:footnote>
  <w:footnote w:type="continuationSeparator" w:id="0">
    <w:p w:rsidR="009F5B3D" w:rsidRDefault="009F5B3D">
      <w:r>
        <w:continuationSeparator/>
      </w:r>
    </w:p>
    <w:p w:rsidR="009F5B3D" w:rsidRDefault="009F5B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C9" w:rsidRDefault="007B1EC9">
    <w:pPr>
      <w:pStyle w:val="Kopfzeile"/>
      <w:ind w:left="0"/>
    </w:pPr>
  </w:p>
  <w:p w:rsidR="007B1EC9" w:rsidRDefault="007B1EC9">
    <w:pPr>
      <w:pStyle w:val="Kopfzeile"/>
      <w:ind w:left="0"/>
    </w:pPr>
  </w:p>
  <w:p w:rsidR="007B1EC9" w:rsidRDefault="007B1EC9">
    <w:pPr>
      <w:pStyle w:val="Kopfzeile"/>
      <w:ind w:left="0"/>
    </w:pPr>
  </w:p>
  <w:p w:rsidR="007B1EC9" w:rsidRDefault="007B1EC9">
    <w:pPr>
      <w:pStyle w:val="Kopfzeile"/>
      <w:ind w:left="0"/>
    </w:pPr>
  </w:p>
  <w:p w:rsidR="007B1EC9" w:rsidRPr="00067DAF" w:rsidRDefault="007B1EC9" w:rsidP="00067DAF">
    <w:pPr>
      <w:pStyle w:val="Kopfzeile"/>
      <w:ind w:left="0" w:right="-3"/>
    </w:pPr>
    <w:r>
      <w:rPr>
        <w:noProof/>
      </w:rPr>
      <w:drawing>
        <wp:anchor distT="0" distB="0" distL="114300" distR="114300" simplePos="0" relativeHeight="251659264" behindDoc="0" locked="0" layoutInCell="1" allowOverlap="1" wp14:anchorId="5D81341F" wp14:editId="40B97037">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512B77D" wp14:editId="5A15F12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C9" w:rsidRDefault="007B1EC9">
    <w:pPr>
      <w:pStyle w:val="Kopfzeile"/>
      <w:ind w:left="0"/>
    </w:pPr>
  </w:p>
  <w:p w:rsidR="007B1EC9" w:rsidRDefault="007B1EC9">
    <w:pPr>
      <w:pStyle w:val="Kopfzeile"/>
      <w:ind w:left="0"/>
    </w:pPr>
  </w:p>
  <w:p w:rsidR="007B1EC9" w:rsidRDefault="007B1EC9">
    <w:pPr>
      <w:pStyle w:val="Kopfzeile"/>
      <w:ind w:left="0"/>
    </w:pPr>
  </w:p>
  <w:p w:rsidR="007B1EC9" w:rsidRDefault="007B1EC9">
    <w:pPr>
      <w:pStyle w:val="Kopfzeile"/>
      <w:ind w:left="0"/>
      <w:rPr>
        <w:u w:val="single"/>
      </w:rPr>
    </w:pPr>
    <w:r>
      <w:rPr>
        <w:b/>
        <w:u w:val="single"/>
      </w:rPr>
      <w:br/>
    </w:r>
  </w:p>
  <w:p w:rsidR="007B1EC9" w:rsidRPr="009D5463" w:rsidRDefault="007B1EC9">
    <w:pPr>
      <w:pStyle w:val="Kopfzeile"/>
      <w:ind w:left="0"/>
      <w:rPr>
        <w:u w:val="single"/>
      </w:rPr>
    </w:pPr>
    <w:r w:rsidRPr="009D5463">
      <w:rPr>
        <w:noProof/>
        <w:u w:val="single"/>
      </w:rPr>
      <w:drawing>
        <wp:anchor distT="0" distB="0" distL="114300" distR="114300" simplePos="0" relativeHeight="251658240" behindDoc="0" locked="0" layoutInCell="1" allowOverlap="1" wp14:anchorId="73C99287" wp14:editId="17072F85">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09B6B924" wp14:editId="41E959E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C9" w:rsidRDefault="007B1E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A1E0738"/>
    <w:multiLevelType w:val="hybridMultilevel"/>
    <w:tmpl w:val="4444364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7">
    <w:nsid w:val="2F697F91"/>
    <w:multiLevelType w:val="hybridMultilevel"/>
    <w:tmpl w:val="5CFA452E"/>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8">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20">
    <w:nsid w:val="3BFE47DC"/>
    <w:multiLevelType w:val="hybridMultilevel"/>
    <w:tmpl w:val="2D50BCE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21">
    <w:nsid w:val="54115FD0"/>
    <w:multiLevelType w:val="hybridMultilevel"/>
    <w:tmpl w:val="F23A3ACA"/>
    <w:lvl w:ilvl="0" w:tplc="5BF66010">
      <w:start w:val="1"/>
      <w:numFmt w:val="bullet"/>
      <w:lvlText w:val="•"/>
      <w:lvlJc w:val="left"/>
      <w:pPr>
        <w:tabs>
          <w:tab w:val="num" w:pos="1397"/>
        </w:tabs>
        <w:ind w:left="1397" w:hanging="360"/>
      </w:pPr>
      <w:rPr>
        <w:rFonts w:ascii="Lucida Sans Unicode" w:hAnsi="Lucida Sans Unicode" w:hint="default"/>
        <w:sz w:val="24"/>
      </w:rPr>
    </w:lvl>
    <w:lvl w:ilvl="1" w:tplc="04070003">
      <w:start w:val="1"/>
      <w:numFmt w:val="bullet"/>
      <w:lvlText w:val="o"/>
      <w:lvlJc w:val="left"/>
      <w:pPr>
        <w:tabs>
          <w:tab w:val="num" w:pos="1412"/>
        </w:tabs>
        <w:ind w:left="1412" w:hanging="360"/>
      </w:pPr>
      <w:rPr>
        <w:rFonts w:ascii="Courier New" w:hAnsi="Courier New" w:cs="Courier New" w:hint="default"/>
      </w:rPr>
    </w:lvl>
    <w:lvl w:ilvl="2" w:tplc="04070005" w:tentative="1">
      <w:start w:val="1"/>
      <w:numFmt w:val="bullet"/>
      <w:lvlText w:val=""/>
      <w:lvlJc w:val="left"/>
      <w:pPr>
        <w:tabs>
          <w:tab w:val="num" w:pos="2132"/>
        </w:tabs>
        <w:ind w:left="2132" w:hanging="360"/>
      </w:pPr>
      <w:rPr>
        <w:rFonts w:ascii="Wingdings" w:hAnsi="Wingdings" w:hint="default"/>
      </w:rPr>
    </w:lvl>
    <w:lvl w:ilvl="3" w:tplc="04070001" w:tentative="1">
      <w:start w:val="1"/>
      <w:numFmt w:val="bullet"/>
      <w:lvlText w:val=""/>
      <w:lvlJc w:val="left"/>
      <w:pPr>
        <w:tabs>
          <w:tab w:val="num" w:pos="2852"/>
        </w:tabs>
        <w:ind w:left="2852" w:hanging="360"/>
      </w:pPr>
      <w:rPr>
        <w:rFonts w:ascii="Symbol" w:hAnsi="Symbol" w:hint="default"/>
      </w:rPr>
    </w:lvl>
    <w:lvl w:ilvl="4" w:tplc="04070003" w:tentative="1">
      <w:start w:val="1"/>
      <w:numFmt w:val="bullet"/>
      <w:lvlText w:val="o"/>
      <w:lvlJc w:val="left"/>
      <w:pPr>
        <w:tabs>
          <w:tab w:val="num" w:pos="3572"/>
        </w:tabs>
        <w:ind w:left="3572" w:hanging="360"/>
      </w:pPr>
      <w:rPr>
        <w:rFonts w:ascii="Courier New" w:hAnsi="Courier New" w:cs="Courier New" w:hint="default"/>
      </w:rPr>
    </w:lvl>
    <w:lvl w:ilvl="5" w:tplc="04070005" w:tentative="1">
      <w:start w:val="1"/>
      <w:numFmt w:val="bullet"/>
      <w:lvlText w:val=""/>
      <w:lvlJc w:val="left"/>
      <w:pPr>
        <w:tabs>
          <w:tab w:val="num" w:pos="4292"/>
        </w:tabs>
        <w:ind w:left="4292" w:hanging="360"/>
      </w:pPr>
      <w:rPr>
        <w:rFonts w:ascii="Wingdings" w:hAnsi="Wingdings" w:hint="default"/>
      </w:rPr>
    </w:lvl>
    <w:lvl w:ilvl="6" w:tplc="04070001" w:tentative="1">
      <w:start w:val="1"/>
      <w:numFmt w:val="bullet"/>
      <w:lvlText w:val=""/>
      <w:lvlJc w:val="left"/>
      <w:pPr>
        <w:tabs>
          <w:tab w:val="num" w:pos="5012"/>
        </w:tabs>
        <w:ind w:left="5012" w:hanging="360"/>
      </w:pPr>
      <w:rPr>
        <w:rFonts w:ascii="Symbol" w:hAnsi="Symbol" w:hint="default"/>
      </w:rPr>
    </w:lvl>
    <w:lvl w:ilvl="7" w:tplc="04070003" w:tentative="1">
      <w:start w:val="1"/>
      <w:numFmt w:val="bullet"/>
      <w:lvlText w:val="o"/>
      <w:lvlJc w:val="left"/>
      <w:pPr>
        <w:tabs>
          <w:tab w:val="num" w:pos="5732"/>
        </w:tabs>
        <w:ind w:left="5732" w:hanging="360"/>
      </w:pPr>
      <w:rPr>
        <w:rFonts w:ascii="Courier New" w:hAnsi="Courier New" w:cs="Courier New" w:hint="default"/>
      </w:rPr>
    </w:lvl>
    <w:lvl w:ilvl="8" w:tplc="04070005" w:tentative="1">
      <w:start w:val="1"/>
      <w:numFmt w:val="bullet"/>
      <w:lvlText w:val=""/>
      <w:lvlJc w:val="left"/>
      <w:pPr>
        <w:tabs>
          <w:tab w:val="num" w:pos="6452"/>
        </w:tabs>
        <w:ind w:left="6452" w:hanging="360"/>
      </w:pPr>
      <w:rPr>
        <w:rFonts w:ascii="Wingdings" w:hAnsi="Wingdings" w:hint="default"/>
      </w:rPr>
    </w:lvl>
  </w:abstractNum>
  <w:num w:numId="1">
    <w:abstractNumId w:val="15"/>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num>
  <w:num w:numId="16">
    <w:abstractNumId w:val="11"/>
  </w:num>
  <w:num w:numId="17">
    <w:abstractNumId w:val="18"/>
  </w:num>
  <w:num w:numId="18">
    <w:abstractNumId w:val="19"/>
  </w:num>
  <w:num w:numId="19">
    <w:abstractNumId w:val="13"/>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57"/>
    <w:rsid w:val="00003DAF"/>
    <w:rsid w:val="000137E8"/>
    <w:rsid w:val="000258CE"/>
    <w:rsid w:val="000259C1"/>
    <w:rsid w:val="000426A4"/>
    <w:rsid w:val="000429A4"/>
    <w:rsid w:val="0005083E"/>
    <w:rsid w:val="00050BF1"/>
    <w:rsid w:val="00052450"/>
    <w:rsid w:val="00067DAF"/>
    <w:rsid w:val="00067EC1"/>
    <w:rsid w:val="00072C2F"/>
    <w:rsid w:val="000A0B5A"/>
    <w:rsid w:val="000A0CA9"/>
    <w:rsid w:val="000B1542"/>
    <w:rsid w:val="000C6B2F"/>
    <w:rsid w:val="000D4BBD"/>
    <w:rsid w:val="000F7737"/>
    <w:rsid w:val="00101FF2"/>
    <w:rsid w:val="00114650"/>
    <w:rsid w:val="00132FB1"/>
    <w:rsid w:val="00137B85"/>
    <w:rsid w:val="00141D4F"/>
    <w:rsid w:val="00141D6E"/>
    <w:rsid w:val="001457FC"/>
    <w:rsid w:val="001477FE"/>
    <w:rsid w:val="00151B1D"/>
    <w:rsid w:val="00156471"/>
    <w:rsid w:val="00157016"/>
    <w:rsid w:val="00160533"/>
    <w:rsid w:val="0016486A"/>
    <w:rsid w:val="00166657"/>
    <w:rsid w:val="00172FDB"/>
    <w:rsid w:val="00182A5C"/>
    <w:rsid w:val="00182FD6"/>
    <w:rsid w:val="00183DCE"/>
    <w:rsid w:val="00184DE8"/>
    <w:rsid w:val="001858DC"/>
    <w:rsid w:val="00190903"/>
    <w:rsid w:val="00194398"/>
    <w:rsid w:val="0019529A"/>
    <w:rsid w:val="00195DC9"/>
    <w:rsid w:val="0019749B"/>
    <w:rsid w:val="001A246B"/>
    <w:rsid w:val="001A75AE"/>
    <w:rsid w:val="001B34B7"/>
    <w:rsid w:val="001B482F"/>
    <w:rsid w:val="001B53E4"/>
    <w:rsid w:val="001C719C"/>
    <w:rsid w:val="001D2C68"/>
    <w:rsid w:val="001D7120"/>
    <w:rsid w:val="001F09D2"/>
    <w:rsid w:val="001F513B"/>
    <w:rsid w:val="001F6653"/>
    <w:rsid w:val="00204CFD"/>
    <w:rsid w:val="002166B6"/>
    <w:rsid w:val="0021703D"/>
    <w:rsid w:val="002217E4"/>
    <w:rsid w:val="00235D46"/>
    <w:rsid w:val="00260048"/>
    <w:rsid w:val="002641D9"/>
    <w:rsid w:val="00264610"/>
    <w:rsid w:val="002717DA"/>
    <w:rsid w:val="00276356"/>
    <w:rsid w:val="00285A01"/>
    <w:rsid w:val="00296F5A"/>
    <w:rsid w:val="002A3BED"/>
    <w:rsid w:val="002A492F"/>
    <w:rsid w:val="002A551A"/>
    <w:rsid w:val="002A6E5D"/>
    <w:rsid w:val="002B4861"/>
    <w:rsid w:val="002C4E44"/>
    <w:rsid w:val="002C7D6A"/>
    <w:rsid w:val="002D2281"/>
    <w:rsid w:val="002E00B4"/>
    <w:rsid w:val="002F11F9"/>
    <w:rsid w:val="002F36A2"/>
    <w:rsid w:val="002F5039"/>
    <w:rsid w:val="00307B51"/>
    <w:rsid w:val="003202D9"/>
    <w:rsid w:val="003274B7"/>
    <w:rsid w:val="0033355C"/>
    <w:rsid w:val="00333C07"/>
    <w:rsid w:val="003415B3"/>
    <w:rsid w:val="00341896"/>
    <w:rsid w:val="0035496E"/>
    <w:rsid w:val="00355BDF"/>
    <w:rsid w:val="0035637E"/>
    <w:rsid w:val="00357B72"/>
    <w:rsid w:val="00367767"/>
    <w:rsid w:val="00370C23"/>
    <w:rsid w:val="0037497A"/>
    <w:rsid w:val="003753DA"/>
    <w:rsid w:val="00385AAA"/>
    <w:rsid w:val="00392875"/>
    <w:rsid w:val="00392FBF"/>
    <w:rsid w:val="0039323B"/>
    <w:rsid w:val="00395AF0"/>
    <w:rsid w:val="00397A38"/>
    <w:rsid w:val="003A2A8E"/>
    <w:rsid w:val="003B04AA"/>
    <w:rsid w:val="003C6BED"/>
    <w:rsid w:val="003D0294"/>
    <w:rsid w:val="003E1B59"/>
    <w:rsid w:val="003E628A"/>
    <w:rsid w:val="003F1A97"/>
    <w:rsid w:val="004046AF"/>
    <w:rsid w:val="00404841"/>
    <w:rsid w:val="00407B10"/>
    <w:rsid w:val="00434649"/>
    <w:rsid w:val="00444979"/>
    <w:rsid w:val="004650B7"/>
    <w:rsid w:val="00481E50"/>
    <w:rsid w:val="004938BD"/>
    <w:rsid w:val="0049546C"/>
    <w:rsid w:val="004A269A"/>
    <w:rsid w:val="004A72EF"/>
    <w:rsid w:val="004A7835"/>
    <w:rsid w:val="004B325C"/>
    <w:rsid w:val="004C7992"/>
    <w:rsid w:val="004D7210"/>
    <w:rsid w:val="004E6F2F"/>
    <w:rsid w:val="00500E2A"/>
    <w:rsid w:val="0050394D"/>
    <w:rsid w:val="005047EE"/>
    <w:rsid w:val="00505982"/>
    <w:rsid w:val="00510B78"/>
    <w:rsid w:val="00512B71"/>
    <w:rsid w:val="00523F91"/>
    <w:rsid w:val="00525354"/>
    <w:rsid w:val="005451C4"/>
    <w:rsid w:val="0055005E"/>
    <w:rsid w:val="00551DA9"/>
    <w:rsid w:val="00552CF9"/>
    <w:rsid w:val="00553212"/>
    <w:rsid w:val="00554955"/>
    <w:rsid w:val="00555C3D"/>
    <w:rsid w:val="00556B76"/>
    <w:rsid w:val="00564077"/>
    <w:rsid w:val="0057042A"/>
    <w:rsid w:val="00577116"/>
    <w:rsid w:val="005844AC"/>
    <w:rsid w:val="0058629B"/>
    <w:rsid w:val="005879A5"/>
    <w:rsid w:val="00590E93"/>
    <w:rsid w:val="00595F61"/>
    <w:rsid w:val="005B0C41"/>
    <w:rsid w:val="005B5054"/>
    <w:rsid w:val="005D543A"/>
    <w:rsid w:val="005E0237"/>
    <w:rsid w:val="005E4B75"/>
    <w:rsid w:val="005F066A"/>
    <w:rsid w:val="005F4E6A"/>
    <w:rsid w:val="005F7782"/>
    <w:rsid w:val="00612C76"/>
    <w:rsid w:val="00616FEE"/>
    <w:rsid w:val="00617B2D"/>
    <w:rsid w:val="0062241E"/>
    <w:rsid w:val="00625378"/>
    <w:rsid w:val="0062777A"/>
    <w:rsid w:val="006279B2"/>
    <w:rsid w:val="00634C2E"/>
    <w:rsid w:val="00635809"/>
    <w:rsid w:val="0064376B"/>
    <w:rsid w:val="00644B25"/>
    <w:rsid w:val="00646713"/>
    <w:rsid w:val="0064778C"/>
    <w:rsid w:val="00653192"/>
    <w:rsid w:val="00655EA5"/>
    <w:rsid w:val="0066288B"/>
    <w:rsid w:val="00665480"/>
    <w:rsid w:val="0067243F"/>
    <w:rsid w:val="006769E9"/>
    <w:rsid w:val="00690FBF"/>
    <w:rsid w:val="006A285B"/>
    <w:rsid w:val="006A4BD0"/>
    <w:rsid w:val="006B08C8"/>
    <w:rsid w:val="006B5309"/>
    <w:rsid w:val="006B7055"/>
    <w:rsid w:val="006C038D"/>
    <w:rsid w:val="006C5A48"/>
    <w:rsid w:val="006C6152"/>
    <w:rsid w:val="006C6174"/>
    <w:rsid w:val="006C712A"/>
    <w:rsid w:val="006D08E6"/>
    <w:rsid w:val="006E6BA0"/>
    <w:rsid w:val="006E71B7"/>
    <w:rsid w:val="006F05E7"/>
    <w:rsid w:val="006F450F"/>
    <w:rsid w:val="006F4B11"/>
    <w:rsid w:val="006F6B94"/>
    <w:rsid w:val="0070156E"/>
    <w:rsid w:val="007049A3"/>
    <w:rsid w:val="00711A16"/>
    <w:rsid w:val="00714F04"/>
    <w:rsid w:val="0072268A"/>
    <w:rsid w:val="00724DCF"/>
    <w:rsid w:val="00731DA2"/>
    <w:rsid w:val="0073706E"/>
    <w:rsid w:val="00751151"/>
    <w:rsid w:val="00752B24"/>
    <w:rsid w:val="00754119"/>
    <w:rsid w:val="0076024A"/>
    <w:rsid w:val="007602A0"/>
    <w:rsid w:val="00760D28"/>
    <w:rsid w:val="00762FA7"/>
    <w:rsid w:val="00767A60"/>
    <w:rsid w:val="007774AB"/>
    <w:rsid w:val="007936D9"/>
    <w:rsid w:val="007A4497"/>
    <w:rsid w:val="007B1EC9"/>
    <w:rsid w:val="007B327D"/>
    <w:rsid w:val="007B6C55"/>
    <w:rsid w:val="007C085C"/>
    <w:rsid w:val="007D60EF"/>
    <w:rsid w:val="007F0D79"/>
    <w:rsid w:val="007F22BB"/>
    <w:rsid w:val="008017B0"/>
    <w:rsid w:val="00801C4B"/>
    <w:rsid w:val="008136C4"/>
    <w:rsid w:val="00817A00"/>
    <w:rsid w:val="0082195C"/>
    <w:rsid w:val="008224A5"/>
    <w:rsid w:val="00822D0E"/>
    <w:rsid w:val="00824C27"/>
    <w:rsid w:val="00841C5E"/>
    <w:rsid w:val="00856061"/>
    <w:rsid w:val="00860375"/>
    <w:rsid w:val="00861431"/>
    <w:rsid w:val="0086409A"/>
    <w:rsid w:val="00867DAE"/>
    <w:rsid w:val="00873A7F"/>
    <w:rsid w:val="00880FBE"/>
    <w:rsid w:val="008860F3"/>
    <w:rsid w:val="00886A4B"/>
    <w:rsid w:val="00893D46"/>
    <w:rsid w:val="008965F9"/>
    <w:rsid w:val="008A6624"/>
    <w:rsid w:val="008A7FB7"/>
    <w:rsid w:val="008B30ED"/>
    <w:rsid w:val="008C15B4"/>
    <w:rsid w:val="008C1921"/>
    <w:rsid w:val="008C56FB"/>
    <w:rsid w:val="008C5F12"/>
    <w:rsid w:val="008D7D13"/>
    <w:rsid w:val="008F14CF"/>
    <w:rsid w:val="008F2A70"/>
    <w:rsid w:val="00901ED4"/>
    <w:rsid w:val="009032CD"/>
    <w:rsid w:val="00911072"/>
    <w:rsid w:val="00917998"/>
    <w:rsid w:val="00923E7C"/>
    <w:rsid w:val="00927677"/>
    <w:rsid w:val="0092771E"/>
    <w:rsid w:val="0093475A"/>
    <w:rsid w:val="00934D1A"/>
    <w:rsid w:val="009366C0"/>
    <w:rsid w:val="00945CC3"/>
    <w:rsid w:val="00946403"/>
    <w:rsid w:val="0094792E"/>
    <w:rsid w:val="0095118D"/>
    <w:rsid w:val="0097132E"/>
    <w:rsid w:val="00971F61"/>
    <w:rsid w:val="00985458"/>
    <w:rsid w:val="0098570A"/>
    <w:rsid w:val="009870F7"/>
    <w:rsid w:val="009945AD"/>
    <w:rsid w:val="009A18CA"/>
    <w:rsid w:val="009A258F"/>
    <w:rsid w:val="009A4749"/>
    <w:rsid w:val="009A5B4B"/>
    <w:rsid w:val="009A7FFC"/>
    <w:rsid w:val="009B058A"/>
    <w:rsid w:val="009B1A4A"/>
    <w:rsid w:val="009B26C1"/>
    <w:rsid w:val="009B4878"/>
    <w:rsid w:val="009B6B5E"/>
    <w:rsid w:val="009C4599"/>
    <w:rsid w:val="009D21BA"/>
    <w:rsid w:val="009D4D03"/>
    <w:rsid w:val="009D5463"/>
    <w:rsid w:val="009D6A73"/>
    <w:rsid w:val="009D734A"/>
    <w:rsid w:val="009E687A"/>
    <w:rsid w:val="009E699E"/>
    <w:rsid w:val="009F25C2"/>
    <w:rsid w:val="009F2D0D"/>
    <w:rsid w:val="009F2F8B"/>
    <w:rsid w:val="009F5B3D"/>
    <w:rsid w:val="00A02C86"/>
    <w:rsid w:val="00A14C8B"/>
    <w:rsid w:val="00A200B5"/>
    <w:rsid w:val="00A2489F"/>
    <w:rsid w:val="00A24F51"/>
    <w:rsid w:val="00A26820"/>
    <w:rsid w:val="00A27482"/>
    <w:rsid w:val="00A306E3"/>
    <w:rsid w:val="00A310B9"/>
    <w:rsid w:val="00A362D1"/>
    <w:rsid w:val="00A42FAE"/>
    <w:rsid w:val="00A6020C"/>
    <w:rsid w:val="00A64D60"/>
    <w:rsid w:val="00A7033D"/>
    <w:rsid w:val="00A72C03"/>
    <w:rsid w:val="00A73B2A"/>
    <w:rsid w:val="00A76B0B"/>
    <w:rsid w:val="00A827FD"/>
    <w:rsid w:val="00A910EA"/>
    <w:rsid w:val="00A94697"/>
    <w:rsid w:val="00AA19E0"/>
    <w:rsid w:val="00AB1DB9"/>
    <w:rsid w:val="00AC627F"/>
    <w:rsid w:val="00AC66B8"/>
    <w:rsid w:val="00AD4725"/>
    <w:rsid w:val="00AD7F34"/>
    <w:rsid w:val="00AE79A1"/>
    <w:rsid w:val="00AF02D0"/>
    <w:rsid w:val="00AF044A"/>
    <w:rsid w:val="00AF2A30"/>
    <w:rsid w:val="00AF3080"/>
    <w:rsid w:val="00AF71D8"/>
    <w:rsid w:val="00B10502"/>
    <w:rsid w:val="00B10C25"/>
    <w:rsid w:val="00B14022"/>
    <w:rsid w:val="00B17BA2"/>
    <w:rsid w:val="00B23C23"/>
    <w:rsid w:val="00B24731"/>
    <w:rsid w:val="00B25975"/>
    <w:rsid w:val="00B2662A"/>
    <w:rsid w:val="00B3211E"/>
    <w:rsid w:val="00B32D2F"/>
    <w:rsid w:val="00B36286"/>
    <w:rsid w:val="00B36A42"/>
    <w:rsid w:val="00B377BA"/>
    <w:rsid w:val="00B42788"/>
    <w:rsid w:val="00B520ED"/>
    <w:rsid w:val="00B55369"/>
    <w:rsid w:val="00B6136F"/>
    <w:rsid w:val="00B6701A"/>
    <w:rsid w:val="00B70CCD"/>
    <w:rsid w:val="00B879F7"/>
    <w:rsid w:val="00B87A32"/>
    <w:rsid w:val="00B9723B"/>
    <w:rsid w:val="00B9771F"/>
    <w:rsid w:val="00BA5C2F"/>
    <w:rsid w:val="00BA5EE7"/>
    <w:rsid w:val="00BB24CA"/>
    <w:rsid w:val="00BB4FB6"/>
    <w:rsid w:val="00BC4B83"/>
    <w:rsid w:val="00BC777B"/>
    <w:rsid w:val="00BD0B63"/>
    <w:rsid w:val="00BD2066"/>
    <w:rsid w:val="00BD691D"/>
    <w:rsid w:val="00BD6DFC"/>
    <w:rsid w:val="00BE5DBC"/>
    <w:rsid w:val="00BF4B27"/>
    <w:rsid w:val="00BF4D75"/>
    <w:rsid w:val="00BF7B5D"/>
    <w:rsid w:val="00C044DA"/>
    <w:rsid w:val="00C054EC"/>
    <w:rsid w:val="00C21158"/>
    <w:rsid w:val="00C34125"/>
    <w:rsid w:val="00C423C1"/>
    <w:rsid w:val="00C44BB9"/>
    <w:rsid w:val="00C45C37"/>
    <w:rsid w:val="00C56D35"/>
    <w:rsid w:val="00C611B4"/>
    <w:rsid w:val="00C66326"/>
    <w:rsid w:val="00C7252F"/>
    <w:rsid w:val="00C85435"/>
    <w:rsid w:val="00C8549E"/>
    <w:rsid w:val="00C860AC"/>
    <w:rsid w:val="00CA1DE9"/>
    <w:rsid w:val="00CA77CF"/>
    <w:rsid w:val="00CB17B7"/>
    <w:rsid w:val="00CB4FEA"/>
    <w:rsid w:val="00CB7AB1"/>
    <w:rsid w:val="00CC4D7F"/>
    <w:rsid w:val="00CC58A0"/>
    <w:rsid w:val="00CC673A"/>
    <w:rsid w:val="00CD01FA"/>
    <w:rsid w:val="00CD3953"/>
    <w:rsid w:val="00CD7372"/>
    <w:rsid w:val="00CE2D50"/>
    <w:rsid w:val="00CE577E"/>
    <w:rsid w:val="00CE6E4C"/>
    <w:rsid w:val="00CF0BA2"/>
    <w:rsid w:val="00D10647"/>
    <w:rsid w:val="00D12544"/>
    <w:rsid w:val="00D17EC7"/>
    <w:rsid w:val="00D26C39"/>
    <w:rsid w:val="00D303D2"/>
    <w:rsid w:val="00D30FE0"/>
    <w:rsid w:val="00D3248A"/>
    <w:rsid w:val="00D33188"/>
    <w:rsid w:val="00D33485"/>
    <w:rsid w:val="00D40A0E"/>
    <w:rsid w:val="00D454E0"/>
    <w:rsid w:val="00D45696"/>
    <w:rsid w:val="00D509E1"/>
    <w:rsid w:val="00D60B9A"/>
    <w:rsid w:val="00D65D31"/>
    <w:rsid w:val="00D65FC7"/>
    <w:rsid w:val="00D87C75"/>
    <w:rsid w:val="00D941D1"/>
    <w:rsid w:val="00DA2E4E"/>
    <w:rsid w:val="00DA3F59"/>
    <w:rsid w:val="00DA6D56"/>
    <w:rsid w:val="00DB16AB"/>
    <w:rsid w:val="00DC0B24"/>
    <w:rsid w:val="00DC0BC4"/>
    <w:rsid w:val="00DC5F05"/>
    <w:rsid w:val="00DD4A84"/>
    <w:rsid w:val="00DE12A5"/>
    <w:rsid w:val="00DE5952"/>
    <w:rsid w:val="00DE5F7D"/>
    <w:rsid w:val="00DF14E9"/>
    <w:rsid w:val="00DF3986"/>
    <w:rsid w:val="00DF7AEA"/>
    <w:rsid w:val="00E020B0"/>
    <w:rsid w:val="00E12F40"/>
    <w:rsid w:val="00E1760D"/>
    <w:rsid w:val="00E20D99"/>
    <w:rsid w:val="00E2338D"/>
    <w:rsid w:val="00E43946"/>
    <w:rsid w:val="00E43D02"/>
    <w:rsid w:val="00E4785B"/>
    <w:rsid w:val="00E51C84"/>
    <w:rsid w:val="00E52B15"/>
    <w:rsid w:val="00E54EC0"/>
    <w:rsid w:val="00E57EE9"/>
    <w:rsid w:val="00E60B2B"/>
    <w:rsid w:val="00E7060B"/>
    <w:rsid w:val="00E7262D"/>
    <w:rsid w:val="00E73B40"/>
    <w:rsid w:val="00E924EB"/>
    <w:rsid w:val="00E94E68"/>
    <w:rsid w:val="00E9676A"/>
    <w:rsid w:val="00EA2F77"/>
    <w:rsid w:val="00EB0AA8"/>
    <w:rsid w:val="00EB1ACE"/>
    <w:rsid w:val="00EB51B0"/>
    <w:rsid w:val="00EC4401"/>
    <w:rsid w:val="00EC79B7"/>
    <w:rsid w:val="00ED42EE"/>
    <w:rsid w:val="00EE2AA0"/>
    <w:rsid w:val="00EF33CC"/>
    <w:rsid w:val="00EF4558"/>
    <w:rsid w:val="00EF611C"/>
    <w:rsid w:val="00EF7FBD"/>
    <w:rsid w:val="00F00585"/>
    <w:rsid w:val="00F00F5D"/>
    <w:rsid w:val="00F03F8F"/>
    <w:rsid w:val="00F12360"/>
    <w:rsid w:val="00F171FA"/>
    <w:rsid w:val="00F36C6A"/>
    <w:rsid w:val="00F411D7"/>
    <w:rsid w:val="00F50193"/>
    <w:rsid w:val="00F53917"/>
    <w:rsid w:val="00F60883"/>
    <w:rsid w:val="00F670E5"/>
    <w:rsid w:val="00F73E17"/>
    <w:rsid w:val="00F76ABA"/>
    <w:rsid w:val="00F859D2"/>
    <w:rsid w:val="00F869E4"/>
    <w:rsid w:val="00F86F92"/>
    <w:rsid w:val="00F9714C"/>
    <w:rsid w:val="00FB35AF"/>
    <w:rsid w:val="00FB7B2B"/>
    <w:rsid w:val="00FD3EC4"/>
    <w:rsid w:val="00FD6102"/>
    <w:rsid w:val="00FE07FA"/>
    <w:rsid w:val="00FE30EF"/>
    <w:rsid w:val="00FF1F6E"/>
    <w:rsid w:val="00FF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rsid w:val="00355BDF"/>
    <w:pPr>
      <w:spacing w:line="240" w:lineRule="auto"/>
    </w:pPr>
    <w:rPr>
      <w:sz w:val="20"/>
      <w:szCs w:val="20"/>
    </w:rPr>
  </w:style>
  <w:style w:type="character" w:customStyle="1" w:styleId="FunotentextZchn">
    <w:name w:val="Fußnotentext Zchn"/>
    <w:basedOn w:val="Absatz-Standardschriftart"/>
    <w:link w:val="Funotentext"/>
    <w:rsid w:val="00355BDF"/>
    <w:rPr>
      <w:rFonts w:ascii="Lucida Sans Unicode" w:hAnsi="Lucida Sans Unicode"/>
      <w:position w:val="-2"/>
    </w:rPr>
  </w:style>
  <w:style w:type="character" w:styleId="Funotenzeichen">
    <w:name w:val="footnote reference"/>
    <w:basedOn w:val="Absatz-Standardschriftart"/>
    <w:rsid w:val="00355B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rsid w:val="00355BDF"/>
    <w:pPr>
      <w:spacing w:line="240" w:lineRule="auto"/>
    </w:pPr>
    <w:rPr>
      <w:sz w:val="20"/>
      <w:szCs w:val="20"/>
    </w:rPr>
  </w:style>
  <w:style w:type="character" w:customStyle="1" w:styleId="FunotentextZchn">
    <w:name w:val="Fußnotentext Zchn"/>
    <w:basedOn w:val="Absatz-Standardschriftart"/>
    <w:link w:val="Funotentext"/>
    <w:rsid w:val="00355BDF"/>
    <w:rPr>
      <w:rFonts w:ascii="Lucida Sans Unicode" w:hAnsi="Lucida Sans Unicode"/>
      <w:position w:val="-2"/>
    </w:rPr>
  </w:style>
  <w:style w:type="character" w:styleId="Funotenzeichen">
    <w:name w:val="footnote reference"/>
    <w:basedOn w:val="Absatz-Standardschriftart"/>
    <w:rsid w:val="00355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513E-E3F2-4E8E-B0CD-80CECE0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12F4EC47</Template>
  <TotalTime>0</TotalTime>
  <Pages>10</Pages>
  <Words>2369</Words>
  <Characters>15907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18240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Mueller, Barbara</dc:creator>
  <cp:lastModifiedBy>Hesterkamp, Anja</cp:lastModifiedBy>
  <cp:revision>10</cp:revision>
  <cp:lastPrinted>2014-07-30T14:59:00Z</cp:lastPrinted>
  <dcterms:created xsi:type="dcterms:W3CDTF">2014-07-30T11:23:00Z</dcterms:created>
  <dcterms:modified xsi:type="dcterms:W3CDTF">2014-07-30T15:00:00Z</dcterms:modified>
</cp:coreProperties>
</file>