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493CFF">
            <w:pPr>
              <w:pStyle w:val="E-Datum"/>
              <w:framePr w:wrap="auto" w:vAnchor="margin" w:hAnchor="text" w:xAlign="left" w:yAlign="inline"/>
              <w:suppressOverlap w:val="0"/>
            </w:pPr>
            <w:r>
              <w:t>25. September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493CFF">
            <w:pPr>
              <w:pStyle w:val="M1"/>
              <w:framePr w:wrap="auto" w:vAnchor="margin" w:hAnchor="text" w:xAlign="left" w:yAlign="inline"/>
              <w:suppressOverlap w:val="0"/>
            </w:pPr>
            <w:r>
              <w:br/>
            </w: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E78B0">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E78B0">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E78B0">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E78B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E78B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E78B0">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E78B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E78B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E78B0">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E78B0">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E78B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E78B0">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3E78B0">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E78B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E78B0">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E78B0">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E78B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E78B0">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E78B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E78B0">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493CFF" w:rsidRDefault="00493CFF" w:rsidP="00493CFF">
      <w:pPr>
        <w:spacing w:line="300" w:lineRule="exact"/>
        <w:ind w:left="0"/>
        <w:rPr>
          <w:b/>
          <w:bCs/>
          <w:sz w:val="24"/>
        </w:rPr>
      </w:pPr>
      <w:bookmarkStart w:id="0" w:name="_GoBack"/>
      <w:r>
        <w:rPr>
          <w:b/>
          <w:bCs/>
          <w:sz w:val="24"/>
        </w:rPr>
        <w:lastRenderedPageBreak/>
        <w:t>Evonik legt detaillierte Treibhausgasbilanz für 2013 vor</w:t>
      </w:r>
      <w:bookmarkEnd w:id="0"/>
    </w:p>
    <w:p w:rsidR="00493CFF" w:rsidRDefault="00493CFF" w:rsidP="00493CFF">
      <w:pPr>
        <w:spacing w:line="300" w:lineRule="atLeast"/>
        <w:ind w:left="0" w:right="0"/>
        <w:rPr>
          <w:rFonts w:cs="Lucida Sans Unicode"/>
          <w:sz w:val="20"/>
          <w:szCs w:val="20"/>
        </w:rPr>
      </w:pPr>
    </w:p>
    <w:p w:rsidR="00493CFF" w:rsidRDefault="00493CFF" w:rsidP="00493CFF">
      <w:pPr>
        <w:numPr>
          <w:ilvl w:val="0"/>
          <w:numId w:val="14"/>
        </w:numPr>
        <w:tabs>
          <w:tab w:val="clear" w:pos="1425"/>
          <w:tab w:val="num" w:pos="340"/>
        </w:tabs>
        <w:spacing w:line="300" w:lineRule="exact"/>
        <w:ind w:left="340" w:hanging="340"/>
        <w:rPr>
          <w:rFonts w:cs="Lucida Sans Unicode"/>
          <w:position w:val="0"/>
          <w:sz w:val="24"/>
        </w:rPr>
      </w:pPr>
      <w:r w:rsidRPr="00493CFF">
        <w:rPr>
          <w:rFonts w:cs="Lucida Sans Unicode"/>
          <w:position w:val="0"/>
          <w:sz w:val="24"/>
        </w:rPr>
        <w:t>23,4 Millionen Tonnen</w:t>
      </w:r>
      <w:r w:rsidRPr="00E85FD3">
        <w:rPr>
          <w:rFonts w:cs="Lucida Sans Unicode"/>
          <w:position w:val="0"/>
          <w:sz w:val="24"/>
        </w:rPr>
        <w:t xml:space="preserve"> Treibhau</w:t>
      </w:r>
      <w:r>
        <w:rPr>
          <w:rFonts w:cs="Lucida Sans Unicode"/>
          <w:position w:val="0"/>
          <w:sz w:val="24"/>
        </w:rPr>
        <w:t>sg</w:t>
      </w:r>
      <w:r w:rsidRPr="00E85FD3">
        <w:rPr>
          <w:rFonts w:cs="Lucida Sans Unicode"/>
          <w:position w:val="0"/>
          <w:sz w:val="24"/>
        </w:rPr>
        <w:t xml:space="preserve">asemissionen in </w:t>
      </w:r>
      <w:r w:rsidRPr="00D87078">
        <w:rPr>
          <w:rFonts w:cs="Lucida Sans Unicode"/>
          <w:position w:val="0"/>
          <w:sz w:val="24"/>
        </w:rPr>
        <w:t>wesentlichen ausgewählten Kategorien</w:t>
      </w:r>
    </w:p>
    <w:p w:rsidR="00493CFF" w:rsidRPr="00795CF7" w:rsidRDefault="00493CFF" w:rsidP="00493CFF">
      <w:pPr>
        <w:numPr>
          <w:ilvl w:val="0"/>
          <w:numId w:val="14"/>
        </w:numPr>
        <w:tabs>
          <w:tab w:val="clear" w:pos="1425"/>
          <w:tab w:val="num" w:pos="340"/>
        </w:tabs>
        <w:spacing w:line="300" w:lineRule="exact"/>
        <w:ind w:left="340" w:hanging="340"/>
        <w:rPr>
          <w:rFonts w:cs="Lucida Sans Unicode"/>
          <w:position w:val="0"/>
          <w:sz w:val="24"/>
        </w:rPr>
      </w:pPr>
      <w:r w:rsidRPr="00795CF7">
        <w:rPr>
          <w:rFonts w:cs="Lucida Sans Unicode"/>
          <w:position w:val="0"/>
          <w:sz w:val="24"/>
        </w:rPr>
        <w:t xml:space="preserve">Ausgewählte in 2013 hergestellte Produkte sparen in der Anwendung 61,2 Millionen Tonnen Treibhausgase </w:t>
      </w:r>
    </w:p>
    <w:p w:rsidR="00493CFF" w:rsidRDefault="00493CFF" w:rsidP="00493CF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Personalvorstand und Arbeitsdirektor Thomas Wessel: „</w:t>
      </w:r>
      <w:r w:rsidRPr="00493CFF">
        <w:rPr>
          <w:rFonts w:cs="Lucida Sans Unicode"/>
          <w:position w:val="0"/>
          <w:sz w:val="24"/>
        </w:rPr>
        <w:t>Der Schutz von Klima und Umwelt ist eine wesentliche globale Herausforderung.“</w:t>
      </w:r>
    </w:p>
    <w:p w:rsidR="00493CFF" w:rsidRPr="001B73AD" w:rsidRDefault="00493CFF" w:rsidP="00493CFF">
      <w:pPr>
        <w:spacing w:line="300" w:lineRule="exact"/>
        <w:ind w:left="340"/>
        <w:rPr>
          <w:rFonts w:cs="Lucida Sans Unicode"/>
          <w:position w:val="0"/>
          <w:sz w:val="24"/>
        </w:rPr>
      </w:pPr>
    </w:p>
    <w:p w:rsidR="00493CFF" w:rsidRDefault="00493CFF" w:rsidP="00493CFF">
      <w:pPr>
        <w:spacing w:line="300" w:lineRule="atLeast"/>
        <w:ind w:left="0"/>
        <w:rPr>
          <w:rFonts w:cs="Lucida Sans Unicode"/>
          <w:sz w:val="20"/>
          <w:szCs w:val="20"/>
        </w:rPr>
      </w:pPr>
    </w:p>
    <w:p w:rsidR="00493CFF" w:rsidRDefault="00493CFF" w:rsidP="00493CFF">
      <w:pPr>
        <w:spacing w:line="300" w:lineRule="exact"/>
        <w:ind w:left="0"/>
        <w:rPr>
          <w:sz w:val="22"/>
          <w:szCs w:val="22"/>
        </w:rPr>
      </w:pPr>
      <w:r>
        <w:rPr>
          <w:sz w:val="22"/>
          <w:szCs w:val="22"/>
        </w:rPr>
        <w:t xml:space="preserve">Essen. Evonik hat mit dem „Evonik Carbon </w:t>
      </w:r>
      <w:proofErr w:type="spellStart"/>
      <w:r>
        <w:rPr>
          <w:sz w:val="22"/>
          <w:szCs w:val="22"/>
        </w:rPr>
        <w:t>Footprint</w:t>
      </w:r>
      <w:proofErr w:type="spellEnd"/>
      <w:r>
        <w:rPr>
          <w:sz w:val="22"/>
          <w:szCs w:val="22"/>
        </w:rPr>
        <w:t xml:space="preserve">“ eine detaillierte Treibhausgasbilanz für das Jahr 2013 vorgelegt. Sie stellt direkte und indirekte Treibhausgasemissionen von Evonik  dar. Außerdem erläutert sie, welche Emissionen durch Anwendung wichtiger Produkte des Konzerns vermieden werden. Thomas Wessel, Personalvorstand und Arbeitsdirektor von Evonik betonte: „Der Schutz von Klima und Umwelt ist eine wesentliche globale Herausforderung. Evonik nimmt diese Aufgabe als zentrale Elemente der unternehmerischen Verantwortung sehr ernst.“ </w:t>
      </w:r>
    </w:p>
    <w:p w:rsidR="00493CFF" w:rsidRDefault="00493CFF" w:rsidP="00493CFF">
      <w:pPr>
        <w:spacing w:line="300" w:lineRule="exact"/>
        <w:ind w:left="0"/>
        <w:rPr>
          <w:sz w:val="22"/>
          <w:szCs w:val="22"/>
        </w:rPr>
      </w:pPr>
    </w:p>
    <w:p w:rsidR="00493CFF" w:rsidRDefault="00493CFF" w:rsidP="00493CFF">
      <w:pPr>
        <w:spacing w:line="300" w:lineRule="exact"/>
        <w:ind w:left="0"/>
        <w:rPr>
          <w:sz w:val="22"/>
          <w:szCs w:val="22"/>
        </w:rPr>
      </w:pPr>
      <w:r>
        <w:rPr>
          <w:sz w:val="22"/>
          <w:szCs w:val="22"/>
        </w:rPr>
        <w:t>Entlang der Wertschöpfungskette summierten sich die Treibhausgasemissionen von Evonik im Jahr 2013 auf 23,4 Millionen Tonnen Kohlenstoffdioxidäquivalente (CO</w:t>
      </w:r>
      <w:r w:rsidRPr="003F0A02">
        <w:rPr>
          <w:sz w:val="22"/>
          <w:szCs w:val="22"/>
          <w:vertAlign w:val="subscript"/>
        </w:rPr>
        <w:t>2</w:t>
      </w:r>
      <w:r>
        <w:rPr>
          <w:sz w:val="22"/>
          <w:szCs w:val="22"/>
        </w:rPr>
        <w:t>e). Der mit 8,3 Millionen Tonnen höchste Anteil der Emissionen entfiel auf die CO</w:t>
      </w:r>
      <w:r w:rsidRPr="003F0A02">
        <w:rPr>
          <w:sz w:val="22"/>
          <w:szCs w:val="22"/>
          <w:vertAlign w:val="subscript"/>
        </w:rPr>
        <w:t>2</w:t>
      </w:r>
      <w:r>
        <w:rPr>
          <w:sz w:val="22"/>
          <w:szCs w:val="22"/>
        </w:rPr>
        <w:t xml:space="preserve">e-Rucksäcke der verwendeten chemischen Rohmaterialien. </w:t>
      </w:r>
      <w:r>
        <w:rPr>
          <w:sz w:val="22"/>
          <w:szCs w:val="22"/>
        </w:rPr>
        <w:br/>
        <w:t>6,3 Millionen Tonnen entstanden durch die Entsorgung verkaufter Produkte. Die Produktionsanlagen von Evonik verursachten 5,9 Millionen Tonnen CO</w:t>
      </w:r>
      <w:r w:rsidRPr="003F0A02">
        <w:rPr>
          <w:sz w:val="22"/>
          <w:szCs w:val="22"/>
          <w:vertAlign w:val="subscript"/>
        </w:rPr>
        <w:t>2</w:t>
      </w:r>
      <w:r>
        <w:rPr>
          <w:sz w:val="22"/>
          <w:szCs w:val="22"/>
        </w:rPr>
        <w:t>e. Auf Geschäftsreisen und den Weg der Mitarbeiter zur Arbeit entfielen zusammen 0,14 Millionen Tonnen CO</w:t>
      </w:r>
      <w:r w:rsidRPr="003F0A02">
        <w:rPr>
          <w:sz w:val="22"/>
          <w:szCs w:val="22"/>
          <w:vertAlign w:val="subscript"/>
        </w:rPr>
        <w:t>2</w:t>
      </w:r>
      <w:r>
        <w:rPr>
          <w:sz w:val="22"/>
          <w:szCs w:val="22"/>
        </w:rPr>
        <w:t>e. Die Bilanzierung erfolgte für wesentliche ausgewählte Kategorien entlang der Wertschöpfungskette und in enger Anlehnung an den „</w:t>
      </w:r>
      <w:proofErr w:type="spellStart"/>
      <w:r>
        <w:rPr>
          <w:sz w:val="22"/>
          <w:szCs w:val="22"/>
        </w:rPr>
        <w:t>Greenhouse</w:t>
      </w:r>
      <w:proofErr w:type="spellEnd"/>
      <w:r>
        <w:rPr>
          <w:sz w:val="22"/>
          <w:szCs w:val="22"/>
        </w:rPr>
        <w:t xml:space="preserve"> Gas Protocol Corporate Standard“ des World Resources Institute (WRI) und des World Business Council </w:t>
      </w:r>
      <w:proofErr w:type="spellStart"/>
      <w:r>
        <w:rPr>
          <w:sz w:val="22"/>
          <w:szCs w:val="22"/>
        </w:rPr>
        <w:t>for</w:t>
      </w:r>
      <w:proofErr w:type="spellEnd"/>
      <w:r>
        <w:rPr>
          <w:sz w:val="22"/>
          <w:szCs w:val="22"/>
        </w:rPr>
        <w:t xml:space="preserve"> </w:t>
      </w:r>
      <w:proofErr w:type="spellStart"/>
      <w:r>
        <w:rPr>
          <w:sz w:val="22"/>
          <w:szCs w:val="22"/>
        </w:rPr>
        <w:t>Sustainable</w:t>
      </w:r>
      <w:proofErr w:type="spellEnd"/>
      <w:r>
        <w:rPr>
          <w:sz w:val="22"/>
          <w:szCs w:val="22"/>
        </w:rPr>
        <w:t xml:space="preserve"> Development (WBCSD). </w:t>
      </w:r>
    </w:p>
    <w:p w:rsidR="00493CFF" w:rsidRDefault="00493CFF" w:rsidP="00493CFF">
      <w:pPr>
        <w:spacing w:line="300" w:lineRule="exact"/>
        <w:ind w:left="0"/>
        <w:rPr>
          <w:sz w:val="22"/>
          <w:szCs w:val="22"/>
        </w:rPr>
      </w:pPr>
    </w:p>
    <w:p w:rsidR="00493CFF" w:rsidRDefault="00493CFF" w:rsidP="00493CFF">
      <w:pPr>
        <w:spacing w:line="300" w:lineRule="exact"/>
        <w:ind w:left="0"/>
        <w:rPr>
          <w:sz w:val="22"/>
          <w:szCs w:val="22"/>
        </w:rPr>
      </w:pPr>
      <w:r>
        <w:rPr>
          <w:sz w:val="22"/>
          <w:szCs w:val="22"/>
        </w:rPr>
        <w:t xml:space="preserve">Verglichen mit anderen am Markt erhältlichen Alternativen werden durch die Anwendung ausgewählter Produkte von Evonik 61,2 Millionen Tonnen Treibhausgase vermieden. Bei den Produkten handelt es sich um die „Grüne Reifen“-Technologie, Aminosäuren in der Tierernährung, Schaumstabilisatoren für Dämmmaterialien, </w:t>
      </w:r>
      <w:r>
        <w:rPr>
          <w:sz w:val="22"/>
          <w:szCs w:val="22"/>
        </w:rPr>
        <w:lastRenderedPageBreak/>
        <w:t xml:space="preserve">Spezialoxide in Energiesparlampen sowie Öladditive in Hydraulikölen. Die Einsparungen entstehen über den Lebenszyklus der Endanwendungen, die mit den im Jahr 2013 von Evonik verkauften Produktmengen hergestellt wurden. Die Berechnung erfolgte maßgeblich anhand der vom „World Business Council </w:t>
      </w:r>
      <w:proofErr w:type="spellStart"/>
      <w:r>
        <w:rPr>
          <w:sz w:val="22"/>
          <w:szCs w:val="22"/>
        </w:rPr>
        <w:t>for</w:t>
      </w:r>
      <w:proofErr w:type="spellEnd"/>
      <w:r>
        <w:rPr>
          <w:sz w:val="22"/>
          <w:szCs w:val="22"/>
        </w:rPr>
        <w:t xml:space="preserve"> </w:t>
      </w:r>
      <w:proofErr w:type="spellStart"/>
      <w:r>
        <w:rPr>
          <w:sz w:val="22"/>
          <w:szCs w:val="22"/>
        </w:rPr>
        <w:t>Sustainable</w:t>
      </w:r>
      <w:proofErr w:type="spellEnd"/>
      <w:r>
        <w:rPr>
          <w:sz w:val="22"/>
          <w:szCs w:val="22"/>
        </w:rPr>
        <w:t xml:space="preserve"> Development“ (WBCSD) veröffentlichten Richtlinien für die Bilanzierung vermiedener Emissionen.</w:t>
      </w:r>
    </w:p>
    <w:p w:rsidR="00493CFF" w:rsidRDefault="00493CFF" w:rsidP="00493CFF">
      <w:pPr>
        <w:spacing w:line="300" w:lineRule="exact"/>
        <w:ind w:left="0"/>
        <w:rPr>
          <w:sz w:val="22"/>
          <w:szCs w:val="22"/>
        </w:rPr>
      </w:pPr>
    </w:p>
    <w:p w:rsidR="00493CFF" w:rsidRDefault="00A805C4" w:rsidP="00493CFF">
      <w:pPr>
        <w:spacing w:line="300" w:lineRule="exact"/>
        <w:ind w:left="0"/>
        <w:rPr>
          <w:sz w:val="22"/>
          <w:szCs w:val="22"/>
        </w:rPr>
      </w:pPr>
      <w:r>
        <w:rPr>
          <w:sz w:val="22"/>
          <w:szCs w:val="22"/>
        </w:rPr>
        <w:t xml:space="preserve">Kürzlich hat sich </w:t>
      </w:r>
      <w:r w:rsidR="00493CFF">
        <w:rPr>
          <w:sz w:val="22"/>
          <w:szCs w:val="22"/>
        </w:rPr>
        <w:t>das Unternehmen neue ambitionierte Umweltziele gegeben. Bis 20</w:t>
      </w:r>
      <w:r>
        <w:rPr>
          <w:sz w:val="22"/>
          <w:szCs w:val="22"/>
        </w:rPr>
        <w:t>20 will Evonik die spezifischen T</w:t>
      </w:r>
      <w:r w:rsidR="00493CFF">
        <w:rPr>
          <w:sz w:val="22"/>
          <w:szCs w:val="22"/>
        </w:rPr>
        <w:t>reibhausgas</w:t>
      </w:r>
      <w:r>
        <w:rPr>
          <w:sz w:val="22"/>
          <w:szCs w:val="22"/>
        </w:rPr>
        <w:t>-</w:t>
      </w:r>
      <w:r w:rsidR="00493CFF">
        <w:rPr>
          <w:sz w:val="22"/>
          <w:szCs w:val="22"/>
        </w:rPr>
        <w:t xml:space="preserve">emissionen in Relation zur Produktion gegenüber 2012 um </w:t>
      </w:r>
      <w:r>
        <w:rPr>
          <w:sz w:val="22"/>
          <w:szCs w:val="22"/>
        </w:rPr>
        <w:br/>
      </w:r>
      <w:r w:rsidR="00493CFF">
        <w:rPr>
          <w:sz w:val="22"/>
          <w:szCs w:val="22"/>
        </w:rPr>
        <w:t>12 Prozent senken. Die Kennzahl umfasst alle direkten Treibhausgasemissionen sowie die indirekten Netto-Emissionen aus dem Zu- und Verkauf von Energie.</w:t>
      </w:r>
    </w:p>
    <w:p w:rsidR="00493CFF" w:rsidRDefault="00493CFF" w:rsidP="00493CFF">
      <w:pPr>
        <w:spacing w:line="300" w:lineRule="exact"/>
        <w:ind w:left="0"/>
        <w:rPr>
          <w:sz w:val="22"/>
          <w:szCs w:val="22"/>
        </w:rPr>
      </w:pPr>
    </w:p>
    <w:p w:rsidR="00493CFF" w:rsidRDefault="00493CFF" w:rsidP="00493CFF">
      <w:pPr>
        <w:spacing w:line="300" w:lineRule="exact"/>
        <w:ind w:left="0"/>
        <w:rPr>
          <w:sz w:val="22"/>
          <w:szCs w:val="22"/>
        </w:rPr>
      </w:pPr>
      <w:r>
        <w:rPr>
          <w:sz w:val="22"/>
          <w:szCs w:val="22"/>
        </w:rPr>
        <w:t xml:space="preserve">Daneben prüft Evonik die Treibhausgaswirkungen aller Neuentwicklungen seiner strategischen Innovationseinheit </w:t>
      </w:r>
      <w:proofErr w:type="spellStart"/>
      <w:r>
        <w:rPr>
          <w:sz w:val="22"/>
          <w:szCs w:val="22"/>
        </w:rPr>
        <w:t>Creavis</w:t>
      </w:r>
      <w:proofErr w:type="spellEnd"/>
      <w:r>
        <w:rPr>
          <w:sz w:val="22"/>
          <w:szCs w:val="22"/>
        </w:rPr>
        <w:t xml:space="preserve">. Nur Projekte, die im Vergleich zu etablierten Standards weniger Treibhausgasemissionen erwarten lassen, werden fortgeführt. </w:t>
      </w:r>
    </w:p>
    <w:p w:rsidR="00493CFF" w:rsidRDefault="00493CFF" w:rsidP="00493CFF">
      <w:pPr>
        <w:spacing w:line="300" w:lineRule="exact"/>
        <w:ind w:left="0"/>
        <w:rPr>
          <w:sz w:val="22"/>
          <w:szCs w:val="22"/>
        </w:rPr>
      </w:pPr>
      <w:r>
        <w:rPr>
          <w:sz w:val="22"/>
          <w:szCs w:val="22"/>
        </w:rPr>
        <w:t xml:space="preserve">Ein eigenes </w:t>
      </w:r>
      <w:proofErr w:type="spellStart"/>
      <w:r>
        <w:rPr>
          <w:sz w:val="22"/>
          <w:szCs w:val="22"/>
        </w:rPr>
        <w:t>Spezialistenteam</w:t>
      </w:r>
      <w:proofErr w:type="spellEnd"/>
      <w:r>
        <w:rPr>
          <w:sz w:val="22"/>
          <w:szCs w:val="22"/>
        </w:rPr>
        <w:t xml:space="preserve"> unterstützt die operativen Einheiten bei der Erstellung von Life Cycle Assessments und Nachhaltigkeitsbewertungen. </w:t>
      </w:r>
    </w:p>
    <w:p w:rsidR="00493CFF" w:rsidRDefault="00493CFF" w:rsidP="00493CFF">
      <w:pPr>
        <w:spacing w:line="300" w:lineRule="exact"/>
        <w:ind w:left="0"/>
        <w:rPr>
          <w:sz w:val="22"/>
          <w:szCs w:val="22"/>
        </w:rPr>
      </w:pPr>
    </w:p>
    <w:p w:rsidR="00564954" w:rsidRDefault="00493CFF">
      <w:pPr>
        <w:spacing w:line="300" w:lineRule="exact"/>
        <w:ind w:left="0"/>
        <w:rPr>
          <w:sz w:val="22"/>
          <w:szCs w:val="22"/>
        </w:rPr>
      </w:pPr>
      <w:r>
        <w:rPr>
          <w:sz w:val="22"/>
          <w:szCs w:val="22"/>
        </w:rPr>
        <w:t xml:space="preserve">Der Evonik Carbon </w:t>
      </w:r>
      <w:proofErr w:type="spellStart"/>
      <w:r>
        <w:rPr>
          <w:sz w:val="22"/>
          <w:szCs w:val="22"/>
        </w:rPr>
        <w:t>Footprint</w:t>
      </w:r>
      <w:proofErr w:type="spellEnd"/>
      <w:r>
        <w:rPr>
          <w:sz w:val="22"/>
          <w:szCs w:val="22"/>
        </w:rPr>
        <w:t xml:space="preserve"> ist im Internet unter </w:t>
      </w:r>
      <w:hyperlink r:id="rId12" w:history="1">
        <w:r w:rsidR="0036446E">
          <w:rPr>
            <w:rFonts w:ascii="Trebuchet MS" w:hAnsi="Trebuchet MS" w:cs="Trebuchet MS"/>
            <w:color w:val="0000FF"/>
            <w:position w:val="0"/>
            <w:sz w:val="24"/>
            <w:u w:val="single"/>
          </w:rPr>
          <w:t>www.evonik.de/verantwortung</w:t>
        </w:r>
      </w:hyperlink>
      <w:r w:rsidR="0036446E">
        <w:rPr>
          <w:rFonts w:ascii="Trebuchet MS" w:hAnsi="Trebuchet MS" w:cs="Trebuchet MS"/>
          <w:color w:val="000000"/>
          <w:position w:val="0"/>
          <w:sz w:val="24"/>
        </w:rPr>
        <w:t xml:space="preserve"> </w:t>
      </w:r>
      <w:r>
        <w:rPr>
          <w:sz w:val="22"/>
          <w:szCs w:val="22"/>
        </w:rPr>
        <w:t xml:space="preserve"> abrufbar. Die Studie umfasst die Jahre 2009 bis 2013. Sie wurde von einer Wirtschaftsprüfungsgesellschaft einer betriebswirtschaftlichen Prüfung unterzogen.</w:t>
      </w:r>
    </w:p>
    <w:p w:rsidR="00564954" w:rsidRDefault="00564954">
      <w:pPr>
        <w:spacing w:line="300" w:lineRule="exact"/>
        <w:ind w:left="0"/>
        <w:rPr>
          <w:sz w:val="22"/>
          <w:szCs w:val="22"/>
        </w:rPr>
      </w:pPr>
    </w:p>
    <w:p w:rsidR="0036446E" w:rsidRDefault="0036446E">
      <w:pPr>
        <w:spacing w:line="240" w:lineRule="auto"/>
        <w:ind w:left="0" w:right="0"/>
        <w:rPr>
          <w:rFonts w:cs="Lucida Sans Unicode"/>
          <w:b/>
          <w:bCs/>
          <w:position w:val="0"/>
          <w:szCs w:val="18"/>
        </w:rPr>
      </w:pPr>
      <w:r>
        <w:rPr>
          <w:rFonts w:cs="Lucida Sans Unicode"/>
          <w:b/>
          <w:bCs/>
          <w:position w:val="0"/>
          <w:szCs w:val="18"/>
        </w:rPr>
        <w:br w:type="page"/>
      </w:r>
    </w:p>
    <w:p w:rsidR="00EB7EEE" w:rsidRPr="006105D2" w:rsidRDefault="00B25C7D">
      <w:pPr>
        <w:autoSpaceDE w:val="0"/>
        <w:autoSpaceDN w:val="0"/>
        <w:adjustRightInd w:val="0"/>
        <w:spacing w:line="220" w:lineRule="exact"/>
        <w:ind w:left="0" w:right="0"/>
        <w:rPr>
          <w:rFonts w:cs="Lucida Sans Unicode"/>
          <w:bCs/>
          <w:position w:val="0"/>
          <w:szCs w:val="18"/>
        </w:rPr>
      </w:pPr>
      <w:r>
        <w:rPr>
          <w:rFonts w:cs="Lucida Sans Unicode"/>
          <w:bCs/>
          <w:noProof/>
          <w:position w:val="0"/>
          <w:szCs w:val="18"/>
          <w:lang w:val="en-US" w:eastAsia="en-US"/>
        </w:rPr>
        <w:lastRenderedPageBreak/>
        <w:drawing>
          <wp:anchor distT="0" distB="0" distL="114300" distR="114300" simplePos="0" relativeHeight="251658240" behindDoc="0" locked="0" layoutInCell="1" allowOverlap="1" wp14:anchorId="12F895FB" wp14:editId="659E7D59">
            <wp:simplePos x="0" y="0"/>
            <wp:positionH relativeFrom="margin">
              <wp:posOffset>1905</wp:posOffset>
            </wp:positionH>
            <wp:positionV relativeFrom="margin">
              <wp:posOffset>-593725</wp:posOffset>
            </wp:positionV>
            <wp:extent cx="2628900" cy="4241800"/>
            <wp:effectExtent l="0" t="0" r="0" b="6350"/>
            <wp:wrapTopAndBottom/>
            <wp:docPr id="7" name="Grafik 7" descr="S:\BS-CC\Konzernredaktion\Allgemein\1-Pressemitteilungen\Pm2014\09-25-CC-Evonik Carbon Footprint 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4\09-25-CC-Evonik Carbon Footprint 201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24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05D2" w:rsidRPr="006105D2" w:rsidRDefault="006105D2">
      <w:pPr>
        <w:autoSpaceDE w:val="0"/>
        <w:autoSpaceDN w:val="0"/>
        <w:adjustRightInd w:val="0"/>
        <w:spacing w:line="220" w:lineRule="exact"/>
        <w:ind w:left="0" w:right="0"/>
        <w:rPr>
          <w:rFonts w:cs="Lucida Sans Unicode"/>
          <w:bCs/>
          <w:position w:val="0"/>
          <w:szCs w:val="18"/>
        </w:rPr>
      </w:pPr>
    </w:p>
    <w:p w:rsidR="006105D2" w:rsidRPr="006105D2" w:rsidRDefault="006105D2">
      <w:pPr>
        <w:autoSpaceDE w:val="0"/>
        <w:autoSpaceDN w:val="0"/>
        <w:adjustRightInd w:val="0"/>
        <w:spacing w:line="220" w:lineRule="exact"/>
        <w:ind w:left="0" w:right="0"/>
        <w:rPr>
          <w:rFonts w:cs="Lucida Sans Unicode"/>
          <w:bCs/>
          <w:position w:val="0"/>
          <w:szCs w:val="18"/>
        </w:rPr>
      </w:pPr>
    </w:p>
    <w:p w:rsidR="00B25C7D" w:rsidRPr="006105D2" w:rsidRDefault="00B25C7D">
      <w:pPr>
        <w:autoSpaceDE w:val="0"/>
        <w:autoSpaceDN w:val="0"/>
        <w:adjustRightInd w:val="0"/>
        <w:spacing w:line="220" w:lineRule="exact"/>
        <w:ind w:left="0" w:right="0"/>
        <w:rPr>
          <w:rFonts w:cs="Lucida Sans Unicode"/>
          <w:bCs/>
          <w:position w:val="0"/>
          <w:szCs w:val="18"/>
        </w:rPr>
      </w:pPr>
    </w:p>
    <w:p w:rsidR="00EB7EEE" w:rsidRPr="006105D2" w:rsidRDefault="00EB7EEE">
      <w:pPr>
        <w:autoSpaceDE w:val="0"/>
        <w:autoSpaceDN w:val="0"/>
        <w:adjustRightInd w:val="0"/>
        <w:spacing w:line="220" w:lineRule="exact"/>
        <w:ind w:left="0" w:right="0"/>
        <w:rPr>
          <w:rFonts w:cs="Lucida Sans Unicode"/>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FF" w:rsidRDefault="00493CFF">
      <w:r>
        <w:separator/>
      </w:r>
    </w:p>
    <w:p w:rsidR="00493CFF" w:rsidRDefault="00493CFF"/>
  </w:endnote>
  <w:endnote w:type="continuationSeparator" w:id="0">
    <w:p w:rsidR="00493CFF" w:rsidRDefault="00493CFF">
      <w:r>
        <w:continuationSeparator/>
      </w:r>
    </w:p>
    <w:p w:rsidR="00493CFF" w:rsidRDefault="00493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23FA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23FA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23FA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23FA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FF" w:rsidRDefault="00493CFF">
      <w:r>
        <w:separator/>
      </w:r>
    </w:p>
    <w:p w:rsidR="00493CFF" w:rsidRDefault="00493CFF"/>
  </w:footnote>
  <w:footnote w:type="continuationSeparator" w:id="0">
    <w:p w:rsidR="00493CFF" w:rsidRDefault="00493CFF">
      <w:r>
        <w:continuationSeparator/>
      </w:r>
    </w:p>
    <w:p w:rsidR="00493CFF" w:rsidRDefault="00493C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FF"/>
    <w:rsid w:val="00044B5E"/>
    <w:rsid w:val="00290D3C"/>
    <w:rsid w:val="002F2E33"/>
    <w:rsid w:val="00334DE3"/>
    <w:rsid w:val="0036446E"/>
    <w:rsid w:val="003E78B0"/>
    <w:rsid w:val="003F0A02"/>
    <w:rsid w:val="00493CFF"/>
    <w:rsid w:val="00541076"/>
    <w:rsid w:val="00564954"/>
    <w:rsid w:val="006105D2"/>
    <w:rsid w:val="0076657E"/>
    <w:rsid w:val="007D7951"/>
    <w:rsid w:val="008F414D"/>
    <w:rsid w:val="00A071F3"/>
    <w:rsid w:val="00A6211A"/>
    <w:rsid w:val="00A805C4"/>
    <w:rsid w:val="00A823E6"/>
    <w:rsid w:val="00B14022"/>
    <w:rsid w:val="00B23FAB"/>
    <w:rsid w:val="00B25C7D"/>
    <w:rsid w:val="00CA2302"/>
    <w:rsid w:val="00CF4380"/>
    <w:rsid w:val="00EB7EEE"/>
    <w:rsid w:val="00F14085"/>
    <w:rsid w:val="00FD25CD"/>
    <w:rsid w:val="00FF2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de/verantwort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181963B2</Template>
  <TotalTime>0</TotalTime>
  <Pages>3</Pages>
  <Words>635</Words>
  <Characters>5011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legt detaillierte Treibhausgasbilanz für 2013 vor</dc:title>
  <dc:creator>Evonik Industries</dc:creator>
  <cp:lastModifiedBy>Bach, Katrin</cp:lastModifiedBy>
  <cp:revision>2</cp:revision>
  <cp:lastPrinted>2014-09-24T13:34:00Z</cp:lastPrinted>
  <dcterms:created xsi:type="dcterms:W3CDTF">2014-09-24T13:54:00Z</dcterms:created>
  <dcterms:modified xsi:type="dcterms:W3CDTF">2014-09-24T13:54:00Z</dcterms:modified>
</cp:coreProperties>
</file>