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63" w:rsidRPr="008224A5" w:rsidRDefault="00F00F5D" w:rsidP="0037497A">
      <w:pPr>
        <w:spacing w:line="300" w:lineRule="exact"/>
        <w:rPr>
          <w:b/>
          <w:szCs w:val="18"/>
          <w:u w:val="single"/>
        </w:rPr>
      </w:pPr>
      <w:bookmarkStart w:id="0" w:name="_GoBack"/>
      <w:bookmarkEnd w:id="0"/>
      <w:r w:rsidRPr="008224A5">
        <w:rPr>
          <w:b/>
          <w:szCs w:val="18"/>
          <w:u w:val="single"/>
        </w:rPr>
        <w:t xml:space="preserve">Sendesperrfrist: </w:t>
      </w:r>
      <w:r w:rsidR="00085C27">
        <w:rPr>
          <w:b/>
          <w:szCs w:val="18"/>
          <w:u w:val="single"/>
        </w:rPr>
        <w:t>30.10.2014</w:t>
      </w:r>
      <w:r w:rsidRPr="008224A5">
        <w:rPr>
          <w:b/>
          <w:szCs w:val="18"/>
          <w:u w:val="single"/>
        </w:rPr>
        <w:t xml:space="preserve">, </w:t>
      </w:r>
      <w:r w:rsidR="0095118D" w:rsidRPr="008224A5">
        <w:rPr>
          <w:b/>
          <w:szCs w:val="18"/>
          <w:u w:val="single"/>
        </w:rPr>
        <w:t>7:</w:t>
      </w:r>
      <w:r w:rsidR="00D87C75">
        <w:rPr>
          <w:b/>
          <w:szCs w:val="18"/>
          <w:u w:val="single"/>
        </w:rPr>
        <w:t>00</w:t>
      </w:r>
      <w:r w:rsidRPr="008224A5">
        <w:rPr>
          <w:b/>
          <w:szCs w:val="18"/>
          <w:u w:val="single"/>
        </w:rPr>
        <w:t xml:space="preserve"> Uhr</w:t>
      </w:r>
    </w:p>
    <w:p w:rsidR="00B6136F" w:rsidRPr="008224A5" w:rsidRDefault="00B6136F">
      <w:pPr>
        <w:spacing w:line="300" w:lineRule="exact"/>
        <w:ind w:left="0"/>
        <w:rPr>
          <w:b/>
          <w:sz w:val="20"/>
          <w:szCs w:val="20"/>
          <w:u w:val="single"/>
        </w:rPr>
        <w:sectPr w:rsidR="00B6136F" w:rsidRPr="008224A5">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085C27" w:rsidP="00BC777B">
            <w:pPr>
              <w:pStyle w:val="E-Datum"/>
              <w:framePr w:wrap="auto" w:vAnchor="margin" w:hAnchor="text" w:xAlign="left" w:yAlign="inline"/>
              <w:suppressOverlap w:val="0"/>
            </w:pPr>
            <w:r>
              <w:t>30. Oktober</w:t>
            </w:r>
            <w:r w:rsidR="009D5463">
              <w:t xml:space="preserve"> 201</w:t>
            </w:r>
            <w:r w:rsidR="00D87C75">
              <w:t>4</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B6136F" w:rsidRDefault="00AD7F34">
            <w:pPr>
              <w:pStyle w:val="M7"/>
              <w:framePr w:wrap="auto" w:vAnchor="margin" w:hAnchor="text" w:xAlign="left" w:yAlign="inline"/>
              <w:suppressOverlap w:val="0"/>
            </w:pPr>
            <w:r>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617B2D" w:rsidRDefault="00617B2D" w:rsidP="00617B2D">
            <w:pPr>
              <w:pStyle w:val="M7"/>
              <w:framePr w:wrap="auto" w:vAnchor="margin" w:hAnchor="text" w:xAlign="left" w:yAlign="inline"/>
              <w:suppressOverlap w:val="0"/>
            </w:pPr>
            <w:r>
              <w:br/>
              <w:t>Alexandra Boy</w:t>
            </w:r>
          </w:p>
          <w:p w:rsidR="00617B2D" w:rsidRDefault="00617B2D" w:rsidP="00617B2D">
            <w:pPr>
              <w:pStyle w:val="M8"/>
              <w:framePr w:wrap="auto" w:vAnchor="margin" w:hAnchor="text" w:xAlign="left" w:yAlign="inline"/>
              <w:suppressOverlap w:val="0"/>
            </w:pPr>
            <w:proofErr w:type="spellStart"/>
            <w:r>
              <w:t>Stellvertr</w:t>
            </w:r>
            <w:proofErr w:type="spellEnd"/>
            <w:r>
              <w:t xml:space="preserve">. Leiterin Konzernpresse </w:t>
            </w:r>
          </w:p>
          <w:p w:rsidR="00617B2D" w:rsidRDefault="00617B2D" w:rsidP="00617B2D">
            <w:pPr>
              <w:pStyle w:val="M9"/>
              <w:framePr w:wrap="auto" w:vAnchor="margin" w:hAnchor="text" w:xAlign="left" w:yAlign="inline"/>
              <w:suppressOverlap w:val="0"/>
            </w:pPr>
            <w:r>
              <w:t>Telefon +49</w:t>
            </w:r>
            <w:r>
              <w:tab/>
              <w:t>201 177-3167</w:t>
            </w:r>
          </w:p>
          <w:p w:rsidR="00617B2D" w:rsidRDefault="00617B2D" w:rsidP="00617B2D">
            <w:pPr>
              <w:pStyle w:val="M10"/>
              <w:framePr w:wrap="auto" w:vAnchor="margin" w:hAnchor="text" w:xAlign="left" w:yAlign="inline"/>
              <w:suppressOverlap w:val="0"/>
            </w:pPr>
            <w:r>
              <w:t>Telefax +49</w:t>
            </w:r>
            <w:r>
              <w:tab/>
              <w:t>201 177-3030</w:t>
            </w:r>
          </w:p>
          <w:p w:rsidR="00B6136F" w:rsidRPr="00617B2D" w:rsidRDefault="00617B2D" w:rsidP="00617B2D">
            <w:pPr>
              <w:pStyle w:val="M1"/>
              <w:framePr w:wrap="auto" w:vAnchor="margin" w:hAnchor="text" w:xAlign="left" w:yAlign="inline"/>
              <w:suppressOverlap w:val="0"/>
              <w:rPr>
                <w:b w:val="0"/>
              </w:rPr>
            </w:pPr>
            <w:r w:rsidRPr="00617B2D">
              <w:rPr>
                <w:b w:val="0"/>
              </w:rPr>
              <w:t>alexandra.boy@evonik.com</w:t>
            </w:r>
            <w:r w:rsidR="00B14022" w:rsidRPr="00617B2D">
              <w:rPr>
                <w:b w:val="0"/>
              </w:rPr>
              <w:br/>
            </w:r>
            <w:r w:rsidR="00B14022" w:rsidRPr="00617B2D">
              <w:rPr>
                <w:b w:val="0"/>
              </w:rPr>
              <w:br/>
            </w:r>
            <w:r w:rsidR="00B14022" w:rsidRPr="00617B2D">
              <w:rPr>
                <w:b w:val="0"/>
              </w:rP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54DF5">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54DF5">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54DF5">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54DF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54DF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54DF5">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54DF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54DF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54DF5">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54DF5">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54DF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54DF5">
              <w:rPr>
                <w:noProof/>
              </w:rPr>
              <w:t>Vorsitzender</w:t>
            </w:r>
            <w:r>
              <w:fldChar w:fldCharType="end"/>
            </w:r>
          </w:p>
          <w:p w:rsidR="00A76B0B" w:rsidRDefault="00A76B0B">
            <w:pPr>
              <w:pStyle w:val="V10"/>
              <w:framePr w:wrap="auto" w:vAnchor="margin" w:hAnchor="text" w:xAlign="left" w:yAlign="inline"/>
              <w:suppressOverlap w:val="0"/>
            </w:pPr>
            <w:r>
              <w:t>Christian Kullmann</w:t>
            </w:r>
          </w:p>
          <w:p w:rsidR="00B6136F" w:rsidRDefault="00B14022">
            <w:pPr>
              <w:pStyle w:val="V11"/>
              <w:framePr w:wrap="auto" w:vAnchor="margin" w:hAnchor="text" w:xAlign="left" w:yAlign="inline"/>
              <w:suppressOverlap w:val="0"/>
            </w:pPr>
            <w:r>
              <w:t>Thomas Wessel</w:t>
            </w:r>
            <w:r w:rsidR="000B1542">
              <w:t xml:space="preserve"> </w:t>
            </w:r>
            <w:r w:rsidR="002166B6">
              <w:br/>
            </w:r>
            <w:r>
              <w:fldChar w:fldCharType="begin">
                <w:ffData>
                  <w:name w:val=""/>
                  <w:enabled/>
                  <w:calcOnExit w:val="0"/>
                  <w:textInput>
                    <w:default w:val="Patrik Wohlhauser"/>
                  </w:textInput>
                </w:ffData>
              </w:fldChar>
            </w:r>
            <w:r>
              <w:instrText xml:space="preserve"> FORMTEXT </w:instrText>
            </w:r>
            <w:r>
              <w:fldChar w:fldCharType="separate"/>
            </w:r>
            <w:r w:rsidR="00654DF5">
              <w:rPr>
                <w:noProof/>
              </w:rPr>
              <w:t>Patrik Wohlhauser</w:t>
            </w:r>
            <w:r>
              <w:fldChar w:fldCharType="end"/>
            </w:r>
          </w:p>
          <w:p w:rsidR="00B6136F" w:rsidRDefault="002166B6">
            <w:pPr>
              <w:pStyle w:val="Marginalie"/>
              <w:framePr w:w="0" w:hSpace="0" w:wrap="auto" w:vAnchor="margin" w:hAnchor="text" w:xAlign="left" w:yAlign="inline"/>
            </w:pPr>
            <w:r>
              <w:t>Ute Wolf</w:t>
            </w:r>
            <w:r>
              <w:br/>
            </w: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54DF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54DF5">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54DF5">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54DF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54DF5">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54DF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54DF5">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F00F5D" w:rsidRDefault="00F00F5D" w:rsidP="0037497A">
      <w:pPr>
        <w:rPr>
          <w:u w:val="single"/>
        </w:rPr>
      </w:pPr>
    </w:p>
    <w:p w:rsidR="00395AF0" w:rsidRDefault="00395AF0" w:rsidP="0037497A">
      <w:pPr>
        <w:rPr>
          <w:u w:val="single"/>
        </w:rPr>
      </w:pPr>
    </w:p>
    <w:p w:rsidR="005D543A" w:rsidRDefault="005D543A" w:rsidP="0037497A">
      <w:pPr>
        <w:rPr>
          <w:u w:val="single"/>
        </w:rPr>
      </w:pPr>
    </w:p>
    <w:p w:rsidR="009D734A" w:rsidRDefault="009D734A" w:rsidP="0037497A">
      <w:pPr>
        <w:rPr>
          <w:u w:val="single"/>
        </w:rPr>
      </w:pPr>
      <w:r>
        <w:rPr>
          <w:u w:val="single"/>
        </w:rPr>
        <w:t>Wirtschaftliche Eckdaten:</w:t>
      </w:r>
      <w:r w:rsidR="00085C27">
        <w:rPr>
          <w:u w:val="single"/>
        </w:rPr>
        <w:br/>
        <w:t>1. Januar – 30. September 2014 / 3. Quartal 2014</w:t>
      </w:r>
    </w:p>
    <w:p w:rsidR="009D734A" w:rsidRDefault="009D734A" w:rsidP="0037497A">
      <w:pPr>
        <w:spacing w:line="300" w:lineRule="exact"/>
        <w:rPr>
          <w:u w:val="single"/>
        </w:rPr>
      </w:pPr>
    </w:p>
    <w:p w:rsidR="00A02C86" w:rsidRDefault="006E1D4C" w:rsidP="0037497A">
      <w:pPr>
        <w:rPr>
          <w:b/>
          <w:bCs/>
          <w:sz w:val="22"/>
          <w:szCs w:val="22"/>
        </w:rPr>
      </w:pPr>
      <w:bookmarkStart w:id="1" w:name="Überschrift"/>
      <w:r>
        <w:rPr>
          <w:b/>
          <w:bCs/>
          <w:sz w:val="22"/>
          <w:szCs w:val="22"/>
        </w:rPr>
        <w:t>3. Quartal 2</w:t>
      </w:r>
      <w:r w:rsidR="008C170E">
        <w:rPr>
          <w:b/>
          <w:bCs/>
          <w:sz w:val="22"/>
          <w:szCs w:val="22"/>
        </w:rPr>
        <w:t xml:space="preserve">014: </w:t>
      </w:r>
      <w:r>
        <w:rPr>
          <w:b/>
          <w:bCs/>
          <w:sz w:val="22"/>
          <w:szCs w:val="22"/>
        </w:rPr>
        <w:t xml:space="preserve">Erfolgreich in schwierigem Umfeld </w:t>
      </w:r>
      <w:r w:rsidR="00646713">
        <w:rPr>
          <w:b/>
          <w:bCs/>
          <w:sz w:val="22"/>
          <w:szCs w:val="22"/>
        </w:rPr>
        <w:t xml:space="preserve">– </w:t>
      </w:r>
      <w:r w:rsidR="007B1EC9">
        <w:rPr>
          <w:b/>
          <w:bCs/>
          <w:sz w:val="22"/>
          <w:szCs w:val="22"/>
        </w:rPr>
        <w:br/>
      </w:r>
      <w:r>
        <w:rPr>
          <w:b/>
          <w:bCs/>
          <w:sz w:val="22"/>
          <w:szCs w:val="22"/>
        </w:rPr>
        <w:t xml:space="preserve">Spürbare </w:t>
      </w:r>
      <w:r w:rsidR="007B1EC9">
        <w:rPr>
          <w:b/>
          <w:bCs/>
          <w:sz w:val="22"/>
          <w:szCs w:val="22"/>
        </w:rPr>
        <w:t xml:space="preserve">operative </w:t>
      </w:r>
      <w:r w:rsidR="00830A10">
        <w:rPr>
          <w:b/>
          <w:bCs/>
          <w:sz w:val="22"/>
          <w:szCs w:val="22"/>
        </w:rPr>
        <w:t>Ergebnisv</w:t>
      </w:r>
      <w:r w:rsidR="001C719C">
        <w:rPr>
          <w:b/>
          <w:bCs/>
          <w:sz w:val="22"/>
          <w:szCs w:val="22"/>
        </w:rPr>
        <w:t xml:space="preserve">erbesserung zu </w:t>
      </w:r>
      <w:r w:rsidR="00646713">
        <w:rPr>
          <w:b/>
          <w:bCs/>
          <w:sz w:val="22"/>
          <w:szCs w:val="22"/>
        </w:rPr>
        <w:t>Vorquartal</w:t>
      </w:r>
      <w:r>
        <w:rPr>
          <w:b/>
          <w:bCs/>
          <w:sz w:val="22"/>
          <w:szCs w:val="22"/>
        </w:rPr>
        <w:t>en</w:t>
      </w:r>
      <w:r w:rsidR="00F50193">
        <w:rPr>
          <w:b/>
          <w:bCs/>
          <w:sz w:val="22"/>
          <w:szCs w:val="22"/>
        </w:rPr>
        <w:t xml:space="preserve"> </w:t>
      </w:r>
    </w:p>
    <w:p w:rsidR="00E94E68" w:rsidRDefault="00E94E68" w:rsidP="0037497A">
      <w:pPr>
        <w:rPr>
          <w:b/>
          <w:bCs/>
          <w:sz w:val="22"/>
          <w:szCs w:val="22"/>
        </w:rPr>
      </w:pPr>
    </w:p>
    <w:p w:rsidR="00500E2A" w:rsidRDefault="00500E2A" w:rsidP="0037497A">
      <w:pPr>
        <w:rPr>
          <w:b/>
          <w:bCs/>
          <w:sz w:val="20"/>
          <w:szCs w:val="20"/>
        </w:rPr>
      </w:pPr>
    </w:p>
    <w:p w:rsidR="001C719C" w:rsidRPr="001C719C" w:rsidRDefault="001C719C" w:rsidP="0037497A">
      <w:pPr>
        <w:rPr>
          <w:b/>
          <w:bCs/>
          <w:sz w:val="20"/>
          <w:szCs w:val="20"/>
        </w:rPr>
      </w:pPr>
      <w:r>
        <w:rPr>
          <w:b/>
          <w:bCs/>
          <w:sz w:val="20"/>
          <w:szCs w:val="20"/>
        </w:rPr>
        <w:t xml:space="preserve">Eckpunkte </w:t>
      </w:r>
      <w:r w:rsidR="00202478">
        <w:rPr>
          <w:b/>
          <w:bCs/>
          <w:sz w:val="20"/>
          <w:szCs w:val="20"/>
        </w:rPr>
        <w:t>3</w:t>
      </w:r>
      <w:r>
        <w:rPr>
          <w:b/>
          <w:bCs/>
          <w:sz w:val="20"/>
          <w:szCs w:val="20"/>
        </w:rPr>
        <w:t>. Quartal 2014:</w:t>
      </w:r>
    </w:p>
    <w:bookmarkEnd w:id="1"/>
    <w:p w:rsidR="001C719C" w:rsidRDefault="001C719C" w:rsidP="00050BF1">
      <w:pPr>
        <w:numPr>
          <w:ilvl w:val="0"/>
          <w:numId w:val="14"/>
        </w:numPr>
        <w:tabs>
          <w:tab w:val="num" w:pos="340"/>
        </w:tabs>
        <w:spacing w:line="300" w:lineRule="exact"/>
        <w:ind w:left="312" w:hanging="227"/>
        <w:rPr>
          <w:rFonts w:cs="Lucida Sans Unicode"/>
          <w:b/>
          <w:bCs/>
          <w:position w:val="0"/>
          <w:sz w:val="20"/>
          <w:szCs w:val="20"/>
        </w:rPr>
      </w:pPr>
      <w:r>
        <w:rPr>
          <w:rFonts w:cs="Lucida Sans Unicode"/>
          <w:b/>
          <w:bCs/>
          <w:position w:val="0"/>
          <w:sz w:val="20"/>
          <w:szCs w:val="20"/>
        </w:rPr>
        <w:t>Organische</w:t>
      </w:r>
      <w:r w:rsidR="009628B4">
        <w:rPr>
          <w:rFonts w:cs="Lucida Sans Unicode"/>
          <w:b/>
          <w:bCs/>
          <w:position w:val="0"/>
          <w:sz w:val="20"/>
          <w:szCs w:val="20"/>
        </w:rPr>
        <w:t>r</w:t>
      </w:r>
      <w:r>
        <w:rPr>
          <w:rFonts w:cs="Lucida Sans Unicode"/>
          <w:b/>
          <w:bCs/>
          <w:position w:val="0"/>
          <w:sz w:val="20"/>
          <w:szCs w:val="20"/>
        </w:rPr>
        <w:t xml:space="preserve"> Umsatz</w:t>
      </w:r>
      <w:r w:rsidR="009628B4">
        <w:rPr>
          <w:rFonts w:cs="Lucida Sans Unicode"/>
          <w:b/>
          <w:bCs/>
          <w:position w:val="0"/>
          <w:sz w:val="20"/>
          <w:szCs w:val="20"/>
        </w:rPr>
        <w:t xml:space="preserve">anstieg </w:t>
      </w:r>
      <w:r>
        <w:rPr>
          <w:rFonts w:cs="Lucida Sans Unicode"/>
          <w:b/>
          <w:bCs/>
          <w:position w:val="0"/>
          <w:sz w:val="20"/>
          <w:szCs w:val="20"/>
        </w:rPr>
        <w:t xml:space="preserve">von </w:t>
      </w:r>
      <w:r w:rsidR="00AA6907">
        <w:rPr>
          <w:rFonts w:cs="Lucida Sans Unicode"/>
          <w:b/>
          <w:bCs/>
          <w:position w:val="0"/>
          <w:sz w:val="20"/>
          <w:szCs w:val="20"/>
        </w:rPr>
        <w:t>1</w:t>
      </w:r>
      <w:r>
        <w:rPr>
          <w:rFonts w:cs="Lucida Sans Unicode"/>
          <w:b/>
          <w:bCs/>
          <w:position w:val="0"/>
          <w:sz w:val="20"/>
          <w:szCs w:val="20"/>
        </w:rPr>
        <w:t xml:space="preserve"> Prozent </w:t>
      </w:r>
      <w:r w:rsidR="0002053E">
        <w:rPr>
          <w:rFonts w:cs="Lucida Sans Unicode"/>
          <w:b/>
          <w:bCs/>
          <w:position w:val="0"/>
          <w:sz w:val="20"/>
          <w:szCs w:val="20"/>
        </w:rPr>
        <w:t>auf 3,2 Milliarden €</w:t>
      </w:r>
      <w:r>
        <w:rPr>
          <w:rFonts w:cs="Lucida Sans Unicode"/>
          <w:b/>
          <w:bCs/>
          <w:position w:val="0"/>
          <w:sz w:val="20"/>
          <w:szCs w:val="20"/>
        </w:rPr>
        <w:t xml:space="preserve"> - </w:t>
      </w:r>
      <w:r w:rsidR="00DF7AEA">
        <w:rPr>
          <w:rFonts w:cs="Lucida Sans Unicode"/>
          <w:b/>
          <w:bCs/>
          <w:position w:val="0"/>
          <w:sz w:val="20"/>
          <w:szCs w:val="20"/>
        </w:rPr>
        <w:br/>
      </w:r>
      <w:r w:rsidR="00AA6907">
        <w:rPr>
          <w:rFonts w:cs="Lucida Sans Unicode"/>
          <w:b/>
          <w:bCs/>
          <w:position w:val="0"/>
          <w:sz w:val="20"/>
          <w:szCs w:val="20"/>
        </w:rPr>
        <w:t>weiteres</w:t>
      </w:r>
      <w:r>
        <w:rPr>
          <w:rFonts w:cs="Lucida Sans Unicode"/>
          <w:b/>
          <w:bCs/>
          <w:position w:val="0"/>
          <w:sz w:val="20"/>
          <w:szCs w:val="20"/>
        </w:rPr>
        <w:t xml:space="preserve"> Mengen</w:t>
      </w:r>
      <w:r w:rsidR="00CF78F3">
        <w:rPr>
          <w:rFonts w:cs="Lucida Sans Unicode"/>
          <w:b/>
          <w:bCs/>
          <w:position w:val="0"/>
          <w:sz w:val="20"/>
          <w:szCs w:val="20"/>
        </w:rPr>
        <w:t>wachstum</w:t>
      </w:r>
      <w:r>
        <w:rPr>
          <w:rFonts w:cs="Lucida Sans Unicode"/>
          <w:b/>
          <w:bCs/>
          <w:position w:val="0"/>
          <w:sz w:val="20"/>
          <w:szCs w:val="20"/>
        </w:rPr>
        <w:t xml:space="preserve"> bei </w:t>
      </w:r>
      <w:r w:rsidR="0002053E">
        <w:rPr>
          <w:rFonts w:cs="Lucida Sans Unicode"/>
          <w:b/>
          <w:bCs/>
          <w:position w:val="0"/>
          <w:sz w:val="20"/>
          <w:szCs w:val="20"/>
        </w:rPr>
        <w:t>nur noch leicht rückläufigen Verkaufspreisen</w:t>
      </w:r>
    </w:p>
    <w:p w:rsidR="00A16CE0" w:rsidRDefault="001C719C" w:rsidP="00050BF1">
      <w:pPr>
        <w:numPr>
          <w:ilvl w:val="0"/>
          <w:numId w:val="14"/>
        </w:numPr>
        <w:tabs>
          <w:tab w:val="num" w:pos="340"/>
        </w:tabs>
        <w:spacing w:line="300" w:lineRule="exact"/>
        <w:ind w:left="312" w:hanging="227"/>
        <w:rPr>
          <w:rFonts w:cs="Lucida Sans Unicode"/>
          <w:b/>
          <w:bCs/>
          <w:position w:val="0"/>
          <w:sz w:val="20"/>
          <w:szCs w:val="20"/>
        </w:rPr>
      </w:pPr>
      <w:r w:rsidRPr="00CF78F3">
        <w:rPr>
          <w:rFonts w:cs="Lucida Sans Unicode"/>
          <w:b/>
          <w:bCs/>
          <w:position w:val="0"/>
          <w:sz w:val="20"/>
          <w:szCs w:val="20"/>
        </w:rPr>
        <w:t>Bereinigtes EBITDA mit</w:t>
      </w:r>
      <w:r w:rsidR="00CF78F3" w:rsidRPr="00CF78F3">
        <w:rPr>
          <w:rFonts w:cs="Lucida Sans Unicode"/>
          <w:b/>
          <w:bCs/>
          <w:position w:val="0"/>
          <w:sz w:val="20"/>
          <w:szCs w:val="20"/>
        </w:rPr>
        <w:t xml:space="preserve"> </w:t>
      </w:r>
      <w:r w:rsidR="00AA6907">
        <w:rPr>
          <w:rFonts w:cs="Lucida Sans Unicode"/>
          <w:b/>
          <w:bCs/>
          <w:position w:val="0"/>
          <w:sz w:val="20"/>
          <w:szCs w:val="20"/>
        </w:rPr>
        <w:t>501</w:t>
      </w:r>
      <w:r w:rsidRPr="00CF78F3">
        <w:rPr>
          <w:rFonts w:cs="Lucida Sans Unicode"/>
          <w:b/>
          <w:bCs/>
          <w:position w:val="0"/>
          <w:sz w:val="20"/>
          <w:szCs w:val="20"/>
        </w:rPr>
        <w:t xml:space="preserve"> Millionen € </w:t>
      </w:r>
      <w:r w:rsidR="00CF78F3" w:rsidRPr="00CF78F3">
        <w:rPr>
          <w:rFonts w:cs="Lucida Sans Unicode"/>
          <w:b/>
          <w:bCs/>
          <w:position w:val="0"/>
          <w:sz w:val="20"/>
          <w:szCs w:val="20"/>
        </w:rPr>
        <w:t xml:space="preserve">gegenüber Vorquartalen </w:t>
      </w:r>
      <w:r w:rsidR="00E06FEB">
        <w:rPr>
          <w:rFonts w:cs="Lucida Sans Unicode"/>
          <w:b/>
          <w:bCs/>
          <w:position w:val="0"/>
          <w:sz w:val="20"/>
          <w:szCs w:val="20"/>
        </w:rPr>
        <w:t>deutlich</w:t>
      </w:r>
      <w:r w:rsidR="00CF78F3" w:rsidRPr="00CF78F3">
        <w:rPr>
          <w:rFonts w:cs="Lucida Sans Unicode"/>
          <w:b/>
          <w:bCs/>
          <w:position w:val="0"/>
          <w:sz w:val="20"/>
          <w:szCs w:val="20"/>
        </w:rPr>
        <w:t xml:space="preserve"> verbessert und nur noch leicht unter Vorjahr</w:t>
      </w:r>
      <w:r w:rsidR="0002053E">
        <w:rPr>
          <w:rFonts w:cs="Lucida Sans Unicode"/>
          <w:b/>
          <w:bCs/>
          <w:position w:val="0"/>
          <w:sz w:val="20"/>
          <w:szCs w:val="20"/>
        </w:rPr>
        <w:t xml:space="preserve"> </w:t>
      </w:r>
    </w:p>
    <w:p w:rsidR="00050BF1" w:rsidRPr="00CF78F3" w:rsidRDefault="00830A10" w:rsidP="00050BF1">
      <w:pPr>
        <w:numPr>
          <w:ilvl w:val="0"/>
          <w:numId w:val="14"/>
        </w:numPr>
        <w:tabs>
          <w:tab w:val="num" w:pos="340"/>
        </w:tabs>
        <w:spacing w:line="300" w:lineRule="exact"/>
        <w:ind w:left="312" w:hanging="227"/>
        <w:rPr>
          <w:rFonts w:cs="Lucida Sans Unicode"/>
          <w:b/>
          <w:bCs/>
          <w:position w:val="0"/>
          <w:sz w:val="20"/>
          <w:szCs w:val="20"/>
        </w:rPr>
      </w:pPr>
      <w:r>
        <w:rPr>
          <w:rFonts w:cs="Lucida Sans Unicode"/>
          <w:b/>
          <w:bCs/>
          <w:position w:val="0"/>
          <w:sz w:val="20"/>
          <w:szCs w:val="20"/>
        </w:rPr>
        <w:t>Bereinigtes Konzernergebnis mit 213 Millionen € um 3 Prozent über Vorjahr</w:t>
      </w:r>
      <w:r w:rsidR="001C719C" w:rsidRPr="00CF78F3">
        <w:rPr>
          <w:rFonts w:cs="Lucida Sans Unicode"/>
          <w:b/>
          <w:bCs/>
          <w:position w:val="0"/>
          <w:sz w:val="20"/>
          <w:szCs w:val="20"/>
        </w:rPr>
        <w:br/>
      </w:r>
    </w:p>
    <w:p w:rsidR="00A02C86" w:rsidRPr="004938BD" w:rsidRDefault="009B1A4A" w:rsidP="004938BD">
      <w:pPr>
        <w:rPr>
          <w:b/>
          <w:bCs/>
          <w:sz w:val="20"/>
          <w:szCs w:val="20"/>
        </w:rPr>
      </w:pPr>
      <w:r>
        <w:rPr>
          <w:b/>
          <w:bCs/>
          <w:sz w:val="20"/>
          <w:szCs w:val="20"/>
        </w:rPr>
        <w:t xml:space="preserve">Eckpunkte </w:t>
      </w:r>
      <w:r w:rsidR="00202478">
        <w:rPr>
          <w:b/>
          <w:bCs/>
          <w:sz w:val="20"/>
          <w:szCs w:val="20"/>
        </w:rPr>
        <w:t xml:space="preserve">neun Monate </w:t>
      </w:r>
      <w:r w:rsidR="00646713" w:rsidRPr="004938BD">
        <w:rPr>
          <w:b/>
          <w:bCs/>
          <w:sz w:val="20"/>
          <w:szCs w:val="20"/>
        </w:rPr>
        <w:t>2014</w:t>
      </w:r>
      <w:r w:rsidR="008A6624" w:rsidRPr="004938BD">
        <w:rPr>
          <w:b/>
          <w:bCs/>
          <w:sz w:val="20"/>
          <w:szCs w:val="20"/>
        </w:rPr>
        <w:t>:</w:t>
      </w:r>
    </w:p>
    <w:p w:rsidR="00A02C86" w:rsidRPr="009B1A4A" w:rsidRDefault="006B34B3" w:rsidP="00CD3953">
      <w:pPr>
        <w:numPr>
          <w:ilvl w:val="0"/>
          <w:numId w:val="14"/>
        </w:numPr>
        <w:tabs>
          <w:tab w:val="num" w:pos="851"/>
        </w:tabs>
        <w:spacing w:line="300" w:lineRule="exact"/>
        <w:ind w:left="312" w:hanging="227"/>
        <w:rPr>
          <w:rFonts w:cs="Lucida Sans Unicode"/>
          <w:b/>
          <w:bCs/>
          <w:position w:val="0"/>
          <w:sz w:val="20"/>
          <w:szCs w:val="20"/>
        </w:rPr>
      </w:pPr>
      <w:r>
        <w:rPr>
          <w:rFonts w:cs="Lucida Sans Unicode"/>
          <w:b/>
          <w:bCs/>
          <w:position w:val="0"/>
          <w:sz w:val="20"/>
          <w:szCs w:val="20"/>
        </w:rPr>
        <w:t xml:space="preserve">Organisches Umsatzwachstum von 2 Prozent auf rund </w:t>
      </w:r>
      <w:r w:rsidR="00CF78F3">
        <w:rPr>
          <w:rFonts w:cs="Lucida Sans Unicode"/>
          <w:b/>
          <w:bCs/>
          <w:position w:val="0"/>
          <w:sz w:val="20"/>
          <w:szCs w:val="20"/>
        </w:rPr>
        <w:t>9,7</w:t>
      </w:r>
      <w:r w:rsidR="00BB4FB6">
        <w:rPr>
          <w:rFonts w:cs="Lucida Sans Unicode"/>
          <w:b/>
          <w:bCs/>
          <w:position w:val="0"/>
          <w:sz w:val="20"/>
          <w:szCs w:val="20"/>
        </w:rPr>
        <w:t xml:space="preserve"> Milliarden € </w:t>
      </w:r>
    </w:p>
    <w:p w:rsidR="00A02C86" w:rsidRPr="00A02C86" w:rsidRDefault="00BB4FB6" w:rsidP="00CD3953">
      <w:pPr>
        <w:numPr>
          <w:ilvl w:val="0"/>
          <w:numId w:val="14"/>
        </w:numPr>
        <w:tabs>
          <w:tab w:val="num" w:pos="851"/>
        </w:tabs>
        <w:spacing w:line="300" w:lineRule="exact"/>
        <w:ind w:left="312" w:hanging="227"/>
        <w:rPr>
          <w:rFonts w:cs="Lucida Sans Unicode"/>
          <w:b/>
          <w:bCs/>
          <w:position w:val="0"/>
          <w:sz w:val="20"/>
          <w:szCs w:val="20"/>
        </w:rPr>
      </w:pPr>
      <w:r>
        <w:rPr>
          <w:rFonts w:cs="Lucida Sans Unicode"/>
          <w:b/>
          <w:bCs/>
          <w:position w:val="0"/>
          <w:sz w:val="20"/>
          <w:szCs w:val="20"/>
        </w:rPr>
        <w:t xml:space="preserve">Bereinigtes EBITDA </w:t>
      </w:r>
      <w:r w:rsidR="006B34B3">
        <w:rPr>
          <w:rFonts w:cs="Lucida Sans Unicode"/>
          <w:b/>
          <w:bCs/>
          <w:position w:val="0"/>
          <w:sz w:val="20"/>
          <w:szCs w:val="20"/>
        </w:rPr>
        <w:t xml:space="preserve">mit rund 1,4 Milliarden € </w:t>
      </w:r>
      <w:r w:rsidRPr="00E06FEB">
        <w:rPr>
          <w:rFonts w:cs="Lucida Sans Unicode"/>
          <w:b/>
          <w:bCs/>
          <w:position w:val="0"/>
          <w:sz w:val="20"/>
          <w:szCs w:val="20"/>
        </w:rPr>
        <w:t>auf solidem</w:t>
      </w:r>
      <w:r>
        <w:rPr>
          <w:rFonts w:cs="Lucida Sans Unicode"/>
          <w:b/>
          <w:bCs/>
          <w:position w:val="0"/>
          <w:sz w:val="20"/>
          <w:szCs w:val="20"/>
        </w:rPr>
        <w:t xml:space="preserve"> Niveau, aber </w:t>
      </w:r>
      <w:r w:rsidR="006B34B3">
        <w:rPr>
          <w:rFonts w:cs="Lucida Sans Unicode"/>
          <w:b/>
          <w:bCs/>
          <w:position w:val="0"/>
          <w:sz w:val="20"/>
          <w:szCs w:val="20"/>
        </w:rPr>
        <w:t xml:space="preserve">vor allem preisbedingt </w:t>
      </w:r>
      <w:r>
        <w:rPr>
          <w:rFonts w:cs="Lucida Sans Unicode"/>
          <w:b/>
          <w:bCs/>
          <w:position w:val="0"/>
          <w:sz w:val="20"/>
          <w:szCs w:val="20"/>
        </w:rPr>
        <w:t>unter gutem Vorjahr</w:t>
      </w:r>
      <w:r w:rsidR="006B34B3">
        <w:rPr>
          <w:rFonts w:cs="Lucida Sans Unicode"/>
          <w:b/>
          <w:bCs/>
          <w:position w:val="0"/>
          <w:sz w:val="20"/>
          <w:szCs w:val="20"/>
        </w:rPr>
        <w:t xml:space="preserve"> </w:t>
      </w:r>
    </w:p>
    <w:p w:rsidR="00A02C86" w:rsidRDefault="00BB4FB6" w:rsidP="00CD3953">
      <w:pPr>
        <w:numPr>
          <w:ilvl w:val="0"/>
          <w:numId w:val="14"/>
        </w:numPr>
        <w:tabs>
          <w:tab w:val="num" w:pos="851"/>
        </w:tabs>
        <w:spacing w:line="300" w:lineRule="exact"/>
        <w:ind w:left="312" w:hanging="227"/>
        <w:rPr>
          <w:rFonts w:cs="Lucida Sans Unicode"/>
          <w:b/>
          <w:bCs/>
          <w:position w:val="0"/>
          <w:sz w:val="20"/>
          <w:szCs w:val="20"/>
        </w:rPr>
      </w:pPr>
      <w:r>
        <w:rPr>
          <w:rFonts w:cs="Lucida Sans Unicode"/>
          <w:b/>
          <w:bCs/>
          <w:position w:val="0"/>
          <w:sz w:val="20"/>
          <w:szCs w:val="20"/>
        </w:rPr>
        <w:t>Bereinigte EBITDA-Marge beträgt 14,</w:t>
      </w:r>
      <w:r w:rsidR="00CF78F3">
        <w:rPr>
          <w:rFonts w:cs="Lucida Sans Unicode"/>
          <w:b/>
          <w:bCs/>
          <w:position w:val="0"/>
          <w:sz w:val="20"/>
          <w:szCs w:val="20"/>
        </w:rPr>
        <w:t>7</w:t>
      </w:r>
      <w:r>
        <w:rPr>
          <w:rFonts w:cs="Lucida Sans Unicode"/>
          <w:b/>
          <w:bCs/>
          <w:position w:val="0"/>
          <w:sz w:val="20"/>
          <w:szCs w:val="20"/>
        </w:rPr>
        <w:t xml:space="preserve"> Prozent</w:t>
      </w:r>
    </w:p>
    <w:p w:rsidR="00FE30EF" w:rsidRPr="00DA6D56" w:rsidRDefault="00FE30EF" w:rsidP="00050BF1">
      <w:pPr>
        <w:numPr>
          <w:ilvl w:val="0"/>
          <w:numId w:val="14"/>
        </w:numPr>
        <w:tabs>
          <w:tab w:val="num" w:pos="340"/>
        </w:tabs>
        <w:spacing w:line="300" w:lineRule="exact"/>
        <w:ind w:left="312" w:hanging="227"/>
        <w:rPr>
          <w:rFonts w:cs="Lucida Sans Unicode"/>
          <w:b/>
          <w:bCs/>
          <w:position w:val="0"/>
          <w:sz w:val="20"/>
          <w:szCs w:val="20"/>
        </w:rPr>
      </w:pPr>
      <w:r w:rsidRPr="00DA6D56">
        <w:rPr>
          <w:rFonts w:cs="Lucida Sans Unicode"/>
          <w:b/>
          <w:bCs/>
          <w:position w:val="0"/>
          <w:sz w:val="20"/>
          <w:szCs w:val="20"/>
        </w:rPr>
        <w:t xml:space="preserve">Bereinigtes Konzernergebnis </w:t>
      </w:r>
      <w:r w:rsidR="004A7835">
        <w:rPr>
          <w:rFonts w:cs="Lucida Sans Unicode"/>
          <w:b/>
          <w:bCs/>
          <w:position w:val="0"/>
          <w:sz w:val="20"/>
          <w:szCs w:val="20"/>
        </w:rPr>
        <w:t>u</w:t>
      </w:r>
      <w:r w:rsidRPr="00DA6D56">
        <w:rPr>
          <w:rFonts w:cs="Lucida Sans Unicode"/>
          <w:b/>
          <w:bCs/>
          <w:position w:val="0"/>
          <w:sz w:val="20"/>
          <w:szCs w:val="20"/>
        </w:rPr>
        <w:t xml:space="preserve">m </w:t>
      </w:r>
      <w:r w:rsidR="00CF78F3">
        <w:rPr>
          <w:rFonts w:cs="Lucida Sans Unicode"/>
          <w:b/>
          <w:bCs/>
          <w:position w:val="0"/>
          <w:sz w:val="20"/>
          <w:szCs w:val="20"/>
        </w:rPr>
        <w:t>19</w:t>
      </w:r>
      <w:r w:rsidRPr="00DA6D56">
        <w:rPr>
          <w:rFonts w:cs="Lucida Sans Unicode"/>
          <w:b/>
          <w:bCs/>
          <w:position w:val="0"/>
          <w:sz w:val="20"/>
          <w:szCs w:val="20"/>
        </w:rPr>
        <w:t xml:space="preserve"> Prozent auf </w:t>
      </w:r>
      <w:r w:rsidR="00CF78F3">
        <w:rPr>
          <w:rFonts w:cs="Lucida Sans Unicode"/>
          <w:b/>
          <w:bCs/>
          <w:position w:val="0"/>
          <w:sz w:val="20"/>
          <w:szCs w:val="20"/>
        </w:rPr>
        <w:t>561</w:t>
      </w:r>
      <w:r w:rsidRPr="00DA6D56">
        <w:rPr>
          <w:rFonts w:cs="Lucida Sans Unicode"/>
          <w:b/>
          <w:bCs/>
          <w:position w:val="0"/>
          <w:sz w:val="20"/>
          <w:szCs w:val="20"/>
        </w:rPr>
        <w:t xml:space="preserve"> Millionen € gesunken</w:t>
      </w:r>
    </w:p>
    <w:p w:rsidR="00525354" w:rsidRPr="00A02C86" w:rsidRDefault="00FE30EF" w:rsidP="00050BF1">
      <w:pPr>
        <w:numPr>
          <w:ilvl w:val="0"/>
          <w:numId w:val="14"/>
        </w:numPr>
        <w:tabs>
          <w:tab w:val="num" w:pos="340"/>
        </w:tabs>
        <w:spacing w:line="300" w:lineRule="exact"/>
        <w:ind w:left="312" w:hanging="227"/>
        <w:rPr>
          <w:rFonts w:cs="Lucida Sans Unicode"/>
          <w:b/>
          <w:bCs/>
          <w:position w:val="0"/>
          <w:sz w:val="20"/>
          <w:szCs w:val="20"/>
        </w:rPr>
      </w:pPr>
      <w:r>
        <w:rPr>
          <w:rFonts w:cs="Lucida Sans Unicode"/>
          <w:b/>
          <w:bCs/>
          <w:position w:val="0"/>
          <w:sz w:val="20"/>
          <w:szCs w:val="20"/>
        </w:rPr>
        <w:t>Ausblick für Gesamtjahr 2014 bestätigt</w:t>
      </w:r>
      <w:r w:rsidR="001F513B">
        <w:rPr>
          <w:rFonts w:cs="Lucida Sans Unicode"/>
          <w:b/>
          <w:bCs/>
          <w:position w:val="0"/>
          <w:sz w:val="20"/>
          <w:szCs w:val="20"/>
        </w:rPr>
        <w:t xml:space="preserve"> </w:t>
      </w:r>
      <w:r>
        <w:rPr>
          <w:rFonts w:cs="Lucida Sans Unicode"/>
          <w:b/>
          <w:bCs/>
          <w:position w:val="0"/>
          <w:sz w:val="20"/>
          <w:szCs w:val="20"/>
        </w:rPr>
        <w:br/>
      </w:r>
    </w:p>
    <w:p w:rsidR="00132F96" w:rsidRDefault="00D509E1" w:rsidP="0033355C">
      <w:pPr>
        <w:spacing w:line="300" w:lineRule="exact"/>
        <w:rPr>
          <w:rFonts w:cs="Lucida Sans Unicode"/>
          <w:sz w:val="20"/>
          <w:szCs w:val="20"/>
        </w:rPr>
      </w:pPr>
      <w:r>
        <w:rPr>
          <w:rFonts w:cs="Lucida Sans Unicode"/>
          <w:sz w:val="20"/>
          <w:szCs w:val="20"/>
        </w:rPr>
        <w:t xml:space="preserve">Essen. </w:t>
      </w:r>
      <w:r w:rsidR="001B482F">
        <w:rPr>
          <w:rFonts w:cs="Lucida Sans Unicode"/>
          <w:sz w:val="20"/>
          <w:szCs w:val="20"/>
        </w:rPr>
        <w:t>„</w:t>
      </w:r>
      <w:r w:rsidR="000A4DCE">
        <w:rPr>
          <w:rFonts w:cs="Lucida Sans Unicode"/>
          <w:sz w:val="20"/>
          <w:szCs w:val="20"/>
        </w:rPr>
        <w:t xml:space="preserve">In einem </w:t>
      </w:r>
      <w:r w:rsidR="00E06FEB">
        <w:rPr>
          <w:rFonts w:cs="Lucida Sans Unicode"/>
          <w:sz w:val="20"/>
          <w:szCs w:val="20"/>
        </w:rPr>
        <w:t xml:space="preserve">zunehmend </w:t>
      </w:r>
      <w:r w:rsidR="000A4DCE">
        <w:rPr>
          <w:rFonts w:cs="Lucida Sans Unicode"/>
          <w:sz w:val="20"/>
          <w:szCs w:val="20"/>
        </w:rPr>
        <w:t xml:space="preserve">schwierigen konjunkturellen Umfeld hat sich Evonik gut behauptet. </w:t>
      </w:r>
      <w:r w:rsidR="00E06FEB">
        <w:rPr>
          <w:rFonts w:cs="Lucida Sans Unicode"/>
          <w:sz w:val="20"/>
          <w:szCs w:val="20"/>
        </w:rPr>
        <w:t>Unser operatives Ergebnis verzeichnete im Jahresverlauf eine spürbare Aufwärtsentwicklung und lag im 3. Quartal nur noch leicht unter Vorjahr. Unsere Produkte waren trotz Abschwächung des globalen Wachstums</w:t>
      </w:r>
      <w:r w:rsidR="00C53CFC">
        <w:rPr>
          <w:rFonts w:cs="Lucida Sans Unicode"/>
          <w:sz w:val="20"/>
          <w:szCs w:val="20"/>
        </w:rPr>
        <w:t xml:space="preserve"> </w:t>
      </w:r>
      <w:r w:rsidR="00AA6907">
        <w:rPr>
          <w:rFonts w:cs="Lucida Sans Unicode"/>
          <w:sz w:val="20"/>
          <w:szCs w:val="20"/>
        </w:rPr>
        <w:t>gut</w:t>
      </w:r>
      <w:r w:rsidR="00AF28A6">
        <w:rPr>
          <w:rFonts w:cs="Lucida Sans Unicode"/>
          <w:sz w:val="20"/>
          <w:szCs w:val="20"/>
        </w:rPr>
        <w:t xml:space="preserve"> nachgefragt</w:t>
      </w:r>
      <w:r w:rsidR="004A7835">
        <w:rPr>
          <w:rFonts w:cs="Lucida Sans Unicode"/>
          <w:sz w:val="20"/>
          <w:szCs w:val="20"/>
        </w:rPr>
        <w:t xml:space="preserve">“, sagte Klaus Engel, Vorstandsvorsitzender der Evonik Industries AG, heute anlässlich der Vorstellung der wirtschaftlichen Eckdaten für das </w:t>
      </w:r>
      <w:r w:rsidR="00132F96">
        <w:rPr>
          <w:rFonts w:cs="Lucida Sans Unicode"/>
          <w:sz w:val="20"/>
          <w:szCs w:val="20"/>
        </w:rPr>
        <w:t>3.</w:t>
      </w:r>
      <w:r w:rsidR="004A7835">
        <w:rPr>
          <w:rFonts w:cs="Lucida Sans Unicode"/>
          <w:sz w:val="20"/>
          <w:szCs w:val="20"/>
        </w:rPr>
        <w:t xml:space="preserve"> Quartal 2014 und d</w:t>
      </w:r>
      <w:r w:rsidR="00132F96">
        <w:rPr>
          <w:rFonts w:cs="Lucida Sans Unicode"/>
          <w:sz w:val="20"/>
          <w:szCs w:val="20"/>
        </w:rPr>
        <w:t xml:space="preserve">ie ersten neun Monate </w:t>
      </w:r>
      <w:r w:rsidR="004A7835">
        <w:rPr>
          <w:rFonts w:cs="Lucida Sans Unicode"/>
          <w:sz w:val="20"/>
          <w:szCs w:val="20"/>
        </w:rPr>
        <w:t>2014.</w:t>
      </w:r>
      <w:r w:rsidR="00AF71D8">
        <w:rPr>
          <w:rFonts w:cs="Lucida Sans Unicode"/>
          <w:sz w:val="20"/>
          <w:szCs w:val="20"/>
        </w:rPr>
        <w:t xml:space="preserve"> </w:t>
      </w:r>
    </w:p>
    <w:p w:rsidR="00AF71D8" w:rsidRDefault="00AF71D8" w:rsidP="0033355C">
      <w:pPr>
        <w:spacing w:line="300" w:lineRule="exact"/>
        <w:rPr>
          <w:rFonts w:cs="Lucida Sans Unicode"/>
          <w:sz w:val="20"/>
          <w:szCs w:val="20"/>
        </w:rPr>
      </w:pPr>
    </w:p>
    <w:p w:rsidR="005E0237" w:rsidRDefault="001B482F" w:rsidP="0033355C">
      <w:pPr>
        <w:spacing w:line="300" w:lineRule="exact"/>
        <w:rPr>
          <w:rFonts w:cs="Lucida Sans Unicode"/>
          <w:sz w:val="20"/>
          <w:szCs w:val="20"/>
        </w:rPr>
      </w:pPr>
      <w:r>
        <w:rPr>
          <w:rFonts w:cs="Lucida Sans Unicode"/>
          <w:sz w:val="20"/>
          <w:szCs w:val="20"/>
        </w:rPr>
        <w:t>Insgesamt erzielte der Konzern i</w:t>
      </w:r>
      <w:r w:rsidR="000425D4">
        <w:rPr>
          <w:rFonts w:cs="Lucida Sans Unicode"/>
          <w:sz w:val="20"/>
          <w:szCs w:val="20"/>
        </w:rPr>
        <w:t>n den ersten neun Monaten</w:t>
      </w:r>
      <w:r>
        <w:rPr>
          <w:rFonts w:cs="Lucida Sans Unicode"/>
          <w:sz w:val="20"/>
          <w:szCs w:val="20"/>
        </w:rPr>
        <w:t xml:space="preserve"> 2014 organisch einen Umsatzanstieg</w:t>
      </w:r>
      <w:r w:rsidR="00AC627F">
        <w:rPr>
          <w:rFonts w:cs="Lucida Sans Unicode"/>
          <w:sz w:val="20"/>
          <w:szCs w:val="20"/>
        </w:rPr>
        <w:t>. D</w:t>
      </w:r>
      <w:r w:rsidR="00830A10">
        <w:rPr>
          <w:rFonts w:cs="Lucida Sans Unicode"/>
          <w:sz w:val="20"/>
          <w:szCs w:val="20"/>
        </w:rPr>
        <w:t>as</w:t>
      </w:r>
      <w:r>
        <w:rPr>
          <w:rFonts w:cs="Lucida Sans Unicode"/>
          <w:sz w:val="20"/>
          <w:szCs w:val="20"/>
        </w:rPr>
        <w:t xml:space="preserve"> operative Ergebnis </w:t>
      </w:r>
      <w:r w:rsidR="00E06FEB">
        <w:rPr>
          <w:rFonts w:cs="Lucida Sans Unicode"/>
          <w:sz w:val="20"/>
          <w:szCs w:val="20"/>
        </w:rPr>
        <w:t xml:space="preserve">verbesserte sich von Quartal zu Quartal, blieb aber im Dreivierteljahr </w:t>
      </w:r>
      <w:r>
        <w:rPr>
          <w:rFonts w:cs="Lucida Sans Unicode"/>
          <w:sz w:val="20"/>
          <w:szCs w:val="20"/>
        </w:rPr>
        <w:t xml:space="preserve">aufgrund </w:t>
      </w:r>
      <w:r w:rsidR="00052450">
        <w:rPr>
          <w:rFonts w:cs="Lucida Sans Unicode"/>
          <w:sz w:val="20"/>
          <w:szCs w:val="20"/>
        </w:rPr>
        <w:t xml:space="preserve">geringerer Verkaufspreise </w:t>
      </w:r>
      <w:r w:rsidR="00AF71D8">
        <w:rPr>
          <w:rFonts w:cs="Lucida Sans Unicode"/>
          <w:sz w:val="20"/>
          <w:szCs w:val="20"/>
        </w:rPr>
        <w:t xml:space="preserve">bei einigen wichtigen Produkten </w:t>
      </w:r>
      <w:r w:rsidR="00052450">
        <w:rPr>
          <w:rFonts w:cs="Lucida Sans Unicode"/>
          <w:sz w:val="20"/>
          <w:szCs w:val="20"/>
        </w:rPr>
        <w:t xml:space="preserve">unter dem guten </w:t>
      </w:r>
      <w:r w:rsidR="0088145A">
        <w:rPr>
          <w:rFonts w:cs="Lucida Sans Unicode"/>
          <w:sz w:val="20"/>
          <w:szCs w:val="20"/>
        </w:rPr>
        <w:t>Vorjahreswert</w:t>
      </w:r>
      <w:r w:rsidR="00052450">
        <w:rPr>
          <w:rFonts w:cs="Lucida Sans Unicode"/>
          <w:sz w:val="20"/>
          <w:szCs w:val="20"/>
        </w:rPr>
        <w:t xml:space="preserve">. </w:t>
      </w:r>
    </w:p>
    <w:p w:rsidR="00577116" w:rsidRDefault="00577116" w:rsidP="0033355C">
      <w:pPr>
        <w:spacing w:line="300" w:lineRule="exact"/>
        <w:rPr>
          <w:rFonts w:cs="Lucida Sans Unicode"/>
          <w:sz w:val="20"/>
          <w:szCs w:val="20"/>
        </w:rPr>
      </w:pPr>
    </w:p>
    <w:p w:rsidR="00235D46" w:rsidRDefault="004E53B8" w:rsidP="0033355C">
      <w:pPr>
        <w:spacing w:line="300" w:lineRule="exact"/>
        <w:rPr>
          <w:rFonts w:cs="Lucida Sans Unicode"/>
          <w:sz w:val="20"/>
          <w:szCs w:val="20"/>
        </w:rPr>
      </w:pPr>
      <w:r>
        <w:rPr>
          <w:rFonts w:cs="Lucida Sans Unicode"/>
          <w:sz w:val="20"/>
          <w:szCs w:val="20"/>
        </w:rPr>
        <w:lastRenderedPageBreak/>
        <w:t>Trotz der schwächeren gesamtwirtschaftlichen Rahmenbedingungen bestätigt Evonik seine</w:t>
      </w:r>
      <w:r w:rsidR="000A4DCE">
        <w:rPr>
          <w:rFonts w:cs="Lucida Sans Unicode"/>
          <w:sz w:val="20"/>
          <w:szCs w:val="20"/>
        </w:rPr>
        <w:t>n</w:t>
      </w:r>
      <w:r>
        <w:rPr>
          <w:rFonts w:cs="Lucida Sans Unicode"/>
          <w:sz w:val="20"/>
          <w:szCs w:val="20"/>
        </w:rPr>
        <w:t xml:space="preserve"> Ausblick für das Gesamtjahr 2014.</w:t>
      </w:r>
      <w:r w:rsidR="00474E9F">
        <w:rPr>
          <w:rFonts w:cs="Lucida Sans Unicode"/>
          <w:sz w:val="20"/>
          <w:szCs w:val="20"/>
        </w:rPr>
        <w:t xml:space="preserve"> </w:t>
      </w:r>
      <w:r>
        <w:rPr>
          <w:rFonts w:cs="Lucida Sans Unicode"/>
          <w:sz w:val="20"/>
          <w:szCs w:val="20"/>
        </w:rPr>
        <w:t xml:space="preserve">Die Mengen sollten auch im weiteren Jahresverlauf wachsen, wozu die ersten bereits umgesetzten Wachstumsinvestitionen beitragen werden. Auf der Preisseite geht das Unternehmen davon aus, dass der bisher erkennbare Stabilisierungstrend anhält. In einigen Geschäften sind deutlich positive </w:t>
      </w:r>
      <w:r w:rsidR="005E57D0">
        <w:rPr>
          <w:rFonts w:cs="Lucida Sans Unicode"/>
          <w:sz w:val="20"/>
          <w:szCs w:val="20"/>
        </w:rPr>
        <w:t>Preisentwicklungen erkennbar. D</w:t>
      </w:r>
      <w:r w:rsidR="007D4EA6">
        <w:rPr>
          <w:rFonts w:cs="Lucida Sans Unicode"/>
          <w:sz w:val="20"/>
          <w:szCs w:val="20"/>
        </w:rPr>
        <w:t>ies</w:t>
      </w:r>
      <w:r>
        <w:rPr>
          <w:rFonts w:cs="Lucida Sans Unicode"/>
          <w:sz w:val="20"/>
          <w:szCs w:val="20"/>
        </w:rPr>
        <w:t xml:space="preserve"> gilt jedoch nicht für Aktivitäten im Segment Specialty Materials, hier blieb die Preisentwicklung hinter den ursprünglichen Erwartungen zurück. Insgesamt rechnet Evonik mit einem leicht höheren </w:t>
      </w:r>
      <w:r w:rsidRPr="000A4DCE">
        <w:rPr>
          <w:rFonts w:cs="Lucida Sans Unicode"/>
          <w:b/>
          <w:sz w:val="20"/>
          <w:szCs w:val="20"/>
        </w:rPr>
        <w:t>Umsatz</w:t>
      </w:r>
      <w:r>
        <w:rPr>
          <w:rFonts w:cs="Lucida Sans Unicode"/>
          <w:sz w:val="20"/>
          <w:szCs w:val="20"/>
        </w:rPr>
        <w:t xml:space="preserve"> (2013: 12,7 Milliarden €) und erwartet, dass das bereinigte </w:t>
      </w:r>
      <w:r w:rsidRPr="000A4DCE">
        <w:rPr>
          <w:rFonts w:cs="Lucida Sans Unicode"/>
          <w:b/>
          <w:sz w:val="20"/>
          <w:szCs w:val="20"/>
        </w:rPr>
        <w:t>EBITDA</w:t>
      </w:r>
      <w:r>
        <w:rPr>
          <w:rFonts w:cs="Lucida Sans Unicode"/>
          <w:sz w:val="20"/>
          <w:szCs w:val="20"/>
        </w:rPr>
        <w:t xml:space="preserve"> eher im unteren als im oberen Bereich der Spanne von 1,8 bis 2,1 Milliarden € liegen wird (2013: 2,0 Milliarden €)</w:t>
      </w:r>
      <w:r w:rsidR="00AD26C5">
        <w:rPr>
          <w:rFonts w:cs="Lucida Sans Unicode"/>
          <w:sz w:val="20"/>
          <w:szCs w:val="20"/>
        </w:rPr>
        <w:t>.</w:t>
      </w:r>
    </w:p>
    <w:p w:rsidR="0086409A" w:rsidRPr="000A4DCE" w:rsidRDefault="0086409A" w:rsidP="0033355C">
      <w:pPr>
        <w:spacing w:line="300" w:lineRule="exact"/>
        <w:rPr>
          <w:sz w:val="20"/>
          <w:szCs w:val="20"/>
          <w:lang w:eastAsia="en-US"/>
        </w:rPr>
      </w:pPr>
    </w:p>
    <w:p w:rsidR="0086409A" w:rsidRPr="000A4DCE" w:rsidRDefault="0086409A" w:rsidP="0033355C">
      <w:pPr>
        <w:spacing w:line="300" w:lineRule="exact"/>
        <w:rPr>
          <w:sz w:val="20"/>
          <w:szCs w:val="20"/>
          <w:lang w:eastAsia="en-US"/>
        </w:rPr>
      </w:pPr>
    </w:p>
    <w:p w:rsidR="00D509E1" w:rsidRPr="00D509E1" w:rsidRDefault="00D509E1" w:rsidP="0033355C">
      <w:pPr>
        <w:spacing w:line="300" w:lineRule="exact"/>
        <w:rPr>
          <w:b/>
          <w:sz w:val="20"/>
          <w:szCs w:val="20"/>
          <w:lang w:eastAsia="en-US"/>
        </w:rPr>
      </w:pPr>
      <w:r w:rsidRPr="00D509E1">
        <w:rPr>
          <w:b/>
          <w:sz w:val="20"/>
          <w:szCs w:val="20"/>
          <w:lang w:eastAsia="en-US"/>
        </w:rPr>
        <w:t xml:space="preserve">Geschäftsentwicklung </w:t>
      </w:r>
      <w:r w:rsidR="00085C27">
        <w:rPr>
          <w:b/>
          <w:sz w:val="20"/>
          <w:szCs w:val="20"/>
          <w:lang w:eastAsia="en-US"/>
        </w:rPr>
        <w:t>in den ersten neun Monaten</w:t>
      </w:r>
    </w:p>
    <w:p w:rsidR="00D509E1" w:rsidRDefault="00D509E1" w:rsidP="0033355C">
      <w:pPr>
        <w:spacing w:line="300" w:lineRule="exact"/>
        <w:rPr>
          <w:sz w:val="20"/>
          <w:szCs w:val="20"/>
          <w:lang w:eastAsia="en-US"/>
        </w:rPr>
      </w:pPr>
    </w:p>
    <w:p w:rsidR="007B1EC9" w:rsidRDefault="007B1EC9" w:rsidP="0033355C">
      <w:pPr>
        <w:spacing w:line="300" w:lineRule="exact"/>
        <w:rPr>
          <w:sz w:val="20"/>
          <w:szCs w:val="20"/>
          <w:lang w:eastAsia="en-US"/>
        </w:rPr>
      </w:pPr>
      <w:r>
        <w:rPr>
          <w:sz w:val="20"/>
          <w:szCs w:val="20"/>
          <w:lang w:eastAsia="en-US"/>
        </w:rPr>
        <w:t>Die weltwirtschaftlichen Rahmenbedingungen haben sich i</w:t>
      </w:r>
      <w:r w:rsidR="00992F79">
        <w:rPr>
          <w:sz w:val="20"/>
          <w:szCs w:val="20"/>
          <w:lang w:eastAsia="en-US"/>
        </w:rPr>
        <w:t xml:space="preserve">n den ersten neun Monaten </w:t>
      </w:r>
      <w:r>
        <w:rPr>
          <w:sz w:val="20"/>
          <w:szCs w:val="20"/>
          <w:lang w:eastAsia="en-US"/>
        </w:rPr>
        <w:t xml:space="preserve">2014 </w:t>
      </w:r>
      <w:r w:rsidR="00992F79">
        <w:rPr>
          <w:sz w:val="20"/>
          <w:szCs w:val="20"/>
          <w:lang w:eastAsia="en-US"/>
        </w:rPr>
        <w:t xml:space="preserve">insgesamt </w:t>
      </w:r>
      <w:r>
        <w:rPr>
          <w:sz w:val="20"/>
          <w:szCs w:val="20"/>
          <w:lang w:eastAsia="en-US"/>
        </w:rPr>
        <w:t xml:space="preserve">schwächer als erwartet </w:t>
      </w:r>
      <w:r w:rsidR="001D7120">
        <w:rPr>
          <w:sz w:val="20"/>
          <w:szCs w:val="20"/>
          <w:lang w:eastAsia="en-US"/>
        </w:rPr>
        <w:t>entwickelt</w:t>
      </w:r>
      <w:r>
        <w:rPr>
          <w:sz w:val="20"/>
          <w:szCs w:val="20"/>
          <w:lang w:eastAsia="en-US"/>
        </w:rPr>
        <w:t xml:space="preserve">. </w:t>
      </w:r>
      <w:r w:rsidR="00992F79">
        <w:rPr>
          <w:sz w:val="20"/>
          <w:szCs w:val="20"/>
          <w:lang w:eastAsia="en-US"/>
        </w:rPr>
        <w:t xml:space="preserve">Nach einer geringeren Dynamik im 2. Quartal blieb das </w:t>
      </w:r>
      <w:r>
        <w:rPr>
          <w:sz w:val="20"/>
          <w:szCs w:val="20"/>
          <w:lang w:eastAsia="en-US"/>
        </w:rPr>
        <w:t xml:space="preserve">globale Wachstum </w:t>
      </w:r>
      <w:r w:rsidR="00992F79">
        <w:rPr>
          <w:sz w:val="20"/>
          <w:szCs w:val="20"/>
          <w:lang w:eastAsia="en-US"/>
        </w:rPr>
        <w:t xml:space="preserve">auch im 3. Quartal verhalten. </w:t>
      </w:r>
    </w:p>
    <w:p w:rsidR="007B1EC9" w:rsidRDefault="007B1EC9" w:rsidP="0033355C">
      <w:pPr>
        <w:spacing w:line="300" w:lineRule="exact"/>
        <w:rPr>
          <w:sz w:val="20"/>
          <w:szCs w:val="20"/>
          <w:lang w:eastAsia="en-US"/>
        </w:rPr>
      </w:pPr>
    </w:p>
    <w:p w:rsidR="00665480" w:rsidRDefault="00D509E1" w:rsidP="0033355C">
      <w:pPr>
        <w:spacing w:line="300" w:lineRule="exact"/>
        <w:rPr>
          <w:sz w:val="20"/>
          <w:szCs w:val="20"/>
          <w:lang w:eastAsia="en-US"/>
        </w:rPr>
      </w:pPr>
      <w:r>
        <w:rPr>
          <w:sz w:val="20"/>
          <w:szCs w:val="20"/>
          <w:lang w:eastAsia="en-US"/>
        </w:rPr>
        <w:t>I</w:t>
      </w:r>
      <w:r w:rsidR="00992F79">
        <w:rPr>
          <w:sz w:val="20"/>
          <w:szCs w:val="20"/>
          <w:lang w:eastAsia="en-US"/>
        </w:rPr>
        <w:t xml:space="preserve">n den ersten neun Monaten </w:t>
      </w:r>
      <w:r>
        <w:rPr>
          <w:sz w:val="20"/>
          <w:szCs w:val="20"/>
          <w:lang w:eastAsia="en-US"/>
        </w:rPr>
        <w:t>201</w:t>
      </w:r>
      <w:r w:rsidR="0049546C">
        <w:rPr>
          <w:sz w:val="20"/>
          <w:szCs w:val="20"/>
          <w:lang w:eastAsia="en-US"/>
        </w:rPr>
        <w:t>4</w:t>
      </w:r>
      <w:r>
        <w:rPr>
          <w:sz w:val="20"/>
          <w:szCs w:val="20"/>
          <w:lang w:eastAsia="en-US"/>
        </w:rPr>
        <w:t xml:space="preserve"> </w:t>
      </w:r>
      <w:r w:rsidR="00BB4FB6">
        <w:rPr>
          <w:sz w:val="20"/>
          <w:szCs w:val="20"/>
          <w:lang w:eastAsia="en-US"/>
        </w:rPr>
        <w:t xml:space="preserve">erzielte Evonik </w:t>
      </w:r>
      <w:r w:rsidR="0086409A">
        <w:rPr>
          <w:sz w:val="20"/>
          <w:szCs w:val="20"/>
          <w:lang w:eastAsia="en-US"/>
        </w:rPr>
        <w:t xml:space="preserve">organisch einen Anstieg des </w:t>
      </w:r>
      <w:r w:rsidR="0086409A" w:rsidRPr="0086409A">
        <w:rPr>
          <w:b/>
          <w:sz w:val="20"/>
          <w:szCs w:val="20"/>
          <w:lang w:eastAsia="en-US"/>
        </w:rPr>
        <w:t>Konzernumsatzes</w:t>
      </w:r>
      <w:r w:rsidR="0086409A">
        <w:rPr>
          <w:sz w:val="20"/>
          <w:szCs w:val="20"/>
          <w:lang w:eastAsia="en-US"/>
        </w:rPr>
        <w:t xml:space="preserve"> um 2 Prozent</w:t>
      </w:r>
      <w:r w:rsidR="007B1EC9">
        <w:rPr>
          <w:sz w:val="20"/>
          <w:szCs w:val="20"/>
          <w:lang w:eastAsia="en-US"/>
        </w:rPr>
        <w:t>, wozu</w:t>
      </w:r>
      <w:r w:rsidR="0086409A">
        <w:rPr>
          <w:sz w:val="20"/>
          <w:szCs w:val="20"/>
          <w:lang w:eastAsia="en-US"/>
        </w:rPr>
        <w:t xml:space="preserve"> höhere Mengen (</w:t>
      </w:r>
      <w:r w:rsidR="00992F79">
        <w:rPr>
          <w:sz w:val="20"/>
          <w:szCs w:val="20"/>
          <w:lang w:eastAsia="en-US"/>
        </w:rPr>
        <w:t>4</w:t>
      </w:r>
      <w:r w:rsidR="0086409A">
        <w:rPr>
          <w:sz w:val="20"/>
          <w:szCs w:val="20"/>
          <w:lang w:eastAsia="en-US"/>
        </w:rPr>
        <w:t xml:space="preserve"> Prozentpunkte) bei </w:t>
      </w:r>
      <w:r w:rsidR="00992F79">
        <w:rPr>
          <w:sz w:val="20"/>
          <w:szCs w:val="20"/>
          <w:lang w:eastAsia="en-US"/>
        </w:rPr>
        <w:t>niedrigeren</w:t>
      </w:r>
      <w:r w:rsidR="0086409A">
        <w:rPr>
          <w:sz w:val="20"/>
          <w:szCs w:val="20"/>
          <w:lang w:eastAsia="en-US"/>
        </w:rPr>
        <w:t xml:space="preserve"> Verkaufspreisen (-</w:t>
      </w:r>
      <w:r w:rsidR="00992F79">
        <w:rPr>
          <w:sz w:val="20"/>
          <w:szCs w:val="20"/>
          <w:lang w:eastAsia="en-US"/>
        </w:rPr>
        <w:t>2</w:t>
      </w:r>
      <w:r w:rsidR="0086409A">
        <w:rPr>
          <w:sz w:val="20"/>
          <w:szCs w:val="20"/>
          <w:lang w:eastAsia="en-US"/>
        </w:rPr>
        <w:t xml:space="preserve"> Prozentpunkte) bei</w:t>
      </w:r>
      <w:r w:rsidR="007B1EC9">
        <w:rPr>
          <w:sz w:val="20"/>
          <w:szCs w:val="20"/>
          <w:lang w:eastAsia="en-US"/>
        </w:rPr>
        <w:t>trugen</w:t>
      </w:r>
      <w:r w:rsidR="0086409A">
        <w:rPr>
          <w:sz w:val="20"/>
          <w:szCs w:val="20"/>
          <w:lang w:eastAsia="en-US"/>
        </w:rPr>
        <w:t xml:space="preserve">. </w:t>
      </w:r>
      <w:r w:rsidR="007B1EC9">
        <w:rPr>
          <w:sz w:val="20"/>
          <w:szCs w:val="20"/>
          <w:lang w:eastAsia="en-US"/>
        </w:rPr>
        <w:t>Unter Berücksichtigung des Währungseinflusses (-</w:t>
      </w:r>
      <w:r w:rsidR="00992F79">
        <w:rPr>
          <w:sz w:val="20"/>
          <w:szCs w:val="20"/>
          <w:lang w:eastAsia="en-US"/>
        </w:rPr>
        <w:t>1</w:t>
      </w:r>
      <w:r w:rsidR="007B1EC9">
        <w:rPr>
          <w:sz w:val="20"/>
          <w:szCs w:val="20"/>
          <w:lang w:eastAsia="en-US"/>
        </w:rPr>
        <w:t xml:space="preserve"> Prozentpunkt) </w:t>
      </w:r>
      <w:r w:rsidR="00AA6907">
        <w:rPr>
          <w:sz w:val="20"/>
          <w:szCs w:val="20"/>
          <w:lang w:eastAsia="en-US"/>
        </w:rPr>
        <w:t xml:space="preserve">erhöhte sich </w:t>
      </w:r>
      <w:r w:rsidR="0086409A">
        <w:rPr>
          <w:sz w:val="20"/>
          <w:szCs w:val="20"/>
          <w:lang w:eastAsia="en-US"/>
        </w:rPr>
        <w:t xml:space="preserve">der Umsatz </w:t>
      </w:r>
      <w:r w:rsidR="00AA6907">
        <w:rPr>
          <w:sz w:val="20"/>
          <w:szCs w:val="20"/>
          <w:lang w:eastAsia="en-US"/>
        </w:rPr>
        <w:t xml:space="preserve">um 1 Prozent auf </w:t>
      </w:r>
      <w:r w:rsidR="0086409A">
        <w:rPr>
          <w:sz w:val="20"/>
          <w:szCs w:val="20"/>
          <w:lang w:eastAsia="en-US"/>
        </w:rPr>
        <w:t xml:space="preserve"> </w:t>
      </w:r>
      <w:r w:rsidR="00992F79">
        <w:rPr>
          <w:sz w:val="20"/>
          <w:szCs w:val="20"/>
          <w:lang w:eastAsia="en-US"/>
        </w:rPr>
        <w:t xml:space="preserve">9.691 </w:t>
      </w:r>
      <w:r w:rsidR="0086409A">
        <w:rPr>
          <w:sz w:val="20"/>
          <w:szCs w:val="20"/>
          <w:lang w:eastAsia="en-US"/>
        </w:rPr>
        <w:t xml:space="preserve">Millionen € </w:t>
      </w:r>
      <w:r w:rsidR="00AA6907">
        <w:rPr>
          <w:sz w:val="20"/>
          <w:szCs w:val="20"/>
          <w:lang w:eastAsia="en-US"/>
        </w:rPr>
        <w:t>(</w:t>
      </w:r>
      <w:r w:rsidR="002A3BED">
        <w:rPr>
          <w:sz w:val="20"/>
          <w:szCs w:val="20"/>
          <w:lang w:eastAsia="en-US"/>
        </w:rPr>
        <w:t>Vorjahr</w:t>
      </w:r>
      <w:r w:rsidR="0003249C">
        <w:rPr>
          <w:sz w:val="20"/>
          <w:szCs w:val="20"/>
          <w:lang w:eastAsia="en-US"/>
        </w:rPr>
        <w:t>eszeitraum</w:t>
      </w:r>
      <w:r w:rsidR="00AA6907">
        <w:rPr>
          <w:sz w:val="20"/>
          <w:szCs w:val="20"/>
          <w:lang w:eastAsia="en-US"/>
        </w:rPr>
        <w:t>:</w:t>
      </w:r>
      <w:r w:rsidR="002A3BED">
        <w:rPr>
          <w:sz w:val="20"/>
          <w:szCs w:val="20"/>
          <w:lang w:eastAsia="en-US"/>
        </w:rPr>
        <w:t xml:space="preserve"> </w:t>
      </w:r>
      <w:r w:rsidR="00992F79">
        <w:rPr>
          <w:sz w:val="20"/>
          <w:szCs w:val="20"/>
          <w:lang w:eastAsia="en-US"/>
        </w:rPr>
        <w:t>9.619</w:t>
      </w:r>
      <w:r w:rsidR="0086409A">
        <w:rPr>
          <w:sz w:val="20"/>
          <w:szCs w:val="20"/>
          <w:lang w:eastAsia="en-US"/>
        </w:rPr>
        <w:t xml:space="preserve"> Millionen €</w:t>
      </w:r>
      <w:r w:rsidR="00AA6907">
        <w:rPr>
          <w:sz w:val="20"/>
          <w:szCs w:val="20"/>
          <w:lang w:eastAsia="en-US"/>
        </w:rPr>
        <w:t>)</w:t>
      </w:r>
      <w:r w:rsidR="00AD26C5">
        <w:rPr>
          <w:sz w:val="20"/>
          <w:szCs w:val="20"/>
          <w:lang w:eastAsia="en-US"/>
        </w:rPr>
        <w:t>.</w:t>
      </w:r>
    </w:p>
    <w:p w:rsidR="0086409A" w:rsidRDefault="0086409A" w:rsidP="0033355C">
      <w:pPr>
        <w:spacing w:line="300" w:lineRule="exact"/>
        <w:rPr>
          <w:sz w:val="20"/>
          <w:szCs w:val="20"/>
          <w:lang w:eastAsia="en-US"/>
        </w:rPr>
      </w:pPr>
    </w:p>
    <w:p w:rsidR="008A7FB7" w:rsidRDefault="00D12544" w:rsidP="0033355C">
      <w:pPr>
        <w:spacing w:line="300" w:lineRule="exact"/>
        <w:rPr>
          <w:sz w:val="20"/>
          <w:szCs w:val="20"/>
          <w:lang w:eastAsia="en-US"/>
        </w:rPr>
      </w:pPr>
      <w:r>
        <w:rPr>
          <w:sz w:val="20"/>
          <w:szCs w:val="20"/>
          <w:lang w:eastAsia="en-US"/>
        </w:rPr>
        <w:t xml:space="preserve">Das bereinigte </w:t>
      </w:r>
      <w:r w:rsidRPr="00D12544">
        <w:rPr>
          <w:b/>
          <w:sz w:val="20"/>
          <w:szCs w:val="20"/>
          <w:lang w:eastAsia="en-US"/>
        </w:rPr>
        <w:t>EBITDA</w:t>
      </w:r>
      <w:r>
        <w:rPr>
          <w:sz w:val="20"/>
          <w:szCs w:val="20"/>
          <w:lang w:eastAsia="en-US"/>
        </w:rPr>
        <w:t xml:space="preserve"> </w:t>
      </w:r>
      <w:r w:rsidR="003A2DF7">
        <w:rPr>
          <w:sz w:val="20"/>
          <w:szCs w:val="20"/>
          <w:lang w:eastAsia="en-US"/>
        </w:rPr>
        <w:t>blieb</w:t>
      </w:r>
      <w:r>
        <w:rPr>
          <w:sz w:val="20"/>
          <w:szCs w:val="20"/>
          <w:lang w:eastAsia="en-US"/>
        </w:rPr>
        <w:t xml:space="preserve"> vor allem </w:t>
      </w:r>
      <w:r w:rsidR="00992F79">
        <w:rPr>
          <w:sz w:val="20"/>
          <w:szCs w:val="20"/>
          <w:lang w:eastAsia="en-US"/>
        </w:rPr>
        <w:t xml:space="preserve">infolge </w:t>
      </w:r>
      <w:r w:rsidR="00235D46">
        <w:rPr>
          <w:sz w:val="20"/>
          <w:szCs w:val="20"/>
          <w:lang w:eastAsia="en-US"/>
        </w:rPr>
        <w:t xml:space="preserve">der </w:t>
      </w:r>
      <w:r w:rsidR="003A2DF7">
        <w:rPr>
          <w:sz w:val="20"/>
          <w:szCs w:val="20"/>
          <w:lang w:eastAsia="en-US"/>
        </w:rPr>
        <w:t>geringeren</w:t>
      </w:r>
      <w:r w:rsidR="002A3BED">
        <w:rPr>
          <w:sz w:val="20"/>
          <w:szCs w:val="20"/>
          <w:lang w:eastAsia="en-US"/>
        </w:rPr>
        <w:t xml:space="preserve"> </w:t>
      </w:r>
      <w:r>
        <w:rPr>
          <w:sz w:val="20"/>
          <w:szCs w:val="20"/>
          <w:lang w:eastAsia="en-US"/>
        </w:rPr>
        <w:t xml:space="preserve">Verkaufspreise bei einigen wichtigen Produkten </w:t>
      </w:r>
      <w:r w:rsidR="003A2DF7">
        <w:rPr>
          <w:sz w:val="20"/>
          <w:szCs w:val="20"/>
          <w:lang w:eastAsia="en-US"/>
        </w:rPr>
        <w:t xml:space="preserve">mit 1.425 Millionen € </w:t>
      </w:r>
      <w:r>
        <w:rPr>
          <w:sz w:val="20"/>
          <w:szCs w:val="20"/>
          <w:lang w:eastAsia="en-US"/>
        </w:rPr>
        <w:t>um 1</w:t>
      </w:r>
      <w:r w:rsidR="003A2DF7">
        <w:rPr>
          <w:sz w:val="20"/>
          <w:szCs w:val="20"/>
          <w:lang w:eastAsia="en-US"/>
        </w:rPr>
        <w:t>2</w:t>
      </w:r>
      <w:r>
        <w:rPr>
          <w:sz w:val="20"/>
          <w:szCs w:val="20"/>
          <w:lang w:eastAsia="en-US"/>
        </w:rPr>
        <w:t xml:space="preserve"> Prozent </w:t>
      </w:r>
      <w:r w:rsidR="003A2DF7">
        <w:rPr>
          <w:sz w:val="20"/>
          <w:szCs w:val="20"/>
          <w:lang w:eastAsia="en-US"/>
        </w:rPr>
        <w:t>unter dem Vorjahreswert von 1.620</w:t>
      </w:r>
      <w:r>
        <w:rPr>
          <w:sz w:val="20"/>
          <w:szCs w:val="20"/>
          <w:lang w:eastAsia="en-US"/>
        </w:rPr>
        <w:t xml:space="preserve"> Millionen €. Die </w:t>
      </w:r>
      <w:r w:rsidR="003A2DF7">
        <w:rPr>
          <w:sz w:val="20"/>
          <w:szCs w:val="20"/>
          <w:lang w:eastAsia="en-US"/>
        </w:rPr>
        <w:t>b</w:t>
      </w:r>
      <w:r>
        <w:rPr>
          <w:sz w:val="20"/>
          <w:szCs w:val="20"/>
          <w:lang w:eastAsia="en-US"/>
        </w:rPr>
        <w:t xml:space="preserve">ereinigte </w:t>
      </w:r>
      <w:r w:rsidRPr="005F7782">
        <w:rPr>
          <w:b/>
          <w:sz w:val="20"/>
          <w:szCs w:val="20"/>
          <w:lang w:eastAsia="en-US"/>
        </w:rPr>
        <w:t>EBITDA-Marge</w:t>
      </w:r>
      <w:r>
        <w:rPr>
          <w:sz w:val="20"/>
          <w:szCs w:val="20"/>
          <w:lang w:eastAsia="en-US"/>
        </w:rPr>
        <w:t xml:space="preserve"> verringerte sich entsprechend von 1</w:t>
      </w:r>
      <w:r w:rsidR="003A2DF7">
        <w:rPr>
          <w:sz w:val="20"/>
          <w:szCs w:val="20"/>
          <w:lang w:eastAsia="en-US"/>
        </w:rPr>
        <w:t>6,8</w:t>
      </w:r>
      <w:r>
        <w:rPr>
          <w:sz w:val="20"/>
          <w:szCs w:val="20"/>
          <w:lang w:eastAsia="en-US"/>
        </w:rPr>
        <w:t xml:space="preserve"> Prozent auf 14,</w:t>
      </w:r>
      <w:r w:rsidR="003A2DF7">
        <w:rPr>
          <w:sz w:val="20"/>
          <w:szCs w:val="20"/>
          <w:lang w:eastAsia="en-US"/>
        </w:rPr>
        <w:t>7</w:t>
      </w:r>
      <w:r>
        <w:rPr>
          <w:sz w:val="20"/>
          <w:szCs w:val="20"/>
          <w:lang w:eastAsia="en-US"/>
        </w:rPr>
        <w:t xml:space="preserve"> Prozent. </w:t>
      </w:r>
    </w:p>
    <w:p w:rsidR="00D12544" w:rsidRDefault="00D12544" w:rsidP="0033355C">
      <w:pPr>
        <w:spacing w:line="300" w:lineRule="exact"/>
        <w:rPr>
          <w:sz w:val="20"/>
          <w:szCs w:val="20"/>
          <w:lang w:eastAsia="en-US"/>
        </w:rPr>
      </w:pPr>
    </w:p>
    <w:p w:rsidR="00D12544" w:rsidRDefault="00D12544" w:rsidP="0033355C">
      <w:pPr>
        <w:spacing w:line="300" w:lineRule="exact"/>
        <w:rPr>
          <w:sz w:val="20"/>
          <w:szCs w:val="20"/>
          <w:lang w:eastAsia="en-US"/>
        </w:rPr>
      </w:pPr>
      <w:r>
        <w:rPr>
          <w:sz w:val="20"/>
          <w:szCs w:val="20"/>
          <w:lang w:eastAsia="en-US"/>
        </w:rPr>
        <w:t xml:space="preserve">Die </w:t>
      </w:r>
      <w:r w:rsidRPr="00D12544">
        <w:rPr>
          <w:b/>
          <w:sz w:val="20"/>
          <w:szCs w:val="20"/>
          <w:lang w:eastAsia="en-US"/>
        </w:rPr>
        <w:t>Bereinigungen</w:t>
      </w:r>
      <w:r>
        <w:rPr>
          <w:sz w:val="20"/>
          <w:szCs w:val="20"/>
          <w:lang w:eastAsia="en-US"/>
        </w:rPr>
        <w:t xml:space="preserve"> von -</w:t>
      </w:r>
      <w:r w:rsidR="003A2DF7">
        <w:rPr>
          <w:sz w:val="20"/>
          <w:szCs w:val="20"/>
          <w:lang w:eastAsia="en-US"/>
        </w:rPr>
        <w:t>144</w:t>
      </w:r>
      <w:r>
        <w:rPr>
          <w:sz w:val="20"/>
          <w:szCs w:val="20"/>
          <w:lang w:eastAsia="en-US"/>
        </w:rPr>
        <w:t xml:space="preserve"> Millionen € </w:t>
      </w:r>
      <w:r w:rsidR="003202D9">
        <w:rPr>
          <w:sz w:val="20"/>
          <w:szCs w:val="20"/>
          <w:lang w:eastAsia="en-US"/>
        </w:rPr>
        <w:t xml:space="preserve">betreffen unter anderem </w:t>
      </w:r>
      <w:r>
        <w:rPr>
          <w:sz w:val="20"/>
          <w:szCs w:val="20"/>
          <w:lang w:eastAsia="en-US"/>
        </w:rPr>
        <w:t>Restrukturierungsaufwendungen</w:t>
      </w:r>
      <w:r w:rsidR="00B42788">
        <w:rPr>
          <w:sz w:val="20"/>
          <w:szCs w:val="20"/>
          <w:lang w:eastAsia="en-US"/>
        </w:rPr>
        <w:t xml:space="preserve"> sowie</w:t>
      </w:r>
      <w:r>
        <w:rPr>
          <w:sz w:val="20"/>
          <w:szCs w:val="20"/>
          <w:lang w:eastAsia="en-US"/>
        </w:rPr>
        <w:t xml:space="preserve"> Wertminderungen </w:t>
      </w:r>
      <w:r w:rsidR="00E52B15">
        <w:rPr>
          <w:sz w:val="20"/>
          <w:szCs w:val="20"/>
          <w:lang w:eastAsia="en-US"/>
        </w:rPr>
        <w:t xml:space="preserve">im Wesentlichen </w:t>
      </w:r>
      <w:r>
        <w:rPr>
          <w:sz w:val="20"/>
          <w:szCs w:val="20"/>
          <w:lang w:eastAsia="en-US"/>
        </w:rPr>
        <w:t xml:space="preserve">für </w:t>
      </w:r>
      <w:r w:rsidR="00AA6907">
        <w:rPr>
          <w:sz w:val="20"/>
          <w:szCs w:val="20"/>
          <w:lang w:eastAsia="en-US"/>
        </w:rPr>
        <w:t>zwei</w:t>
      </w:r>
      <w:r>
        <w:rPr>
          <w:sz w:val="20"/>
          <w:szCs w:val="20"/>
          <w:lang w:eastAsia="en-US"/>
        </w:rPr>
        <w:t xml:space="preserve"> </w:t>
      </w:r>
      <w:r w:rsidR="00CC4D7F">
        <w:rPr>
          <w:sz w:val="20"/>
          <w:szCs w:val="20"/>
          <w:lang w:eastAsia="en-US"/>
        </w:rPr>
        <w:t>Projekt</w:t>
      </w:r>
      <w:r w:rsidR="00AA6907">
        <w:rPr>
          <w:sz w:val="20"/>
          <w:szCs w:val="20"/>
          <w:lang w:eastAsia="en-US"/>
        </w:rPr>
        <w:t>e</w:t>
      </w:r>
      <w:r w:rsidR="00CC4D7F">
        <w:rPr>
          <w:sz w:val="20"/>
          <w:szCs w:val="20"/>
          <w:lang w:eastAsia="en-US"/>
        </w:rPr>
        <w:t xml:space="preserve"> des Segments Specialty Materials, d</w:t>
      </w:r>
      <w:r w:rsidR="00AA6907">
        <w:rPr>
          <w:sz w:val="20"/>
          <w:szCs w:val="20"/>
          <w:lang w:eastAsia="en-US"/>
        </w:rPr>
        <w:t>ie</w:t>
      </w:r>
      <w:r w:rsidR="00CC4D7F">
        <w:rPr>
          <w:sz w:val="20"/>
          <w:szCs w:val="20"/>
          <w:lang w:eastAsia="en-US"/>
        </w:rPr>
        <w:t xml:space="preserve"> </w:t>
      </w:r>
      <w:r w:rsidR="00B42788">
        <w:rPr>
          <w:sz w:val="20"/>
          <w:szCs w:val="20"/>
          <w:lang w:eastAsia="en-US"/>
        </w:rPr>
        <w:t xml:space="preserve">im Rahmen der regelmäßigen Überprüfung der Investitionsprojekte </w:t>
      </w:r>
      <w:r w:rsidR="00397A38">
        <w:rPr>
          <w:sz w:val="20"/>
          <w:szCs w:val="20"/>
          <w:lang w:eastAsia="en-US"/>
        </w:rPr>
        <w:t>beendet</w:t>
      </w:r>
      <w:r w:rsidR="00CC4D7F">
        <w:rPr>
          <w:sz w:val="20"/>
          <w:szCs w:val="20"/>
          <w:lang w:eastAsia="en-US"/>
        </w:rPr>
        <w:t xml:space="preserve"> wurde</w:t>
      </w:r>
      <w:r w:rsidR="00AA6907">
        <w:rPr>
          <w:sz w:val="20"/>
          <w:szCs w:val="20"/>
          <w:lang w:eastAsia="en-US"/>
        </w:rPr>
        <w:t>n</w:t>
      </w:r>
      <w:r w:rsidR="00AC627F">
        <w:rPr>
          <w:sz w:val="20"/>
          <w:szCs w:val="20"/>
          <w:lang w:eastAsia="en-US"/>
        </w:rPr>
        <w:t>,</w:t>
      </w:r>
      <w:r w:rsidR="00980AD5">
        <w:rPr>
          <w:sz w:val="20"/>
          <w:szCs w:val="20"/>
          <w:lang w:eastAsia="en-US"/>
        </w:rPr>
        <w:t xml:space="preserve"> sowie unter anderem Aufwendungen für die Aufstockung der Altersteilzeit im Zusammenhang mit IAS 19 (2011).</w:t>
      </w:r>
      <w:r w:rsidR="001858DC">
        <w:rPr>
          <w:sz w:val="20"/>
          <w:szCs w:val="20"/>
          <w:lang w:eastAsia="en-US"/>
        </w:rPr>
        <w:t xml:space="preserve"> Der Vorjahreswert </w:t>
      </w:r>
      <w:r w:rsidR="001858DC">
        <w:rPr>
          <w:sz w:val="20"/>
          <w:szCs w:val="20"/>
          <w:lang w:eastAsia="en-US"/>
        </w:rPr>
        <w:lastRenderedPageBreak/>
        <w:t>von -</w:t>
      </w:r>
      <w:r w:rsidR="005854F5">
        <w:rPr>
          <w:sz w:val="20"/>
          <w:szCs w:val="20"/>
          <w:lang w:eastAsia="en-US"/>
        </w:rPr>
        <w:t>324</w:t>
      </w:r>
      <w:r w:rsidR="001858DC">
        <w:rPr>
          <w:sz w:val="20"/>
          <w:szCs w:val="20"/>
          <w:lang w:eastAsia="en-US"/>
        </w:rPr>
        <w:t xml:space="preserve"> Millionen € betraf </w:t>
      </w:r>
      <w:r w:rsidR="00980AD5">
        <w:rPr>
          <w:sz w:val="20"/>
          <w:szCs w:val="20"/>
          <w:lang w:eastAsia="en-US"/>
        </w:rPr>
        <w:t>im Wesentlichen Restrukturierungs</w:t>
      </w:r>
      <w:r w:rsidR="00AB72CE">
        <w:rPr>
          <w:sz w:val="20"/>
          <w:szCs w:val="20"/>
          <w:lang w:eastAsia="en-US"/>
        </w:rPr>
        <w:t>-</w:t>
      </w:r>
      <w:r w:rsidR="00980AD5">
        <w:rPr>
          <w:sz w:val="20"/>
          <w:szCs w:val="20"/>
          <w:lang w:eastAsia="en-US"/>
        </w:rPr>
        <w:t>aufwendungen sowie die Bildung von Rückstellungen</w:t>
      </w:r>
      <w:r w:rsidR="001858DC">
        <w:rPr>
          <w:sz w:val="20"/>
          <w:szCs w:val="20"/>
          <w:lang w:eastAsia="en-US"/>
        </w:rPr>
        <w:t>.</w:t>
      </w:r>
    </w:p>
    <w:p w:rsidR="001858DC" w:rsidRDefault="001858DC" w:rsidP="0033355C">
      <w:pPr>
        <w:spacing w:line="300" w:lineRule="exact"/>
        <w:rPr>
          <w:sz w:val="20"/>
          <w:szCs w:val="20"/>
          <w:lang w:eastAsia="en-US"/>
        </w:rPr>
      </w:pPr>
    </w:p>
    <w:p w:rsidR="00655EA5" w:rsidRDefault="001858DC" w:rsidP="0033355C">
      <w:pPr>
        <w:spacing w:line="300" w:lineRule="exact"/>
        <w:rPr>
          <w:sz w:val="20"/>
          <w:szCs w:val="20"/>
          <w:lang w:eastAsia="en-US"/>
        </w:rPr>
      </w:pPr>
      <w:r>
        <w:rPr>
          <w:sz w:val="20"/>
          <w:szCs w:val="20"/>
          <w:lang w:eastAsia="en-US"/>
        </w:rPr>
        <w:t xml:space="preserve">Das </w:t>
      </w:r>
      <w:r w:rsidRPr="00141D4F">
        <w:rPr>
          <w:b/>
          <w:sz w:val="20"/>
          <w:szCs w:val="20"/>
          <w:lang w:eastAsia="en-US"/>
        </w:rPr>
        <w:t>Ergebnis vor Ertragsteuern der fortgeführten Aktivitäten</w:t>
      </w:r>
      <w:r>
        <w:rPr>
          <w:sz w:val="20"/>
          <w:szCs w:val="20"/>
          <w:lang w:eastAsia="en-US"/>
        </w:rPr>
        <w:t xml:space="preserve"> </w:t>
      </w:r>
      <w:r w:rsidR="005854F5">
        <w:rPr>
          <w:sz w:val="20"/>
          <w:szCs w:val="20"/>
          <w:lang w:eastAsia="en-US"/>
        </w:rPr>
        <w:t xml:space="preserve">verringerte sich </w:t>
      </w:r>
      <w:r w:rsidR="00141D4F">
        <w:rPr>
          <w:sz w:val="20"/>
          <w:szCs w:val="20"/>
          <w:lang w:eastAsia="en-US"/>
        </w:rPr>
        <w:t xml:space="preserve">um </w:t>
      </w:r>
      <w:r w:rsidR="00980AD5">
        <w:rPr>
          <w:sz w:val="20"/>
          <w:szCs w:val="20"/>
          <w:lang w:eastAsia="en-US"/>
        </w:rPr>
        <w:t>5</w:t>
      </w:r>
      <w:r w:rsidR="00141D4F">
        <w:rPr>
          <w:sz w:val="20"/>
          <w:szCs w:val="20"/>
          <w:lang w:eastAsia="en-US"/>
        </w:rPr>
        <w:t xml:space="preserve"> Prozent auf </w:t>
      </w:r>
      <w:r w:rsidR="005854F5">
        <w:rPr>
          <w:sz w:val="20"/>
          <w:szCs w:val="20"/>
          <w:lang w:eastAsia="en-US"/>
        </w:rPr>
        <w:t>633</w:t>
      </w:r>
      <w:r w:rsidR="00141D4F">
        <w:rPr>
          <w:sz w:val="20"/>
          <w:szCs w:val="20"/>
          <w:lang w:eastAsia="en-US"/>
        </w:rPr>
        <w:t xml:space="preserve"> Millionen € (Vorjahres</w:t>
      </w:r>
      <w:r w:rsidR="005854F5">
        <w:rPr>
          <w:sz w:val="20"/>
          <w:szCs w:val="20"/>
          <w:lang w:eastAsia="en-US"/>
        </w:rPr>
        <w:t>zeitraum</w:t>
      </w:r>
      <w:r w:rsidR="00141D4F">
        <w:rPr>
          <w:sz w:val="20"/>
          <w:szCs w:val="20"/>
          <w:lang w:eastAsia="en-US"/>
        </w:rPr>
        <w:t>: 6</w:t>
      </w:r>
      <w:r w:rsidR="005854F5">
        <w:rPr>
          <w:sz w:val="20"/>
          <w:szCs w:val="20"/>
          <w:lang w:eastAsia="en-US"/>
        </w:rPr>
        <w:t>63</w:t>
      </w:r>
      <w:r w:rsidR="00141D4F">
        <w:rPr>
          <w:sz w:val="20"/>
          <w:szCs w:val="20"/>
          <w:lang w:eastAsia="en-US"/>
        </w:rPr>
        <w:t xml:space="preserve"> Millionen €). </w:t>
      </w:r>
      <w:r w:rsidR="00505982">
        <w:rPr>
          <w:sz w:val="20"/>
          <w:szCs w:val="20"/>
          <w:lang w:eastAsia="en-US"/>
        </w:rPr>
        <w:t xml:space="preserve">Das </w:t>
      </w:r>
      <w:r w:rsidR="00505982" w:rsidRPr="005F7782">
        <w:rPr>
          <w:b/>
          <w:sz w:val="20"/>
          <w:szCs w:val="20"/>
          <w:lang w:eastAsia="en-US"/>
        </w:rPr>
        <w:t>Ergebnis nach Steuern der nicht fortgeführten Aktivitäten</w:t>
      </w:r>
      <w:r w:rsidR="00505982">
        <w:rPr>
          <w:sz w:val="20"/>
          <w:szCs w:val="20"/>
          <w:lang w:eastAsia="en-US"/>
        </w:rPr>
        <w:t xml:space="preserve"> von </w:t>
      </w:r>
      <w:r w:rsidR="00980AD5">
        <w:rPr>
          <w:sz w:val="20"/>
          <w:szCs w:val="20"/>
          <w:lang w:eastAsia="en-US"/>
        </w:rPr>
        <w:br/>
      </w:r>
      <w:r w:rsidR="005854F5">
        <w:rPr>
          <w:sz w:val="20"/>
          <w:szCs w:val="20"/>
          <w:lang w:eastAsia="en-US"/>
        </w:rPr>
        <w:t>-11</w:t>
      </w:r>
      <w:r w:rsidR="00505982">
        <w:rPr>
          <w:sz w:val="20"/>
          <w:szCs w:val="20"/>
          <w:lang w:eastAsia="en-US"/>
        </w:rPr>
        <w:t xml:space="preserve"> Millionen € </w:t>
      </w:r>
      <w:r w:rsidR="00C054EC">
        <w:rPr>
          <w:sz w:val="20"/>
          <w:szCs w:val="20"/>
          <w:lang w:eastAsia="en-US"/>
        </w:rPr>
        <w:t xml:space="preserve">betraf </w:t>
      </w:r>
      <w:r w:rsidR="005854F5">
        <w:rPr>
          <w:sz w:val="20"/>
          <w:szCs w:val="20"/>
          <w:lang w:eastAsia="en-US"/>
        </w:rPr>
        <w:t xml:space="preserve">hauptsächlich die laufenden Ergebnisse der im September 2014 verkauften </w:t>
      </w:r>
      <w:r w:rsidR="003E73C0">
        <w:rPr>
          <w:sz w:val="20"/>
          <w:szCs w:val="20"/>
          <w:lang w:eastAsia="en-US"/>
        </w:rPr>
        <w:t xml:space="preserve">restlichen </w:t>
      </w:r>
      <w:r w:rsidR="000D4E92">
        <w:rPr>
          <w:sz w:val="20"/>
          <w:szCs w:val="20"/>
          <w:lang w:eastAsia="en-US"/>
        </w:rPr>
        <w:t>49</w:t>
      </w:r>
      <w:r w:rsidR="00980AD5">
        <w:rPr>
          <w:sz w:val="20"/>
          <w:szCs w:val="20"/>
          <w:lang w:eastAsia="en-US"/>
        </w:rPr>
        <w:t>-prozentigen</w:t>
      </w:r>
      <w:r w:rsidR="000D4E92">
        <w:rPr>
          <w:sz w:val="20"/>
          <w:szCs w:val="20"/>
          <w:lang w:eastAsia="en-US"/>
        </w:rPr>
        <w:t xml:space="preserve"> </w:t>
      </w:r>
      <w:r w:rsidR="005854F5">
        <w:rPr>
          <w:sz w:val="20"/>
          <w:szCs w:val="20"/>
          <w:lang w:eastAsia="en-US"/>
        </w:rPr>
        <w:t xml:space="preserve">STEAG-Beteiligung sowie des Lithium-Ionen-Geschäfts. Der Vorjahreswert von 1.377 Millionen € war geprägt von dem Veräußerungsergebnis der im Juli 2013 </w:t>
      </w:r>
      <w:r w:rsidR="00052DAA">
        <w:rPr>
          <w:sz w:val="20"/>
          <w:szCs w:val="20"/>
          <w:lang w:eastAsia="en-US"/>
        </w:rPr>
        <w:t>abgegebenen</w:t>
      </w:r>
      <w:r w:rsidR="005854F5">
        <w:rPr>
          <w:sz w:val="20"/>
          <w:szCs w:val="20"/>
          <w:lang w:eastAsia="en-US"/>
        </w:rPr>
        <w:t xml:space="preserve"> Immobilienaktivitäten.</w:t>
      </w:r>
      <w:r w:rsidR="00C054EC">
        <w:rPr>
          <w:sz w:val="20"/>
          <w:szCs w:val="20"/>
          <w:lang w:eastAsia="en-US"/>
        </w:rPr>
        <w:t xml:space="preserve"> </w:t>
      </w:r>
      <w:r w:rsidR="00E202C1">
        <w:rPr>
          <w:sz w:val="20"/>
          <w:szCs w:val="20"/>
          <w:lang w:eastAsia="en-US"/>
        </w:rPr>
        <w:t xml:space="preserve">Daher </w:t>
      </w:r>
      <w:r w:rsidR="00980AD5">
        <w:rPr>
          <w:sz w:val="20"/>
          <w:szCs w:val="20"/>
          <w:lang w:eastAsia="en-US"/>
        </w:rPr>
        <w:t xml:space="preserve">blieb auch </w:t>
      </w:r>
      <w:r w:rsidR="00A94697" w:rsidRPr="00E94E68">
        <w:rPr>
          <w:sz w:val="20"/>
          <w:szCs w:val="20"/>
          <w:lang w:eastAsia="en-US"/>
        </w:rPr>
        <w:t xml:space="preserve">das </w:t>
      </w:r>
      <w:r w:rsidR="00A94697" w:rsidRPr="00E94E68">
        <w:rPr>
          <w:b/>
          <w:sz w:val="20"/>
          <w:szCs w:val="20"/>
          <w:lang w:eastAsia="en-US"/>
        </w:rPr>
        <w:t>Konzernergebnis</w:t>
      </w:r>
      <w:r w:rsidR="00A94697" w:rsidRPr="00E94E68">
        <w:rPr>
          <w:sz w:val="20"/>
          <w:szCs w:val="20"/>
          <w:lang w:eastAsia="en-US"/>
        </w:rPr>
        <w:t xml:space="preserve"> </w:t>
      </w:r>
      <w:r w:rsidR="00C054EC" w:rsidRPr="00E94E68">
        <w:rPr>
          <w:sz w:val="20"/>
          <w:szCs w:val="20"/>
          <w:lang w:eastAsia="en-US"/>
        </w:rPr>
        <w:t>i</w:t>
      </w:r>
      <w:r w:rsidR="00E202C1">
        <w:rPr>
          <w:sz w:val="20"/>
          <w:szCs w:val="20"/>
          <w:lang w:eastAsia="en-US"/>
        </w:rPr>
        <w:t>n den ersten neun Monaten</w:t>
      </w:r>
      <w:r w:rsidR="00C054EC" w:rsidRPr="00E94E68">
        <w:rPr>
          <w:sz w:val="20"/>
          <w:szCs w:val="20"/>
          <w:lang w:eastAsia="en-US"/>
        </w:rPr>
        <w:t xml:space="preserve"> 2014 </w:t>
      </w:r>
      <w:r w:rsidR="00E202C1">
        <w:rPr>
          <w:sz w:val="20"/>
          <w:szCs w:val="20"/>
          <w:lang w:eastAsia="en-US"/>
        </w:rPr>
        <w:t xml:space="preserve">mit 416 Millionen € </w:t>
      </w:r>
      <w:r w:rsidR="007D4EA6">
        <w:rPr>
          <w:sz w:val="20"/>
          <w:szCs w:val="20"/>
          <w:lang w:eastAsia="en-US"/>
        </w:rPr>
        <w:t>erheblich</w:t>
      </w:r>
      <w:r w:rsidR="00E202C1">
        <w:rPr>
          <w:sz w:val="20"/>
          <w:szCs w:val="20"/>
          <w:lang w:eastAsia="en-US"/>
        </w:rPr>
        <w:t xml:space="preserve"> unter dem sehr hohem Vorjahreswert von 1.959</w:t>
      </w:r>
      <w:r w:rsidR="00655EA5" w:rsidRPr="00E94E68">
        <w:rPr>
          <w:sz w:val="20"/>
          <w:szCs w:val="20"/>
          <w:lang w:eastAsia="en-US"/>
        </w:rPr>
        <w:t xml:space="preserve"> Millionen €.</w:t>
      </w:r>
      <w:r w:rsidR="00655EA5" w:rsidRPr="005F7782">
        <w:rPr>
          <w:sz w:val="20"/>
          <w:szCs w:val="20"/>
          <w:highlight w:val="yellow"/>
          <w:lang w:eastAsia="en-US"/>
        </w:rPr>
        <w:t xml:space="preserve"> </w:t>
      </w:r>
    </w:p>
    <w:p w:rsidR="00AB72CE" w:rsidRDefault="00AB72CE" w:rsidP="0033355C">
      <w:pPr>
        <w:spacing w:line="300" w:lineRule="exact"/>
        <w:rPr>
          <w:sz w:val="20"/>
          <w:szCs w:val="20"/>
          <w:lang w:eastAsia="en-US"/>
        </w:rPr>
      </w:pPr>
    </w:p>
    <w:p w:rsidR="008A7FB7" w:rsidRDefault="00655EA5" w:rsidP="0033355C">
      <w:pPr>
        <w:spacing w:line="300" w:lineRule="exact"/>
        <w:rPr>
          <w:sz w:val="20"/>
          <w:szCs w:val="20"/>
          <w:lang w:eastAsia="en-US"/>
        </w:rPr>
      </w:pPr>
      <w:r>
        <w:rPr>
          <w:sz w:val="20"/>
          <w:szCs w:val="20"/>
          <w:lang w:eastAsia="en-US"/>
        </w:rPr>
        <w:t xml:space="preserve">Das </w:t>
      </w:r>
      <w:r w:rsidRPr="00655EA5">
        <w:rPr>
          <w:b/>
          <w:sz w:val="20"/>
          <w:szCs w:val="20"/>
          <w:lang w:eastAsia="en-US"/>
        </w:rPr>
        <w:t>bereinigte Konzernergebnis</w:t>
      </w:r>
      <w:r>
        <w:rPr>
          <w:sz w:val="20"/>
          <w:szCs w:val="20"/>
          <w:lang w:eastAsia="en-US"/>
        </w:rPr>
        <w:t xml:space="preserve">, das die operative Entwicklung der fortgeführten Aktivitäten widerspiegelt, </w:t>
      </w:r>
      <w:r w:rsidR="007A3B7D">
        <w:rPr>
          <w:sz w:val="20"/>
          <w:szCs w:val="20"/>
          <w:lang w:eastAsia="en-US"/>
        </w:rPr>
        <w:t>nahm</w:t>
      </w:r>
      <w:r>
        <w:rPr>
          <w:sz w:val="20"/>
          <w:szCs w:val="20"/>
          <w:lang w:eastAsia="en-US"/>
        </w:rPr>
        <w:t xml:space="preserve"> um </w:t>
      </w:r>
      <w:r w:rsidR="00E202C1">
        <w:rPr>
          <w:sz w:val="20"/>
          <w:szCs w:val="20"/>
          <w:lang w:eastAsia="en-US"/>
        </w:rPr>
        <w:t>19</w:t>
      </w:r>
      <w:r>
        <w:rPr>
          <w:sz w:val="20"/>
          <w:szCs w:val="20"/>
          <w:lang w:eastAsia="en-US"/>
        </w:rPr>
        <w:t xml:space="preserve"> Prozent auf </w:t>
      </w:r>
      <w:r w:rsidR="00E202C1">
        <w:rPr>
          <w:sz w:val="20"/>
          <w:szCs w:val="20"/>
          <w:lang w:eastAsia="en-US"/>
        </w:rPr>
        <w:t>561</w:t>
      </w:r>
      <w:r>
        <w:rPr>
          <w:sz w:val="20"/>
          <w:szCs w:val="20"/>
          <w:lang w:eastAsia="en-US"/>
        </w:rPr>
        <w:t xml:space="preserve"> Millionen € (Vorjahres</w:t>
      </w:r>
      <w:r w:rsidR="00E202C1">
        <w:rPr>
          <w:sz w:val="20"/>
          <w:szCs w:val="20"/>
          <w:lang w:eastAsia="en-US"/>
        </w:rPr>
        <w:t>zeitraum</w:t>
      </w:r>
      <w:r>
        <w:rPr>
          <w:sz w:val="20"/>
          <w:szCs w:val="20"/>
          <w:lang w:eastAsia="en-US"/>
        </w:rPr>
        <w:t xml:space="preserve">: </w:t>
      </w:r>
      <w:r w:rsidR="00E202C1">
        <w:rPr>
          <w:sz w:val="20"/>
          <w:szCs w:val="20"/>
          <w:lang w:eastAsia="en-US"/>
        </w:rPr>
        <w:t>694</w:t>
      </w:r>
      <w:r>
        <w:rPr>
          <w:sz w:val="20"/>
          <w:szCs w:val="20"/>
          <w:lang w:eastAsia="en-US"/>
        </w:rPr>
        <w:t xml:space="preserve"> Millionen €)</w:t>
      </w:r>
      <w:r w:rsidR="007A3B7D">
        <w:rPr>
          <w:sz w:val="20"/>
          <w:szCs w:val="20"/>
          <w:lang w:eastAsia="en-US"/>
        </w:rPr>
        <w:t xml:space="preserve"> ab</w:t>
      </w:r>
      <w:r>
        <w:rPr>
          <w:sz w:val="20"/>
          <w:szCs w:val="20"/>
          <w:lang w:eastAsia="en-US"/>
        </w:rPr>
        <w:t xml:space="preserve">. Das </w:t>
      </w:r>
      <w:r w:rsidRPr="00655EA5">
        <w:rPr>
          <w:b/>
          <w:sz w:val="20"/>
          <w:szCs w:val="20"/>
          <w:lang w:eastAsia="en-US"/>
        </w:rPr>
        <w:t>bereinigte Ergebnis je Aktie</w:t>
      </w:r>
      <w:r>
        <w:rPr>
          <w:sz w:val="20"/>
          <w:szCs w:val="20"/>
          <w:lang w:eastAsia="en-US"/>
        </w:rPr>
        <w:t xml:space="preserve"> ging von 1,</w:t>
      </w:r>
      <w:r w:rsidR="00E202C1">
        <w:rPr>
          <w:sz w:val="20"/>
          <w:szCs w:val="20"/>
          <w:lang w:eastAsia="en-US"/>
        </w:rPr>
        <w:t>49</w:t>
      </w:r>
      <w:r>
        <w:rPr>
          <w:sz w:val="20"/>
          <w:szCs w:val="20"/>
          <w:lang w:eastAsia="en-US"/>
        </w:rPr>
        <w:t xml:space="preserve"> € auf </w:t>
      </w:r>
      <w:r w:rsidR="00E202C1">
        <w:rPr>
          <w:sz w:val="20"/>
          <w:szCs w:val="20"/>
          <w:lang w:eastAsia="en-US"/>
        </w:rPr>
        <w:t>1,20</w:t>
      </w:r>
      <w:r>
        <w:rPr>
          <w:sz w:val="20"/>
          <w:szCs w:val="20"/>
          <w:lang w:eastAsia="en-US"/>
        </w:rPr>
        <w:t xml:space="preserve"> € zurück.</w:t>
      </w:r>
    </w:p>
    <w:p w:rsidR="008A7FB7" w:rsidRDefault="008A7FB7" w:rsidP="0033355C">
      <w:pPr>
        <w:spacing w:line="300" w:lineRule="exact"/>
        <w:rPr>
          <w:sz w:val="20"/>
          <w:szCs w:val="20"/>
          <w:lang w:eastAsia="en-US"/>
        </w:rPr>
      </w:pPr>
    </w:p>
    <w:p w:rsidR="008A7FB7" w:rsidRDefault="00655EA5" w:rsidP="0033355C">
      <w:pPr>
        <w:spacing w:line="300" w:lineRule="exact"/>
        <w:rPr>
          <w:sz w:val="20"/>
          <w:szCs w:val="20"/>
          <w:lang w:eastAsia="en-US"/>
        </w:rPr>
      </w:pPr>
      <w:r>
        <w:rPr>
          <w:sz w:val="20"/>
          <w:szCs w:val="20"/>
          <w:lang w:eastAsia="en-US"/>
        </w:rPr>
        <w:t xml:space="preserve">Der </w:t>
      </w:r>
      <w:r w:rsidRPr="007B6C55">
        <w:rPr>
          <w:b/>
          <w:sz w:val="20"/>
          <w:szCs w:val="20"/>
          <w:lang w:eastAsia="en-US"/>
        </w:rPr>
        <w:t xml:space="preserve">Cashflow </w:t>
      </w:r>
      <w:r w:rsidR="007B6C55" w:rsidRPr="007B6C55">
        <w:rPr>
          <w:b/>
          <w:sz w:val="20"/>
          <w:szCs w:val="20"/>
          <w:lang w:eastAsia="en-US"/>
        </w:rPr>
        <w:t>aus laufender Geschäftstätigkeit fortgeführter Aktivitäten</w:t>
      </w:r>
      <w:r w:rsidR="007B6C55">
        <w:rPr>
          <w:sz w:val="20"/>
          <w:szCs w:val="20"/>
          <w:lang w:eastAsia="en-US"/>
        </w:rPr>
        <w:t xml:space="preserve"> ver</w:t>
      </w:r>
      <w:r w:rsidR="00C427F3">
        <w:rPr>
          <w:sz w:val="20"/>
          <w:szCs w:val="20"/>
          <w:lang w:eastAsia="en-US"/>
        </w:rPr>
        <w:t>ringerte sich in den ersten neun Monaten 2014 entsprechend der operativen Ergebnisentwicklung um 244 Millionen € auf 591 Millionen €.</w:t>
      </w:r>
      <w:r w:rsidR="007B6C55">
        <w:rPr>
          <w:sz w:val="20"/>
          <w:szCs w:val="20"/>
          <w:lang w:eastAsia="en-US"/>
        </w:rPr>
        <w:t xml:space="preserve"> Einschließlich des Cashflows der nicht fortgeführten Aktivitäten </w:t>
      </w:r>
      <w:r w:rsidR="00C427F3">
        <w:rPr>
          <w:sz w:val="20"/>
          <w:szCs w:val="20"/>
          <w:lang w:eastAsia="en-US"/>
        </w:rPr>
        <w:t xml:space="preserve">ging </w:t>
      </w:r>
      <w:r w:rsidR="007B6C55">
        <w:rPr>
          <w:sz w:val="20"/>
          <w:szCs w:val="20"/>
          <w:lang w:eastAsia="en-US"/>
        </w:rPr>
        <w:t xml:space="preserve">der </w:t>
      </w:r>
      <w:r w:rsidR="007B6C55" w:rsidRPr="007B6C55">
        <w:rPr>
          <w:b/>
          <w:sz w:val="20"/>
          <w:szCs w:val="20"/>
          <w:lang w:eastAsia="en-US"/>
        </w:rPr>
        <w:t>Cashflow aus laufender Geschäftstätigkeit</w:t>
      </w:r>
      <w:r w:rsidR="007B6C55">
        <w:rPr>
          <w:sz w:val="20"/>
          <w:szCs w:val="20"/>
          <w:lang w:eastAsia="en-US"/>
        </w:rPr>
        <w:t xml:space="preserve"> insgesamt um </w:t>
      </w:r>
      <w:r w:rsidR="00C427F3">
        <w:rPr>
          <w:sz w:val="20"/>
          <w:szCs w:val="20"/>
          <w:lang w:eastAsia="en-US"/>
        </w:rPr>
        <w:t>244</w:t>
      </w:r>
      <w:r w:rsidR="007B6C55">
        <w:rPr>
          <w:sz w:val="20"/>
          <w:szCs w:val="20"/>
          <w:lang w:eastAsia="en-US"/>
        </w:rPr>
        <w:t xml:space="preserve"> Millionen € auf </w:t>
      </w:r>
      <w:r w:rsidR="00C427F3">
        <w:rPr>
          <w:sz w:val="20"/>
          <w:szCs w:val="20"/>
          <w:lang w:eastAsia="en-US"/>
        </w:rPr>
        <w:t>622</w:t>
      </w:r>
      <w:r w:rsidR="007B6C55">
        <w:rPr>
          <w:sz w:val="20"/>
          <w:szCs w:val="20"/>
          <w:lang w:eastAsia="en-US"/>
        </w:rPr>
        <w:t xml:space="preserve"> Millionen €</w:t>
      </w:r>
      <w:r w:rsidR="00C427F3">
        <w:rPr>
          <w:sz w:val="20"/>
          <w:szCs w:val="20"/>
          <w:lang w:eastAsia="en-US"/>
        </w:rPr>
        <w:t xml:space="preserve"> zurück</w:t>
      </w:r>
      <w:r w:rsidR="007B6C55">
        <w:rPr>
          <w:sz w:val="20"/>
          <w:szCs w:val="20"/>
          <w:lang w:eastAsia="en-US"/>
        </w:rPr>
        <w:t>.</w:t>
      </w:r>
    </w:p>
    <w:p w:rsidR="007B6C55" w:rsidRDefault="007B6C55" w:rsidP="0033355C">
      <w:pPr>
        <w:spacing w:line="300" w:lineRule="exact"/>
        <w:rPr>
          <w:sz w:val="20"/>
          <w:szCs w:val="20"/>
          <w:lang w:eastAsia="en-US"/>
        </w:rPr>
      </w:pPr>
    </w:p>
    <w:p w:rsidR="00151B1D" w:rsidRDefault="007B6C55" w:rsidP="0033355C">
      <w:pPr>
        <w:spacing w:line="300" w:lineRule="exact"/>
        <w:rPr>
          <w:sz w:val="20"/>
          <w:szCs w:val="20"/>
          <w:lang w:eastAsia="en-US"/>
        </w:rPr>
      </w:pPr>
      <w:r>
        <w:rPr>
          <w:sz w:val="20"/>
          <w:szCs w:val="20"/>
          <w:lang w:eastAsia="en-US"/>
        </w:rPr>
        <w:t xml:space="preserve">Die </w:t>
      </w:r>
      <w:r w:rsidRPr="007B6C55">
        <w:rPr>
          <w:b/>
          <w:sz w:val="20"/>
          <w:szCs w:val="20"/>
          <w:lang w:eastAsia="en-US"/>
        </w:rPr>
        <w:t>Sachinvestitionen</w:t>
      </w:r>
      <w:r>
        <w:rPr>
          <w:sz w:val="20"/>
          <w:szCs w:val="20"/>
          <w:lang w:eastAsia="en-US"/>
        </w:rPr>
        <w:t xml:space="preserve"> stiegen um 4 Prozent auf </w:t>
      </w:r>
      <w:r w:rsidR="00C427F3">
        <w:rPr>
          <w:sz w:val="20"/>
          <w:szCs w:val="20"/>
          <w:lang w:eastAsia="en-US"/>
        </w:rPr>
        <w:t>753</w:t>
      </w:r>
      <w:r>
        <w:rPr>
          <w:sz w:val="20"/>
          <w:szCs w:val="20"/>
          <w:lang w:eastAsia="en-US"/>
        </w:rPr>
        <w:t xml:space="preserve"> Millionen € (Vorjahres</w:t>
      </w:r>
      <w:r w:rsidR="00C427F3">
        <w:rPr>
          <w:sz w:val="20"/>
          <w:szCs w:val="20"/>
          <w:lang w:eastAsia="en-US"/>
        </w:rPr>
        <w:t>zeitraum</w:t>
      </w:r>
      <w:r>
        <w:rPr>
          <w:sz w:val="20"/>
          <w:szCs w:val="20"/>
          <w:lang w:eastAsia="en-US"/>
        </w:rPr>
        <w:t xml:space="preserve">: </w:t>
      </w:r>
      <w:r w:rsidR="00C427F3">
        <w:rPr>
          <w:sz w:val="20"/>
          <w:szCs w:val="20"/>
          <w:lang w:eastAsia="en-US"/>
        </w:rPr>
        <w:t>725</w:t>
      </w:r>
      <w:r>
        <w:rPr>
          <w:sz w:val="20"/>
          <w:szCs w:val="20"/>
          <w:lang w:eastAsia="en-US"/>
        </w:rPr>
        <w:t xml:space="preserve"> Millionen €). </w:t>
      </w:r>
      <w:r w:rsidR="00151B1D">
        <w:rPr>
          <w:sz w:val="20"/>
          <w:szCs w:val="20"/>
          <w:lang w:eastAsia="en-US"/>
        </w:rPr>
        <w:t xml:space="preserve">Im Rahmen des Ausbaus seiner führenden Marktpositionen hat </w:t>
      </w:r>
      <w:r w:rsidR="00B2662A">
        <w:rPr>
          <w:sz w:val="20"/>
          <w:szCs w:val="20"/>
          <w:lang w:eastAsia="en-US"/>
        </w:rPr>
        <w:t>Evonik</w:t>
      </w:r>
      <w:r w:rsidR="00151B1D">
        <w:rPr>
          <w:sz w:val="20"/>
          <w:szCs w:val="20"/>
          <w:lang w:eastAsia="en-US"/>
        </w:rPr>
        <w:t xml:space="preserve"> neue Produktionskapazitäten in Betrieb genommen: In Schanghai (China) wurde für mehr als 100 Millionen € ein integrierter Produktionskomplex für </w:t>
      </w:r>
      <w:proofErr w:type="spellStart"/>
      <w:r w:rsidR="00151B1D">
        <w:rPr>
          <w:sz w:val="20"/>
          <w:szCs w:val="20"/>
          <w:lang w:eastAsia="en-US"/>
        </w:rPr>
        <w:t>Isophoron</w:t>
      </w:r>
      <w:proofErr w:type="spellEnd"/>
      <w:r w:rsidR="00151B1D">
        <w:rPr>
          <w:sz w:val="20"/>
          <w:szCs w:val="20"/>
          <w:lang w:eastAsia="en-US"/>
        </w:rPr>
        <w:t xml:space="preserve"> und </w:t>
      </w:r>
      <w:proofErr w:type="spellStart"/>
      <w:r w:rsidR="00151B1D">
        <w:rPr>
          <w:sz w:val="20"/>
          <w:szCs w:val="20"/>
          <w:lang w:eastAsia="en-US"/>
        </w:rPr>
        <w:t>Isophorondiamin</w:t>
      </w:r>
      <w:proofErr w:type="spellEnd"/>
      <w:r w:rsidR="00151B1D">
        <w:rPr>
          <w:sz w:val="20"/>
          <w:szCs w:val="20"/>
          <w:lang w:eastAsia="en-US"/>
        </w:rPr>
        <w:t xml:space="preserve"> errichtet. Die </w:t>
      </w:r>
      <w:proofErr w:type="spellStart"/>
      <w:r w:rsidR="00151B1D">
        <w:rPr>
          <w:sz w:val="20"/>
          <w:szCs w:val="20"/>
          <w:lang w:eastAsia="en-US"/>
        </w:rPr>
        <w:t>Isophoronchemie</w:t>
      </w:r>
      <w:proofErr w:type="spellEnd"/>
      <w:r w:rsidR="00151B1D">
        <w:rPr>
          <w:sz w:val="20"/>
          <w:szCs w:val="20"/>
          <w:lang w:eastAsia="en-US"/>
        </w:rPr>
        <w:t xml:space="preserve"> verlängert beispielsweise die Lebensdauer stark beanspruchter Oberflächen und ermöglicht umweltfreundliche Lacktechnologien</w:t>
      </w:r>
      <w:r w:rsidR="00151B1D" w:rsidRPr="006F4B11">
        <w:rPr>
          <w:sz w:val="20"/>
          <w:szCs w:val="20"/>
          <w:lang w:eastAsia="en-US"/>
        </w:rPr>
        <w:t>.</w:t>
      </w:r>
      <w:r w:rsidR="006F4B11" w:rsidRPr="005F7782">
        <w:rPr>
          <w:sz w:val="20"/>
          <w:szCs w:val="20"/>
        </w:rPr>
        <w:t xml:space="preserve"> Im thailändischen</w:t>
      </w:r>
      <w:r w:rsidR="006F4B11">
        <w:t xml:space="preserve"> </w:t>
      </w:r>
      <w:proofErr w:type="spellStart"/>
      <w:r w:rsidR="006F4B11" w:rsidRPr="006F4B11">
        <w:rPr>
          <w:sz w:val="20"/>
          <w:szCs w:val="20"/>
          <w:lang w:eastAsia="en-US"/>
        </w:rPr>
        <w:t>Rayong</w:t>
      </w:r>
      <w:proofErr w:type="spellEnd"/>
      <w:r w:rsidR="006F4B11" w:rsidRPr="006F4B11">
        <w:rPr>
          <w:sz w:val="20"/>
          <w:szCs w:val="20"/>
          <w:lang w:eastAsia="en-US"/>
        </w:rPr>
        <w:t xml:space="preserve"> </w:t>
      </w:r>
      <w:r w:rsidR="00980AD5">
        <w:rPr>
          <w:sz w:val="20"/>
          <w:szCs w:val="20"/>
          <w:lang w:eastAsia="en-US"/>
        </w:rPr>
        <w:t xml:space="preserve">und in Chester (USA) </w:t>
      </w:r>
      <w:r w:rsidR="00CC4D7F">
        <w:rPr>
          <w:sz w:val="20"/>
          <w:szCs w:val="20"/>
          <w:lang w:eastAsia="en-US"/>
        </w:rPr>
        <w:t>ging</w:t>
      </w:r>
      <w:r w:rsidR="00980AD5">
        <w:rPr>
          <w:sz w:val="20"/>
          <w:szCs w:val="20"/>
          <w:lang w:eastAsia="en-US"/>
        </w:rPr>
        <w:t>en</w:t>
      </w:r>
      <w:r w:rsidR="006F4B11" w:rsidRPr="006F4B11">
        <w:rPr>
          <w:sz w:val="20"/>
          <w:szCs w:val="20"/>
          <w:lang w:eastAsia="en-US"/>
        </w:rPr>
        <w:t xml:space="preserve"> erweiterte Produktionsanlage</w:t>
      </w:r>
      <w:r w:rsidR="00980AD5">
        <w:rPr>
          <w:sz w:val="20"/>
          <w:szCs w:val="20"/>
          <w:lang w:eastAsia="en-US"/>
        </w:rPr>
        <w:t>n</w:t>
      </w:r>
      <w:r w:rsidR="006F4B11" w:rsidRPr="006F4B11">
        <w:rPr>
          <w:sz w:val="20"/>
          <w:szCs w:val="20"/>
          <w:lang w:eastAsia="en-US"/>
        </w:rPr>
        <w:t xml:space="preserve"> </w:t>
      </w:r>
      <w:r w:rsidR="006F4B11">
        <w:rPr>
          <w:sz w:val="20"/>
          <w:szCs w:val="20"/>
          <w:lang w:eastAsia="en-US"/>
        </w:rPr>
        <w:t xml:space="preserve">für gefällte Kieselsäuren </w:t>
      </w:r>
      <w:r w:rsidR="006F4B11" w:rsidRPr="006F4B11">
        <w:rPr>
          <w:sz w:val="20"/>
          <w:szCs w:val="20"/>
          <w:lang w:eastAsia="en-US"/>
        </w:rPr>
        <w:t>in Betrieb. Treiber des Wachstums sind insbesondere kraftstoffsparende Reifen und Life-Science-Anwendungen.</w:t>
      </w:r>
      <w:r w:rsidR="00151B1D">
        <w:rPr>
          <w:sz w:val="20"/>
          <w:szCs w:val="20"/>
          <w:lang w:eastAsia="en-US"/>
        </w:rPr>
        <w:t xml:space="preserve"> </w:t>
      </w:r>
      <w:r w:rsidR="006F4B11">
        <w:rPr>
          <w:sz w:val="20"/>
          <w:szCs w:val="20"/>
          <w:lang w:eastAsia="en-US"/>
        </w:rPr>
        <w:t xml:space="preserve">In </w:t>
      </w:r>
      <w:r w:rsidR="00151B1D">
        <w:rPr>
          <w:sz w:val="20"/>
          <w:szCs w:val="20"/>
          <w:lang w:eastAsia="en-US"/>
        </w:rPr>
        <w:t xml:space="preserve">Jilin </w:t>
      </w:r>
      <w:r w:rsidR="006F4B11">
        <w:rPr>
          <w:sz w:val="20"/>
          <w:szCs w:val="20"/>
          <w:lang w:eastAsia="en-US"/>
        </w:rPr>
        <w:t xml:space="preserve">(China) </w:t>
      </w:r>
      <w:r w:rsidR="00AA6907">
        <w:rPr>
          <w:sz w:val="20"/>
          <w:szCs w:val="20"/>
          <w:lang w:eastAsia="en-US"/>
        </w:rPr>
        <w:t>hat</w:t>
      </w:r>
      <w:r w:rsidR="00151B1D">
        <w:rPr>
          <w:sz w:val="20"/>
          <w:szCs w:val="20"/>
          <w:lang w:eastAsia="en-US"/>
        </w:rPr>
        <w:t xml:space="preserve"> eine neue Wasserstoffperoxid-Anlage mit einer jährlichen </w:t>
      </w:r>
      <w:r w:rsidR="00AA6907">
        <w:rPr>
          <w:sz w:val="20"/>
          <w:szCs w:val="20"/>
          <w:lang w:eastAsia="en-US"/>
        </w:rPr>
        <w:t>K</w:t>
      </w:r>
      <w:r w:rsidR="00151B1D">
        <w:rPr>
          <w:sz w:val="20"/>
          <w:szCs w:val="20"/>
          <w:lang w:eastAsia="en-US"/>
        </w:rPr>
        <w:t xml:space="preserve">apazität von 230.000 Tonnen </w:t>
      </w:r>
      <w:r w:rsidR="00E65001">
        <w:rPr>
          <w:sz w:val="20"/>
          <w:szCs w:val="20"/>
          <w:lang w:eastAsia="en-US"/>
        </w:rPr>
        <w:t>die Produktion aufgenommen</w:t>
      </w:r>
      <w:r w:rsidR="00CC4D7F">
        <w:rPr>
          <w:sz w:val="20"/>
          <w:szCs w:val="20"/>
          <w:lang w:eastAsia="en-US"/>
        </w:rPr>
        <w:t xml:space="preserve">, um einen benachbarten chinesischen Partner zu beliefern. Dieser </w:t>
      </w:r>
      <w:r w:rsidR="00F30BF5">
        <w:rPr>
          <w:sz w:val="20"/>
          <w:szCs w:val="20"/>
          <w:lang w:eastAsia="en-US"/>
        </w:rPr>
        <w:t>stellt</w:t>
      </w:r>
      <w:r w:rsidR="00CC4D7F">
        <w:rPr>
          <w:sz w:val="20"/>
          <w:szCs w:val="20"/>
          <w:lang w:eastAsia="en-US"/>
        </w:rPr>
        <w:t xml:space="preserve"> in einer ebenfalls neu erbauten Anlage </w:t>
      </w:r>
      <w:proofErr w:type="spellStart"/>
      <w:r w:rsidR="00CC4D7F">
        <w:rPr>
          <w:sz w:val="20"/>
          <w:szCs w:val="20"/>
          <w:lang w:eastAsia="en-US"/>
        </w:rPr>
        <w:t>Propylenoxid</w:t>
      </w:r>
      <w:proofErr w:type="spellEnd"/>
      <w:r w:rsidR="00CC4D7F">
        <w:rPr>
          <w:sz w:val="20"/>
          <w:szCs w:val="20"/>
          <w:lang w:eastAsia="en-US"/>
        </w:rPr>
        <w:t xml:space="preserve"> nach einem von Evonik </w:t>
      </w:r>
      <w:r w:rsidR="00CC4D7F">
        <w:rPr>
          <w:sz w:val="20"/>
          <w:szCs w:val="20"/>
          <w:lang w:eastAsia="en-US"/>
        </w:rPr>
        <w:lastRenderedPageBreak/>
        <w:t xml:space="preserve">und ThyssenKrupp </w:t>
      </w:r>
      <w:r w:rsidR="00980AD5">
        <w:rPr>
          <w:sz w:val="20"/>
          <w:szCs w:val="20"/>
          <w:lang w:eastAsia="en-US"/>
        </w:rPr>
        <w:t>Industrial Solutions</w:t>
      </w:r>
      <w:r w:rsidR="00CC4D7F">
        <w:rPr>
          <w:sz w:val="20"/>
          <w:szCs w:val="20"/>
          <w:lang w:eastAsia="en-US"/>
        </w:rPr>
        <w:t xml:space="preserve"> entwickelten innovativen Verfahren her</w:t>
      </w:r>
      <w:r w:rsidR="00151B1D">
        <w:rPr>
          <w:sz w:val="20"/>
          <w:szCs w:val="20"/>
          <w:lang w:eastAsia="en-US"/>
        </w:rPr>
        <w:t xml:space="preserve">. </w:t>
      </w:r>
    </w:p>
    <w:p w:rsidR="0066288B" w:rsidRDefault="0066288B" w:rsidP="0033355C">
      <w:pPr>
        <w:spacing w:line="300" w:lineRule="exact"/>
        <w:rPr>
          <w:sz w:val="20"/>
          <w:szCs w:val="20"/>
          <w:lang w:eastAsia="en-US"/>
        </w:rPr>
      </w:pPr>
    </w:p>
    <w:p w:rsidR="00655EA5" w:rsidRDefault="007A24D6" w:rsidP="0033355C">
      <w:pPr>
        <w:spacing w:line="300" w:lineRule="exact"/>
        <w:rPr>
          <w:b/>
          <w:sz w:val="20"/>
          <w:szCs w:val="20"/>
          <w:lang w:eastAsia="en-US"/>
        </w:rPr>
      </w:pPr>
      <w:r>
        <w:rPr>
          <w:sz w:val="20"/>
          <w:szCs w:val="20"/>
          <w:lang w:eastAsia="en-US"/>
        </w:rPr>
        <w:t xml:space="preserve">Nach einer Nettofinanzverschuldung von 150 Millionen € </w:t>
      </w:r>
      <w:r w:rsidR="005B2EE8">
        <w:rPr>
          <w:sz w:val="20"/>
          <w:szCs w:val="20"/>
          <w:lang w:eastAsia="en-US"/>
        </w:rPr>
        <w:t>zum 30. Juni 2014</w:t>
      </w:r>
      <w:r>
        <w:rPr>
          <w:sz w:val="20"/>
          <w:szCs w:val="20"/>
          <w:lang w:eastAsia="en-US"/>
        </w:rPr>
        <w:t xml:space="preserve"> verfügte Evonik </w:t>
      </w:r>
      <w:r w:rsidR="006C712A">
        <w:rPr>
          <w:sz w:val="20"/>
          <w:szCs w:val="20"/>
          <w:lang w:eastAsia="en-US"/>
        </w:rPr>
        <w:t xml:space="preserve">Ende </w:t>
      </w:r>
      <w:r w:rsidR="00FE3EA2">
        <w:rPr>
          <w:sz w:val="20"/>
          <w:szCs w:val="20"/>
          <w:lang w:eastAsia="en-US"/>
        </w:rPr>
        <w:t xml:space="preserve">September </w:t>
      </w:r>
      <w:r w:rsidR="006C712A">
        <w:rPr>
          <w:sz w:val="20"/>
          <w:szCs w:val="20"/>
          <w:lang w:eastAsia="en-US"/>
        </w:rPr>
        <w:t xml:space="preserve">2014 </w:t>
      </w:r>
      <w:r w:rsidR="00CD3567">
        <w:rPr>
          <w:sz w:val="20"/>
          <w:szCs w:val="20"/>
          <w:lang w:eastAsia="en-US"/>
        </w:rPr>
        <w:t xml:space="preserve">im Wesentlichen </w:t>
      </w:r>
      <w:r w:rsidR="00AF5F12">
        <w:rPr>
          <w:sz w:val="20"/>
          <w:szCs w:val="20"/>
          <w:lang w:eastAsia="en-US"/>
        </w:rPr>
        <w:t>aufgrund de</w:t>
      </w:r>
      <w:r w:rsidR="00E65001">
        <w:rPr>
          <w:sz w:val="20"/>
          <w:szCs w:val="20"/>
          <w:lang w:eastAsia="en-US"/>
        </w:rPr>
        <w:t>s</w:t>
      </w:r>
      <w:r w:rsidR="00AF5F12">
        <w:rPr>
          <w:sz w:val="20"/>
          <w:szCs w:val="20"/>
          <w:lang w:eastAsia="en-US"/>
        </w:rPr>
        <w:t xml:space="preserve"> </w:t>
      </w:r>
      <w:r w:rsidR="00E65001">
        <w:rPr>
          <w:sz w:val="20"/>
          <w:szCs w:val="20"/>
          <w:lang w:eastAsia="en-US"/>
        </w:rPr>
        <w:t>Eingangs der Kaufpreiszahlung</w:t>
      </w:r>
      <w:r w:rsidR="00AF5F12">
        <w:rPr>
          <w:sz w:val="20"/>
          <w:szCs w:val="20"/>
          <w:lang w:eastAsia="en-US"/>
        </w:rPr>
        <w:t xml:space="preserve"> für die </w:t>
      </w:r>
      <w:r w:rsidR="007A3B7D">
        <w:rPr>
          <w:sz w:val="20"/>
          <w:szCs w:val="20"/>
          <w:lang w:eastAsia="en-US"/>
        </w:rPr>
        <w:t xml:space="preserve">im 3. Quartal abgegebenen </w:t>
      </w:r>
      <w:r w:rsidR="00AF5F12">
        <w:rPr>
          <w:sz w:val="20"/>
          <w:szCs w:val="20"/>
          <w:lang w:eastAsia="en-US"/>
        </w:rPr>
        <w:t xml:space="preserve">STEAG-Anteile </w:t>
      </w:r>
      <w:r w:rsidR="00FE3EA2">
        <w:rPr>
          <w:sz w:val="20"/>
          <w:szCs w:val="20"/>
          <w:lang w:eastAsia="en-US"/>
        </w:rPr>
        <w:t xml:space="preserve">über ein </w:t>
      </w:r>
      <w:r w:rsidR="00FE3EA2" w:rsidRPr="00FE3EA2">
        <w:rPr>
          <w:b/>
          <w:sz w:val="20"/>
          <w:szCs w:val="20"/>
          <w:lang w:eastAsia="en-US"/>
        </w:rPr>
        <w:t>Nettofinanzvermögen</w:t>
      </w:r>
      <w:r w:rsidR="00FE3EA2">
        <w:rPr>
          <w:sz w:val="20"/>
          <w:szCs w:val="20"/>
          <w:lang w:eastAsia="en-US"/>
        </w:rPr>
        <w:t xml:space="preserve"> von 416</w:t>
      </w:r>
      <w:r w:rsidR="00AF5F12">
        <w:rPr>
          <w:sz w:val="20"/>
          <w:szCs w:val="20"/>
          <w:lang w:eastAsia="en-US"/>
        </w:rPr>
        <w:t xml:space="preserve"> Millionen €. </w:t>
      </w:r>
    </w:p>
    <w:p w:rsidR="00655EA5" w:rsidRDefault="00655EA5" w:rsidP="0033355C">
      <w:pPr>
        <w:spacing w:line="300" w:lineRule="exact"/>
        <w:rPr>
          <w:b/>
          <w:sz w:val="20"/>
          <w:szCs w:val="20"/>
          <w:lang w:eastAsia="en-US"/>
        </w:rPr>
      </w:pPr>
    </w:p>
    <w:p w:rsidR="00E32DF4" w:rsidRDefault="00E32DF4" w:rsidP="0033355C">
      <w:pPr>
        <w:spacing w:line="300" w:lineRule="exact"/>
        <w:rPr>
          <w:b/>
          <w:sz w:val="20"/>
          <w:szCs w:val="20"/>
          <w:lang w:eastAsia="en-US"/>
        </w:rPr>
      </w:pPr>
    </w:p>
    <w:p w:rsidR="008A7FB7" w:rsidRPr="008A7FB7" w:rsidRDefault="00085C27" w:rsidP="0033355C">
      <w:pPr>
        <w:spacing w:line="300" w:lineRule="exact"/>
        <w:rPr>
          <w:b/>
          <w:sz w:val="20"/>
          <w:szCs w:val="20"/>
          <w:lang w:eastAsia="en-US"/>
        </w:rPr>
      </w:pPr>
      <w:r>
        <w:rPr>
          <w:b/>
          <w:sz w:val="20"/>
          <w:szCs w:val="20"/>
          <w:lang w:eastAsia="en-US"/>
        </w:rPr>
        <w:t>Geschäftsentwicklung im 3</w:t>
      </w:r>
      <w:r w:rsidR="008A7FB7" w:rsidRPr="008A7FB7">
        <w:rPr>
          <w:b/>
          <w:sz w:val="20"/>
          <w:szCs w:val="20"/>
          <w:lang w:eastAsia="en-US"/>
        </w:rPr>
        <w:t>. Quartal 2014</w:t>
      </w:r>
    </w:p>
    <w:p w:rsidR="008A7FB7" w:rsidRDefault="008A7FB7" w:rsidP="0033355C">
      <w:pPr>
        <w:spacing w:line="300" w:lineRule="exact"/>
        <w:rPr>
          <w:sz w:val="20"/>
          <w:szCs w:val="20"/>
          <w:lang w:eastAsia="en-US"/>
        </w:rPr>
      </w:pPr>
    </w:p>
    <w:p w:rsidR="008A7FB7" w:rsidRDefault="00002084" w:rsidP="0033355C">
      <w:pPr>
        <w:spacing w:line="300" w:lineRule="exact"/>
        <w:rPr>
          <w:sz w:val="20"/>
          <w:szCs w:val="20"/>
          <w:lang w:eastAsia="en-US"/>
        </w:rPr>
      </w:pPr>
      <w:r>
        <w:rPr>
          <w:sz w:val="20"/>
          <w:szCs w:val="20"/>
          <w:lang w:eastAsia="en-US"/>
        </w:rPr>
        <w:t xml:space="preserve">In einem schwieriger werdenden konjunkturellen Umfeld verzeichnete </w:t>
      </w:r>
      <w:r w:rsidR="00EE2AA0">
        <w:rPr>
          <w:sz w:val="20"/>
          <w:szCs w:val="20"/>
          <w:lang w:eastAsia="en-US"/>
        </w:rPr>
        <w:t xml:space="preserve">Evonik im </w:t>
      </w:r>
      <w:r>
        <w:rPr>
          <w:sz w:val="20"/>
          <w:szCs w:val="20"/>
          <w:lang w:eastAsia="en-US"/>
        </w:rPr>
        <w:t>3</w:t>
      </w:r>
      <w:r w:rsidR="00EE2AA0">
        <w:rPr>
          <w:sz w:val="20"/>
          <w:szCs w:val="20"/>
          <w:lang w:eastAsia="en-US"/>
        </w:rPr>
        <w:t xml:space="preserve">. Quartal 2014 weltweit eine </w:t>
      </w:r>
      <w:r w:rsidR="00F66192">
        <w:rPr>
          <w:sz w:val="20"/>
          <w:szCs w:val="20"/>
          <w:lang w:eastAsia="en-US"/>
        </w:rPr>
        <w:t>lebhafte</w:t>
      </w:r>
      <w:r w:rsidR="00EE2AA0">
        <w:rPr>
          <w:sz w:val="20"/>
          <w:szCs w:val="20"/>
          <w:lang w:eastAsia="en-US"/>
        </w:rPr>
        <w:t xml:space="preserve"> </w:t>
      </w:r>
      <w:r w:rsidR="001967BC">
        <w:rPr>
          <w:sz w:val="20"/>
          <w:szCs w:val="20"/>
          <w:lang w:eastAsia="en-US"/>
        </w:rPr>
        <w:t xml:space="preserve">Nachfrage und konnte seine Absatzmengen </w:t>
      </w:r>
      <w:r w:rsidR="00E65001">
        <w:rPr>
          <w:sz w:val="20"/>
          <w:szCs w:val="20"/>
          <w:lang w:eastAsia="en-US"/>
        </w:rPr>
        <w:t>weiter</w:t>
      </w:r>
      <w:r w:rsidR="001967BC">
        <w:rPr>
          <w:sz w:val="20"/>
          <w:szCs w:val="20"/>
          <w:lang w:eastAsia="en-US"/>
        </w:rPr>
        <w:t xml:space="preserve"> steigern</w:t>
      </w:r>
      <w:r w:rsidR="00EE2AA0">
        <w:rPr>
          <w:sz w:val="20"/>
          <w:szCs w:val="20"/>
          <w:lang w:eastAsia="en-US"/>
        </w:rPr>
        <w:t xml:space="preserve">. Dabei hat sich der in den Vorquartalen </w:t>
      </w:r>
      <w:r w:rsidR="006F1AAC">
        <w:rPr>
          <w:sz w:val="20"/>
          <w:szCs w:val="20"/>
          <w:lang w:eastAsia="en-US"/>
        </w:rPr>
        <w:t xml:space="preserve">bei einigen wichtigen Produkten </w:t>
      </w:r>
      <w:r w:rsidR="00EE2AA0">
        <w:rPr>
          <w:sz w:val="20"/>
          <w:szCs w:val="20"/>
          <w:lang w:eastAsia="en-US"/>
        </w:rPr>
        <w:t>deutlich rückläufige Preistrend abgeschwächt. Gegenüber de</w:t>
      </w:r>
      <w:r w:rsidR="00735CA8">
        <w:rPr>
          <w:sz w:val="20"/>
          <w:szCs w:val="20"/>
          <w:lang w:eastAsia="en-US"/>
        </w:rPr>
        <w:t>n</w:t>
      </w:r>
      <w:r w:rsidR="00EE2AA0">
        <w:rPr>
          <w:sz w:val="20"/>
          <w:szCs w:val="20"/>
          <w:lang w:eastAsia="en-US"/>
        </w:rPr>
        <w:t xml:space="preserve"> </w:t>
      </w:r>
      <w:r w:rsidR="00735CA8">
        <w:rPr>
          <w:sz w:val="20"/>
          <w:szCs w:val="20"/>
          <w:lang w:eastAsia="en-US"/>
        </w:rPr>
        <w:t>beiden Vorquartalen</w:t>
      </w:r>
      <w:r w:rsidR="00EE2AA0">
        <w:rPr>
          <w:sz w:val="20"/>
          <w:szCs w:val="20"/>
          <w:lang w:eastAsia="en-US"/>
        </w:rPr>
        <w:t xml:space="preserve"> 2014 hat </w:t>
      </w:r>
      <w:r w:rsidR="006B09FE">
        <w:rPr>
          <w:sz w:val="20"/>
          <w:szCs w:val="20"/>
          <w:lang w:eastAsia="en-US"/>
        </w:rPr>
        <w:t>sich</w:t>
      </w:r>
      <w:r w:rsidR="00EE2AA0">
        <w:rPr>
          <w:sz w:val="20"/>
          <w:szCs w:val="20"/>
          <w:lang w:eastAsia="en-US"/>
        </w:rPr>
        <w:t xml:space="preserve"> das bereinigte EBITDA </w:t>
      </w:r>
      <w:r w:rsidR="00CB798A">
        <w:rPr>
          <w:sz w:val="20"/>
          <w:szCs w:val="20"/>
          <w:lang w:eastAsia="en-US"/>
        </w:rPr>
        <w:t>erkennbar</w:t>
      </w:r>
      <w:r w:rsidR="001967BC">
        <w:rPr>
          <w:sz w:val="20"/>
          <w:szCs w:val="20"/>
          <w:lang w:eastAsia="en-US"/>
        </w:rPr>
        <w:t xml:space="preserve"> </w:t>
      </w:r>
      <w:r w:rsidR="00EE2AA0">
        <w:rPr>
          <w:sz w:val="20"/>
          <w:szCs w:val="20"/>
          <w:lang w:eastAsia="en-US"/>
        </w:rPr>
        <w:t>verbessert</w:t>
      </w:r>
      <w:r w:rsidR="007C4037">
        <w:rPr>
          <w:sz w:val="20"/>
          <w:szCs w:val="20"/>
          <w:lang w:eastAsia="en-US"/>
        </w:rPr>
        <w:t xml:space="preserve"> und liegt nur noch leicht unter Vorjahr</w:t>
      </w:r>
      <w:r w:rsidR="00EE2AA0">
        <w:rPr>
          <w:sz w:val="20"/>
          <w:szCs w:val="20"/>
          <w:lang w:eastAsia="en-US"/>
        </w:rPr>
        <w:t>.</w:t>
      </w:r>
      <w:r w:rsidR="000A4DCE">
        <w:rPr>
          <w:sz w:val="20"/>
          <w:szCs w:val="20"/>
          <w:lang w:eastAsia="en-US"/>
        </w:rPr>
        <w:t xml:space="preserve"> Insbesondere die Segmente Consumer, Health &amp; Nutrition sowie Specialty Materials erzielten über den Vorquar</w:t>
      </w:r>
      <w:r w:rsidR="0060190C">
        <w:rPr>
          <w:sz w:val="20"/>
          <w:szCs w:val="20"/>
          <w:lang w:eastAsia="en-US"/>
        </w:rPr>
        <w:t>talen liegende Ergebnisse.</w:t>
      </w:r>
    </w:p>
    <w:p w:rsidR="008A7FB7" w:rsidRDefault="008A7FB7" w:rsidP="0033355C">
      <w:pPr>
        <w:spacing w:line="300" w:lineRule="exact"/>
        <w:rPr>
          <w:sz w:val="20"/>
          <w:szCs w:val="20"/>
          <w:lang w:eastAsia="en-US"/>
        </w:rPr>
      </w:pPr>
    </w:p>
    <w:p w:rsidR="008A7FB7" w:rsidRDefault="003A2A8E" w:rsidP="0033355C">
      <w:pPr>
        <w:spacing w:line="300" w:lineRule="exact"/>
        <w:rPr>
          <w:sz w:val="20"/>
          <w:szCs w:val="20"/>
          <w:lang w:eastAsia="en-US"/>
        </w:rPr>
      </w:pPr>
      <w:r>
        <w:rPr>
          <w:sz w:val="20"/>
          <w:szCs w:val="20"/>
          <w:lang w:eastAsia="en-US"/>
        </w:rPr>
        <w:t xml:space="preserve">Der </w:t>
      </w:r>
      <w:r w:rsidRPr="003A2A8E">
        <w:rPr>
          <w:b/>
          <w:sz w:val="20"/>
          <w:szCs w:val="20"/>
          <w:lang w:eastAsia="en-US"/>
        </w:rPr>
        <w:t>Konzernumsatz</w:t>
      </w:r>
      <w:r>
        <w:rPr>
          <w:sz w:val="20"/>
          <w:szCs w:val="20"/>
          <w:lang w:eastAsia="en-US"/>
        </w:rPr>
        <w:t xml:space="preserve"> </w:t>
      </w:r>
      <w:r w:rsidR="001967BC">
        <w:rPr>
          <w:sz w:val="20"/>
          <w:szCs w:val="20"/>
          <w:lang w:eastAsia="en-US"/>
        </w:rPr>
        <w:t>stieg</w:t>
      </w:r>
      <w:r>
        <w:rPr>
          <w:sz w:val="20"/>
          <w:szCs w:val="20"/>
          <w:lang w:eastAsia="en-US"/>
        </w:rPr>
        <w:t xml:space="preserve"> im </w:t>
      </w:r>
      <w:r w:rsidR="001967BC">
        <w:rPr>
          <w:sz w:val="20"/>
          <w:szCs w:val="20"/>
          <w:lang w:eastAsia="en-US"/>
        </w:rPr>
        <w:t>3</w:t>
      </w:r>
      <w:r>
        <w:rPr>
          <w:sz w:val="20"/>
          <w:szCs w:val="20"/>
          <w:lang w:eastAsia="en-US"/>
        </w:rPr>
        <w:t xml:space="preserve">. Quartal 2014 um </w:t>
      </w:r>
      <w:r w:rsidR="00D17EC7">
        <w:rPr>
          <w:sz w:val="20"/>
          <w:szCs w:val="20"/>
          <w:lang w:eastAsia="en-US"/>
        </w:rPr>
        <w:t>1</w:t>
      </w:r>
      <w:r>
        <w:rPr>
          <w:sz w:val="20"/>
          <w:szCs w:val="20"/>
          <w:lang w:eastAsia="en-US"/>
        </w:rPr>
        <w:t xml:space="preserve"> Prozent auf 3.24</w:t>
      </w:r>
      <w:r w:rsidR="001967BC">
        <w:rPr>
          <w:sz w:val="20"/>
          <w:szCs w:val="20"/>
          <w:lang w:eastAsia="en-US"/>
        </w:rPr>
        <w:t>3</w:t>
      </w:r>
      <w:r>
        <w:rPr>
          <w:sz w:val="20"/>
          <w:szCs w:val="20"/>
          <w:lang w:eastAsia="en-US"/>
        </w:rPr>
        <w:t xml:space="preserve"> Millionen € (Vorjahresquartal:</w:t>
      </w:r>
      <w:r w:rsidR="00C45C37">
        <w:rPr>
          <w:sz w:val="20"/>
          <w:szCs w:val="20"/>
          <w:lang w:eastAsia="en-US"/>
        </w:rPr>
        <w:t xml:space="preserve"> </w:t>
      </w:r>
      <w:r>
        <w:rPr>
          <w:sz w:val="20"/>
          <w:szCs w:val="20"/>
          <w:lang w:eastAsia="en-US"/>
        </w:rPr>
        <w:t>3.</w:t>
      </w:r>
      <w:r w:rsidR="001967BC">
        <w:rPr>
          <w:sz w:val="20"/>
          <w:szCs w:val="20"/>
          <w:lang w:eastAsia="en-US"/>
        </w:rPr>
        <w:t>198</w:t>
      </w:r>
      <w:r>
        <w:rPr>
          <w:sz w:val="20"/>
          <w:szCs w:val="20"/>
          <w:lang w:eastAsia="en-US"/>
        </w:rPr>
        <w:t xml:space="preserve"> Millionen €). Evonik </w:t>
      </w:r>
      <w:r w:rsidR="00817A00">
        <w:rPr>
          <w:sz w:val="20"/>
          <w:szCs w:val="20"/>
          <w:lang w:eastAsia="en-US"/>
        </w:rPr>
        <w:t>erzielte</w:t>
      </w:r>
      <w:r>
        <w:rPr>
          <w:sz w:val="20"/>
          <w:szCs w:val="20"/>
          <w:lang w:eastAsia="en-US"/>
        </w:rPr>
        <w:t xml:space="preserve"> </w:t>
      </w:r>
      <w:r w:rsidR="00817A00">
        <w:rPr>
          <w:sz w:val="20"/>
          <w:szCs w:val="20"/>
          <w:lang w:eastAsia="en-US"/>
        </w:rPr>
        <w:t xml:space="preserve">ein organisches Umsatzwachstum </w:t>
      </w:r>
      <w:r w:rsidR="007602A0">
        <w:rPr>
          <w:sz w:val="20"/>
          <w:szCs w:val="20"/>
          <w:lang w:eastAsia="en-US"/>
        </w:rPr>
        <w:t xml:space="preserve">von </w:t>
      </w:r>
      <w:r w:rsidR="001967BC">
        <w:rPr>
          <w:sz w:val="20"/>
          <w:szCs w:val="20"/>
          <w:lang w:eastAsia="en-US"/>
        </w:rPr>
        <w:t>1</w:t>
      </w:r>
      <w:r w:rsidR="00817A00">
        <w:rPr>
          <w:sz w:val="20"/>
          <w:szCs w:val="20"/>
          <w:lang w:eastAsia="en-US"/>
        </w:rPr>
        <w:t xml:space="preserve"> Prozent, zu dem höhere Mengen (</w:t>
      </w:r>
      <w:r w:rsidR="001967BC">
        <w:rPr>
          <w:sz w:val="20"/>
          <w:szCs w:val="20"/>
          <w:lang w:eastAsia="en-US"/>
        </w:rPr>
        <w:t>2</w:t>
      </w:r>
      <w:r w:rsidR="00817A00">
        <w:rPr>
          <w:sz w:val="20"/>
          <w:szCs w:val="20"/>
          <w:lang w:eastAsia="en-US"/>
        </w:rPr>
        <w:t xml:space="preserve"> Prozentpunkte) bei </w:t>
      </w:r>
      <w:r w:rsidR="001967BC">
        <w:rPr>
          <w:sz w:val="20"/>
          <w:szCs w:val="20"/>
          <w:lang w:eastAsia="en-US"/>
        </w:rPr>
        <w:t xml:space="preserve">nur noch </w:t>
      </w:r>
      <w:r w:rsidR="00817A00">
        <w:rPr>
          <w:sz w:val="20"/>
          <w:szCs w:val="20"/>
          <w:lang w:eastAsia="en-US"/>
        </w:rPr>
        <w:t xml:space="preserve">leicht rückläufigen Verkaufspreisen </w:t>
      </w:r>
      <w:r w:rsidR="00F86F92">
        <w:rPr>
          <w:sz w:val="20"/>
          <w:szCs w:val="20"/>
          <w:lang w:eastAsia="en-US"/>
        </w:rPr>
        <w:br/>
      </w:r>
      <w:r w:rsidR="00817A00">
        <w:rPr>
          <w:sz w:val="20"/>
          <w:szCs w:val="20"/>
          <w:lang w:eastAsia="en-US"/>
        </w:rPr>
        <w:t>(-</w:t>
      </w:r>
      <w:r w:rsidR="001967BC">
        <w:rPr>
          <w:sz w:val="20"/>
          <w:szCs w:val="20"/>
          <w:lang w:eastAsia="en-US"/>
        </w:rPr>
        <w:t>1</w:t>
      </w:r>
      <w:r w:rsidR="00817A00">
        <w:rPr>
          <w:sz w:val="20"/>
          <w:szCs w:val="20"/>
          <w:lang w:eastAsia="en-US"/>
        </w:rPr>
        <w:t xml:space="preserve"> Prozentpunkt) beitrugen. </w:t>
      </w:r>
    </w:p>
    <w:p w:rsidR="008A7FB7" w:rsidRDefault="008A7FB7" w:rsidP="0033355C">
      <w:pPr>
        <w:spacing w:line="300" w:lineRule="exact"/>
        <w:rPr>
          <w:sz w:val="20"/>
          <w:szCs w:val="20"/>
          <w:lang w:eastAsia="en-US"/>
        </w:rPr>
      </w:pPr>
    </w:p>
    <w:p w:rsidR="008A7FB7" w:rsidRDefault="00555C3D" w:rsidP="0033355C">
      <w:pPr>
        <w:spacing w:line="300" w:lineRule="exact"/>
        <w:rPr>
          <w:sz w:val="20"/>
          <w:szCs w:val="20"/>
          <w:lang w:eastAsia="en-US"/>
        </w:rPr>
      </w:pPr>
      <w:r>
        <w:rPr>
          <w:sz w:val="20"/>
          <w:szCs w:val="20"/>
          <w:lang w:eastAsia="en-US"/>
        </w:rPr>
        <w:t xml:space="preserve">Das bereinigte </w:t>
      </w:r>
      <w:r w:rsidRPr="00555C3D">
        <w:rPr>
          <w:b/>
          <w:sz w:val="20"/>
          <w:szCs w:val="20"/>
          <w:lang w:eastAsia="en-US"/>
        </w:rPr>
        <w:t>EBITDA</w:t>
      </w:r>
      <w:r>
        <w:rPr>
          <w:sz w:val="20"/>
          <w:szCs w:val="20"/>
          <w:lang w:eastAsia="en-US"/>
        </w:rPr>
        <w:t xml:space="preserve"> blieb mit </w:t>
      </w:r>
      <w:r w:rsidR="00BC52F2">
        <w:rPr>
          <w:sz w:val="20"/>
          <w:szCs w:val="20"/>
          <w:lang w:eastAsia="en-US"/>
        </w:rPr>
        <w:t>501</w:t>
      </w:r>
      <w:r>
        <w:rPr>
          <w:sz w:val="20"/>
          <w:szCs w:val="20"/>
          <w:lang w:eastAsia="en-US"/>
        </w:rPr>
        <w:t xml:space="preserve"> Millionen € um </w:t>
      </w:r>
      <w:r w:rsidR="00BC52F2">
        <w:rPr>
          <w:sz w:val="20"/>
          <w:szCs w:val="20"/>
          <w:lang w:eastAsia="en-US"/>
        </w:rPr>
        <w:t>3</w:t>
      </w:r>
      <w:r>
        <w:rPr>
          <w:sz w:val="20"/>
          <w:szCs w:val="20"/>
          <w:lang w:eastAsia="en-US"/>
        </w:rPr>
        <w:t xml:space="preserve"> Prozent unter dem Vorjahreswert von 5</w:t>
      </w:r>
      <w:r w:rsidR="00BC52F2">
        <w:rPr>
          <w:sz w:val="20"/>
          <w:szCs w:val="20"/>
          <w:lang w:eastAsia="en-US"/>
        </w:rPr>
        <w:t>17</w:t>
      </w:r>
      <w:r>
        <w:rPr>
          <w:sz w:val="20"/>
          <w:szCs w:val="20"/>
          <w:lang w:eastAsia="en-US"/>
        </w:rPr>
        <w:t xml:space="preserve"> Millionen €. Die bereinigte </w:t>
      </w:r>
      <w:r w:rsidRPr="00555C3D">
        <w:rPr>
          <w:b/>
          <w:sz w:val="20"/>
          <w:szCs w:val="20"/>
          <w:lang w:eastAsia="en-US"/>
        </w:rPr>
        <w:t>EBITDA-Marge</w:t>
      </w:r>
      <w:r>
        <w:rPr>
          <w:sz w:val="20"/>
          <w:szCs w:val="20"/>
          <w:lang w:eastAsia="en-US"/>
        </w:rPr>
        <w:t xml:space="preserve"> verringerte sich von 1</w:t>
      </w:r>
      <w:r w:rsidR="00BC52F2">
        <w:rPr>
          <w:sz w:val="20"/>
          <w:szCs w:val="20"/>
          <w:lang w:eastAsia="en-US"/>
        </w:rPr>
        <w:t>6,</w:t>
      </w:r>
      <w:r w:rsidR="007C4037">
        <w:rPr>
          <w:sz w:val="20"/>
          <w:szCs w:val="20"/>
          <w:lang w:eastAsia="en-US"/>
        </w:rPr>
        <w:t>2</w:t>
      </w:r>
      <w:r>
        <w:rPr>
          <w:sz w:val="20"/>
          <w:szCs w:val="20"/>
          <w:lang w:eastAsia="en-US"/>
        </w:rPr>
        <w:t xml:space="preserve"> Prozent auf 1</w:t>
      </w:r>
      <w:r w:rsidR="00BC52F2">
        <w:rPr>
          <w:sz w:val="20"/>
          <w:szCs w:val="20"/>
          <w:lang w:eastAsia="en-US"/>
        </w:rPr>
        <w:t>5,4</w:t>
      </w:r>
      <w:r>
        <w:rPr>
          <w:sz w:val="20"/>
          <w:szCs w:val="20"/>
          <w:lang w:eastAsia="en-US"/>
        </w:rPr>
        <w:t xml:space="preserve"> Prozent. </w:t>
      </w:r>
    </w:p>
    <w:p w:rsidR="008A7FB7" w:rsidRDefault="008A7FB7" w:rsidP="0033355C">
      <w:pPr>
        <w:spacing w:line="300" w:lineRule="exact"/>
        <w:rPr>
          <w:sz w:val="20"/>
          <w:szCs w:val="20"/>
          <w:lang w:eastAsia="en-US"/>
        </w:rPr>
      </w:pPr>
    </w:p>
    <w:p w:rsidR="00893D46" w:rsidRDefault="007352B7" w:rsidP="0033355C">
      <w:pPr>
        <w:spacing w:line="300" w:lineRule="exact"/>
        <w:rPr>
          <w:sz w:val="20"/>
          <w:szCs w:val="20"/>
          <w:lang w:eastAsia="en-US"/>
        </w:rPr>
      </w:pPr>
      <w:r>
        <w:rPr>
          <w:sz w:val="20"/>
          <w:szCs w:val="20"/>
          <w:lang w:eastAsia="en-US"/>
        </w:rPr>
        <w:t xml:space="preserve">Das </w:t>
      </w:r>
      <w:r w:rsidRPr="007352B7">
        <w:rPr>
          <w:b/>
          <w:sz w:val="20"/>
          <w:szCs w:val="20"/>
          <w:lang w:eastAsia="en-US"/>
        </w:rPr>
        <w:t>bereinigte Konzernergebnis</w:t>
      </w:r>
      <w:r>
        <w:rPr>
          <w:sz w:val="20"/>
          <w:szCs w:val="20"/>
          <w:lang w:eastAsia="en-US"/>
        </w:rPr>
        <w:t xml:space="preserve"> (fortgeführte Aktivitäten) erhöhte sich um 3 Prozent auf 213 Millionen € (Vorjahresquartal: 206 Millionen €).</w:t>
      </w:r>
      <w:r w:rsidR="006F1AAC">
        <w:rPr>
          <w:sz w:val="20"/>
          <w:szCs w:val="20"/>
          <w:lang w:eastAsia="en-US"/>
        </w:rPr>
        <w:t xml:space="preserve"> Das </w:t>
      </w:r>
      <w:r w:rsidR="006F1AAC" w:rsidRPr="001B6E55">
        <w:rPr>
          <w:b/>
          <w:sz w:val="20"/>
          <w:szCs w:val="20"/>
          <w:lang w:eastAsia="en-US"/>
        </w:rPr>
        <w:t>bereinigte Ergebnis je Aktie</w:t>
      </w:r>
      <w:r w:rsidR="006F1AAC">
        <w:rPr>
          <w:sz w:val="20"/>
          <w:szCs w:val="20"/>
          <w:lang w:eastAsia="en-US"/>
        </w:rPr>
        <w:t xml:space="preserve"> stieg von 0,44 € auf 0,46 €.</w:t>
      </w:r>
    </w:p>
    <w:p w:rsidR="007C4037" w:rsidRDefault="007C4037" w:rsidP="0033355C">
      <w:pPr>
        <w:spacing w:line="300" w:lineRule="exact"/>
        <w:rPr>
          <w:sz w:val="20"/>
          <w:szCs w:val="20"/>
          <w:lang w:eastAsia="en-US"/>
        </w:rPr>
      </w:pPr>
    </w:p>
    <w:p w:rsidR="00FB1C60" w:rsidRDefault="00FB1C60">
      <w:pPr>
        <w:spacing w:line="240" w:lineRule="auto"/>
        <w:ind w:left="0" w:right="0"/>
        <w:rPr>
          <w:sz w:val="20"/>
          <w:szCs w:val="20"/>
          <w:lang w:eastAsia="en-US"/>
        </w:rPr>
      </w:pPr>
      <w:r>
        <w:rPr>
          <w:sz w:val="20"/>
          <w:szCs w:val="20"/>
          <w:lang w:eastAsia="en-US"/>
        </w:rPr>
        <w:br w:type="page"/>
      </w:r>
    </w:p>
    <w:p w:rsidR="00830A10" w:rsidRDefault="00830A10" w:rsidP="0033355C">
      <w:pPr>
        <w:spacing w:line="300" w:lineRule="exact"/>
        <w:rPr>
          <w:sz w:val="20"/>
          <w:szCs w:val="20"/>
          <w:lang w:eastAsia="en-US"/>
        </w:rPr>
      </w:pPr>
    </w:p>
    <w:p w:rsidR="00B028E8" w:rsidRDefault="00B028E8" w:rsidP="0033355C">
      <w:pPr>
        <w:spacing w:line="300" w:lineRule="exact"/>
        <w:rPr>
          <w:b/>
          <w:sz w:val="20"/>
          <w:szCs w:val="20"/>
          <w:lang w:eastAsia="en-US"/>
        </w:rPr>
      </w:pPr>
      <w:r>
        <w:rPr>
          <w:b/>
          <w:sz w:val="20"/>
          <w:szCs w:val="20"/>
          <w:lang w:eastAsia="en-US"/>
        </w:rPr>
        <w:t>Verkauf der restlichen STEAG-Anteile erfolgt</w:t>
      </w:r>
    </w:p>
    <w:p w:rsidR="00B028E8" w:rsidRDefault="00B028E8" w:rsidP="0033355C">
      <w:pPr>
        <w:spacing w:line="300" w:lineRule="exact"/>
        <w:rPr>
          <w:sz w:val="20"/>
          <w:szCs w:val="20"/>
          <w:lang w:eastAsia="en-US"/>
        </w:rPr>
      </w:pPr>
    </w:p>
    <w:p w:rsidR="000038F7" w:rsidRPr="00B028E8" w:rsidRDefault="007C4037" w:rsidP="0033355C">
      <w:pPr>
        <w:spacing w:line="300" w:lineRule="exact"/>
        <w:rPr>
          <w:sz w:val="20"/>
          <w:szCs w:val="20"/>
          <w:lang w:eastAsia="en-US"/>
        </w:rPr>
      </w:pPr>
      <w:r>
        <w:rPr>
          <w:sz w:val="20"/>
          <w:szCs w:val="20"/>
          <w:lang w:eastAsia="en-US"/>
        </w:rPr>
        <w:t xml:space="preserve">Evonik hat sein Profil als reines Spezialchemieunternehmen weiter geschärft: </w:t>
      </w:r>
      <w:r w:rsidR="000038F7">
        <w:rPr>
          <w:sz w:val="20"/>
          <w:szCs w:val="20"/>
          <w:lang w:eastAsia="en-US"/>
        </w:rPr>
        <w:t xml:space="preserve">Anfang September hat </w:t>
      </w:r>
      <w:r w:rsidR="007352B7">
        <w:rPr>
          <w:sz w:val="20"/>
          <w:szCs w:val="20"/>
          <w:lang w:eastAsia="en-US"/>
        </w:rPr>
        <w:t>das Unternehmen</w:t>
      </w:r>
      <w:r w:rsidR="000038F7">
        <w:rPr>
          <w:sz w:val="20"/>
          <w:szCs w:val="20"/>
          <w:lang w:eastAsia="en-US"/>
        </w:rPr>
        <w:t xml:space="preserve"> seine restliche Beteiligung an der STEAG GmbH </w:t>
      </w:r>
      <w:r w:rsidR="00893DC3">
        <w:rPr>
          <w:sz w:val="20"/>
          <w:szCs w:val="20"/>
          <w:lang w:eastAsia="en-US"/>
        </w:rPr>
        <w:t xml:space="preserve">in Höhe von 49 Prozent </w:t>
      </w:r>
      <w:r w:rsidR="000038F7">
        <w:rPr>
          <w:sz w:val="20"/>
          <w:szCs w:val="20"/>
          <w:lang w:eastAsia="en-US"/>
        </w:rPr>
        <w:t xml:space="preserve">an das Stadtwerke-Konsortium Rhein-Ruhr für rund 570 Millionen € verkauft. Mit Ankündigung der Erwerbsoption </w:t>
      </w:r>
      <w:r w:rsidR="00893DC3">
        <w:rPr>
          <w:sz w:val="20"/>
          <w:szCs w:val="20"/>
          <w:lang w:eastAsia="en-US"/>
        </w:rPr>
        <w:t xml:space="preserve">(Call-Option) </w:t>
      </w:r>
      <w:r w:rsidR="000038F7">
        <w:rPr>
          <w:sz w:val="20"/>
          <w:szCs w:val="20"/>
          <w:lang w:eastAsia="en-US"/>
        </w:rPr>
        <w:t xml:space="preserve">durch das Konsortium Mitte Juli 2014 wurde der Anteil an der STEAG in die nicht fortgeführten Aktivitäten </w:t>
      </w:r>
      <w:proofErr w:type="spellStart"/>
      <w:r w:rsidR="000038F7">
        <w:rPr>
          <w:sz w:val="20"/>
          <w:szCs w:val="20"/>
          <w:lang w:eastAsia="en-US"/>
        </w:rPr>
        <w:t>umgegliedert</w:t>
      </w:r>
      <w:proofErr w:type="spellEnd"/>
      <w:r w:rsidR="000038F7">
        <w:rPr>
          <w:sz w:val="20"/>
          <w:szCs w:val="20"/>
          <w:lang w:eastAsia="en-US"/>
        </w:rPr>
        <w:t xml:space="preserve">. Aus der </w:t>
      </w:r>
      <w:proofErr w:type="spellStart"/>
      <w:r w:rsidR="000038F7">
        <w:rPr>
          <w:sz w:val="20"/>
          <w:szCs w:val="20"/>
          <w:lang w:eastAsia="en-US"/>
        </w:rPr>
        <w:t>Entkonsolidierung</w:t>
      </w:r>
      <w:proofErr w:type="spellEnd"/>
      <w:r w:rsidR="000038F7">
        <w:rPr>
          <w:sz w:val="20"/>
          <w:szCs w:val="20"/>
          <w:lang w:eastAsia="en-US"/>
        </w:rPr>
        <w:t xml:space="preserve"> resultierten negative Ergebniseffekte unter anderem aus der Bewertung und Ausbuchung der </w:t>
      </w:r>
      <w:proofErr w:type="spellStart"/>
      <w:r w:rsidR="000038F7">
        <w:rPr>
          <w:sz w:val="20"/>
          <w:szCs w:val="20"/>
          <w:lang w:eastAsia="en-US"/>
        </w:rPr>
        <w:t>Put</w:t>
      </w:r>
      <w:proofErr w:type="spellEnd"/>
      <w:r w:rsidR="000038F7">
        <w:rPr>
          <w:sz w:val="20"/>
          <w:szCs w:val="20"/>
          <w:lang w:eastAsia="en-US"/>
        </w:rPr>
        <w:t>- und Call-Optionen.</w:t>
      </w:r>
    </w:p>
    <w:p w:rsidR="000038F7" w:rsidRDefault="000038F7" w:rsidP="0033355C">
      <w:pPr>
        <w:spacing w:line="300" w:lineRule="exact"/>
        <w:rPr>
          <w:b/>
          <w:sz w:val="20"/>
          <w:szCs w:val="20"/>
          <w:lang w:eastAsia="en-US"/>
        </w:rPr>
      </w:pPr>
    </w:p>
    <w:p w:rsidR="00CB798A" w:rsidRDefault="00CB798A" w:rsidP="0033355C">
      <w:pPr>
        <w:spacing w:line="300" w:lineRule="exact"/>
        <w:rPr>
          <w:b/>
          <w:sz w:val="20"/>
          <w:szCs w:val="20"/>
          <w:lang w:eastAsia="en-US"/>
        </w:rPr>
      </w:pPr>
    </w:p>
    <w:p w:rsidR="008A7FB7" w:rsidRPr="008A7FB7" w:rsidRDefault="008A7FB7" w:rsidP="0033355C">
      <w:pPr>
        <w:spacing w:line="300" w:lineRule="exact"/>
        <w:rPr>
          <w:b/>
          <w:sz w:val="20"/>
          <w:szCs w:val="20"/>
          <w:lang w:eastAsia="en-US"/>
        </w:rPr>
      </w:pPr>
      <w:r w:rsidRPr="008A7FB7">
        <w:rPr>
          <w:b/>
          <w:sz w:val="20"/>
          <w:szCs w:val="20"/>
          <w:lang w:eastAsia="en-US"/>
        </w:rPr>
        <w:t xml:space="preserve">Entwicklung in den Segmenten </w:t>
      </w:r>
      <w:r w:rsidR="00085C27">
        <w:rPr>
          <w:b/>
          <w:sz w:val="20"/>
          <w:szCs w:val="20"/>
          <w:lang w:eastAsia="en-US"/>
        </w:rPr>
        <w:t>in den ersten neun Monaten</w:t>
      </w:r>
    </w:p>
    <w:p w:rsidR="008A7FB7" w:rsidRDefault="008A7FB7" w:rsidP="0033355C">
      <w:pPr>
        <w:spacing w:line="300" w:lineRule="exact"/>
        <w:rPr>
          <w:sz w:val="20"/>
          <w:szCs w:val="20"/>
          <w:lang w:eastAsia="en-US"/>
        </w:rPr>
      </w:pPr>
    </w:p>
    <w:p w:rsidR="008A7FB7" w:rsidRDefault="008A7FB7" w:rsidP="0033355C">
      <w:pPr>
        <w:spacing w:line="300" w:lineRule="exact"/>
        <w:rPr>
          <w:b/>
          <w:sz w:val="20"/>
          <w:szCs w:val="20"/>
          <w:lang w:eastAsia="en-US"/>
        </w:rPr>
      </w:pPr>
      <w:r w:rsidRPr="008A7FB7">
        <w:rPr>
          <w:b/>
          <w:sz w:val="20"/>
          <w:szCs w:val="20"/>
          <w:lang w:eastAsia="en-US"/>
        </w:rPr>
        <w:t>Consumer, Health &amp; Nutrition</w:t>
      </w:r>
    </w:p>
    <w:p w:rsidR="008A7FB7" w:rsidRDefault="008A7FB7" w:rsidP="0033355C">
      <w:pPr>
        <w:spacing w:line="300" w:lineRule="exact"/>
        <w:rPr>
          <w:b/>
          <w:sz w:val="20"/>
          <w:szCs w:val="20"/>
          <w:lang w:eastAsia="en-US"/>
        </w:rPr>
      </w:pPr>
    </w:p>
    <w:p w:rsidR="008A7FB7" w:rsidRPr="009E699E" w:rsidRDefault="006F1AAC" w:rsidP="001F513B">
      <w:pPr>
        <w:pStyle w:val="Listenabsatz"/>
        <w:numPr>
          <w:ilvl w:val="0"/>
          <w:numId w:val="20"/>
        </w:numPr>
        <w:spacing w:line="300" w:lineRule="exact"/>
        <w:rPr>
          <w:sz w:val="20"/>
          <w:szCs w:val="20"/>
          <w:lang w:eastAsia="en-US"/>
        </w:rPr>
      </w:pPr>
      <w:r>
        <w:rPr>
          <w:sz w:val="20"/>
          <w:szCs w:val="20"/>
          <w:lang w:eastAsia="en-US"/>
        </w:rPr>
        <w:t xml:space="preserve">3. Quartal: </w:t>
      </w:r>
      <w:r w:rsidR="009E699E" w:rsidRPr="007C4037">
        <w:rPr>
          <w:sz w:val="20"/>
          <w:szCs w:val="20"/>
          <w:lang w:eastAsia="en-US"/>
        </w:rPr>
        <w:t>Höhere Mengen</w:t>
      </w:r>
      <w:r w:rsidR="009E699E" w:rsidRPr="009E699E">
        <w:rPr>
          <w:sz w:val="20"/>
          <w:szCs w:val="20"/>
          <w:lang w:eastAsia="en-US"/>
        </w:rPr>
        <w:t xml:space="preserve">, </w:t>
      </w:r>
      <w:r>
        <w:rPr>
          <w:sz w:val="20"/>
          <w:szCs w:val="20"/>
          <w:lang w:eastAsia="en-US"/>
        </w:rPr>
        <w:t xml:space="preserve">teilweise wieder spürbar anziehende </w:t>
      </w:r>
      <w:r w:rsidR="009E699E" w:rsidRPr="009E699E">
        <w:rPr>
          <w:sz w:val="20"/>
          <w:szCs w:val="20"/>
          <w:lang w:eastAsia="en-US"/>
        </w:rPr>
        <w:t>Verkaufspreise</w:t>
      </w:r>
    </w:p>
    <w:p w:rsidR="008A7FB7" w:rsidRPr="009E699E" w:rsidRDefault="006F1AAC" w:rsidP="001F513B">
      <w:pPr>
        <w:pStyle w:val="Listenabsatz"/>
        <w:numPr>
          <w:ilvl w:val="0"/>
          <w:numId w:val="20"/>
        </w:numPr>
        <w:spacing w:line="300" w:lineRule="exact"/>
        <w:rPr>
          <w:sz w:val="20"/>
          <w:szCs w:val="20"/>
          <w:lang w:eastAsia="en-US"/>
        </w:rPr>
      </w:pPr>
      <w:r>
        <w:rPr>
          <w:sz w:val="20"/>
          <w:szCs w:val="20"/>
          <w:lang w:eastAsia="en-US"/>
        </w:rPr>
        <w:t xml:space="preserve">3. Quartal: </w:t>
      </w:r>
      <w:r w:rsidR="009E699E" w:rsidRPr="009E699E">
        <w:rPr>
          <w:sz w:val="20"/>
          <w:szCs w:val="20"/>
          <w:lang w:eastAsia="en-US"/>
        </w:rPr>
        <w:t xml:space="preserve">Bereinigtes EBITDA </w:t>
      </w:r>
      <w:r>
        <w:rPr>
          <w:sz w:val="20"/>
          <w:szCs w:val="20"/>
          <w:lang w:eastAsia="en-US"/>
        </w:rPr>
        <w:t>fast auf Vorjahr</w:t>
      </w:r>
    </w:p>
    <w:p w:rsidR="008A7FB7" w:rsidRPr="009E699E" w:rsidRDefault="006F1AAC" w:rsidP="001F513B">
      <w:pPr>
        <w:pStyle w:val="Listenabsatz"/>
        <w:numPr>
          <w:ilvl w:val="0"/>
          <w:numId w:val="20"/>
        </w:numPr>
        <w:spacing w:line="300" w:lineRule="exact"/>
        <w:rPr>
          <w:sz w:val="20"/>
          <w:szCs w:val="20"/>
          <w:lang w:eastAsia="en-US"/>
        </w:rPr>
      </w:pPr>
      <w:r>
        <w:rPr>
          <w:sz w:val="20"/>
          <w:szCs w:val="20"/>
          <w:lang w:eastAsia="en-US"/>
        </w:rPr>
        <w:t xml:space="preserve">Dreivierteljahr: </w:t>
      </w:r>
      <w:r w:rsidR="009E699E" w:rsidRPr="009E699E">
        <w:rPr>
          <w:sz w:val="20"/>
          <w:szCs w:val="20"/>
          <w:lang w:eastAsia="en-US"/>
        </w:rPr>
        <w:t>Bereinigte EBITDA-Marge mit 19,</w:t>
      </w:r>
      <w:r w:rsidR="00735CA8">
        <w:rPr>
          <w:sz w:val="20"/>
          <w:szCs w:val="20"/>
          <w:lang w:eastAsia="en-US"/>
        </w:rPr>
        <w:t>4</w:t>
      </w:r>
      <w:r w:rsidR="009E699E" w:rsidRPr="009E699E">
        <w:rPr>
          <w:sz w:val="20"/>
          <w:szCs w:val="20"/>
          <w:lang w:eastAsia="en-US"/>
        </w:rPr>
        <w:t xml:space="preserve"> Prozent auf gutem Niveau</w:t>
      </w:r>
    </w:p>
    <w:p w:rsidR="008A7FB7" w:rsidRDefault="008A7FB7" w:rsidP="0033355C">
      <w:pPr>
        <w:spacing w:line="300" w:lineRule="exact"/>
        <w:rPr>
          <w:sz w:val="20"/>
          <w:szCs w:val="20"/>
          <w:lang w:eastAsia="en-US"/>
        </w:rPr>
      </w:pPr>
    </w:p>
    <w:p w:rsidR="00886A4B" w:rsidRDefault="008A7FB7" w:rsidP="0033355C">
      <w:pPr>
        <w:spacing w:line="300" w:lineRule="exact"/>
        <w:rPr>
          <w:sz w:val="20"/>
          <w:szCs w:val="20"/>
          <w:lang w:eastAsia="en-US"/>
        </w:rPr>
      </w:pPr>
      <w:r>
        <w:rPr>
          <w:sz w:val="20"/>
          <w:szCs w:val="20"/>
          <w:lang w:eastAsia="en-US"/>
        </w:rPr>
        <w:t xml:space="preserve">Das Segment </w:t>
      </w:r>
      <w:r w:rsidR="00886A4B" w:rsidRPr="00886A4B">
        <w:rPr>
          <w:b/>
          <w:sz w:val="20"/>
          <w:szCs w:val="20"/>
          <w:lang w:eastAsia="en-US"/>
        </w:rPr>
        <w:t>Consumer, Health &amp; Nutrition</w:t>
      </w:r>
      <w:r w:rsidR="00886A4B">
        <w:rPr>
          <w:sz w:val="20"/>
          <w:szCs w:val="20"/>
          <w:lang w:eastAsia="en-US"/>
        </w:rPr>
        <w:t xml:space="preserve"> produziert schwerpunktmäßig für Anwendungen in Konsumgütern</w:t>
      </w:r>
      <w:r w:rsidR="007D4EA6">
        <w:rPr>
          <w:sz w:val="20"/>
          <w:szCs w:val="20"/>
          <w:lang w:eastAsia="en-US"/>
        </w:rPr>
        <w:t xml:space="preserve"> des täglichen Bedarfs</w:t>
      </w:r>
      <w:r w:rsidR="00886A4B">
        <w:rPr>
          <w:sz w:val="20"/>
          <w:szCs w:val="20"/>
          <w:lang w:eastAsia="en-US"/>
        </w:rPr>
        <w:t xml:space="preserve">, in der Tierernährung und im Bereich </w:t>
      </w:r>
      <w:proofErr w:type="spellStart"/>
      <w:r w:rsidR="00886A4B">
        <w:rPr>
          <w:sz w:val="20"/>
          <w:szCs w:val="20"/>
          <w:lang w:eastAsia="en-US"/>
        </w:rPr>
        <w:t>Healthcare</w:t>
      </w:r>
      <w:proofErr w:type="spellEnd"/>
      <w:r w:rsidR="00886A4B">
        <w:rPr>
          <w:sz w:val="20"/>
          <w:szCs w:val="20"/>
          <w:lang w:eastAsia="en-US"/>
        </w:rPr>
        <w:t>. Es umfasst die Geschäftsbereiche Consumer Specialties sowie Health &amp; Nut</w:t>
      </w:r>
      <w:r w:rsidR="00893D46">
        <w:rPr>
          <w:sz w:val="20"/>
          <w:szCs w:val="20"/>
          <w:lang w:eastAsia="en-US"/>
        </w:rPr>
        <w:t>r</w:t>
      </w:r>
      <w:r w:rsidR="00886A4B">
        <w:rPr>
          <w:sz w:val="20"/>
          <w:szCs w:val="20"/>
          <w:lang w:eastAsia="en-US"/>
        </w:rPr>
        <w:t>ition.</w:t>
      </w:r>
    </w:p>
    <w:p w:rsidR="00886A4B" w:rsidRDefault="00886A4B" w:rsidP="0033355C">
      <w:pPr>
        <w:spacing w:line="300" w:lineRule="exact"/>
        <w:rPr>
          <w:sz w:val="20"/>
          <w:szCs w:val="20"/>
          <w:lang w:eastAsia="en-US"/>
        </w:rPr>
      </w:pPr>
    </w:p>
    <w:p w:rsidR="009B6B5E" w:rsidRDefault="00886A4B" w:rsidP="0033355C">
      <w:pPr>
        <w:spacing w:line="300" w:lineRule="exact"/>
        <w:rPr>
          <w:sz w:val="20"/>
          <w:szCs w:val="20"/>
          <w:lang w:eastAsia="en-US"/>
        </w:rPr>
      </w:pPr>
      <w:r>
        <w:rPr>
          <w:sz w:val="20"/>
          <w:szCs w:val="20"/>
          <w:lang w:eastAsia="en-US"/>
        </w:rPr>
        <w:t xml:space="preserve">Der </w:t>
      </w:r>
      <w:r w:rsidRPr="00F50193">
        <w:rPr>
          <w:b/>
          <w:sz w:val="20"/>
          <w:szCs w:val="20"/>
          <w:lang w:eastAsia="en-US"/>
        </w:rPr>
        <w:t>Umsatz</w:t>
      </w:r>
      <w:r w:rsidR="00F50193">
        <w:rPr>
          <w:sz w:val="20"/>
          <w:szCs w:val="20"/>
          <w:lang w:eastAsia="en-US"/>
        </w:rPr>
        <w:t xml:space="preserve"> verringerte sich </w:t>
      </w:r>
      <w:r w:rsidR="00735CA8">
        <w:rPr>
          <w:sz w:val="20"/>
          <w:szCs w:val="20"/>
          <w:lang w:eastAsia="en-US"/>
        </w:rPr>
        <w:t xml:space="preserve">in den ersten neun Monaten </w:t>
      </w:r>
      <w:r w:rsidR="00F50193">
        <w:rPr>
          <w:sz w:val="20"/>
          <w:szCs w:val="20"/>
          <w:lang w:eastAsia="en-US"/>
        </w:rPr>
        <w:t xml:space="preserve">2014 um </w:t>
      </w:r>
      <w:r w:rsidR="00735CA8">
        <w:rPr>
          <w:sz w:val="20"/>
          <w:szCs w:val="20"/>
          <w:lang w:eastAsia="en-US"/>
        </w:rPr>
        <w:t>3</w:t>
      </w:r>
      <w:r w:rsidR="00F50193">
        <w:rPr>
          <w:sz w:val="20"/>
          <w:szCs w:val="20"/>
          <w:lang w:eastAsia="en-US"/>
        </w:rPr>
        <w:t xml:space="preserve"> Prozent auf </w:t>
      </w:r>
      <w:r w:rsidR="00735CA8">
        <w:rPr>
          <w:sz w:val="20"/>
          <w:szCs w:val="20"/>
          <w:lang w:eastAsia="en-US"/>
        </w:rPr>
        <w:t>3.015</w:t>
      </w:r>
      <w:r w:rsidR="00F50193">
        <w:rPr>
          <w:sz w:val="20"/>
          <w:szCs w:val="20"/>
          <w:lang w:eastAsia="en-US"/>
        </w:rPr>
        <w:t xml:space="preserve"> Millionen € (Vorjahres</w:t>
      </w:r>
      <w:r w:rsidR="00735CA8">
        <w:rPr>
          <w:sz w:val="20"/>
          <w:szCs w:val="20"/>
          <w:lang w:eastAsia="en-US"/>
        </w:rPr>
        <w:t>zeitraum</w:t>
      </w:r>
      <w:r w:rsidR="00F50193">
        <w:rPr>
          <w:sz w:val="20"/>
          <w:szCs w:val="20"/>
          <w:lang w:eastAsia="en-US"/>
        </w:rPr>
        <w:t xml:space="preserve">: </w:t>
      </w:r>
      <w:r w:rsidR="00735CA8">
        <w:rPr>
          <w:sz w:val="20"/>
          <w:szCs w:val="20"/>
          <w:lang w:eastAsia="en-US"/>
        </w:rPr>
        <w:t>3.110</w:t>
      </w:r>
      <w:r w:rsidR="00F50193">
        <w:rPr>
          <w:sz w:val="20"/>
          <w:szCs w:val="20"/>
          <w:lang w:eastAsia="en-US"/>
        </w:rPr>
        <w:t xml:space="preserve"> Millionen €)</w:t>
      </w:r>
      <w:r w:rsidR="00D45696">
        <w:rPr>
          <w:sz w:val="20"/>
          <w:szCs w:val="20"/>
          <w:lang w:eastAsia="en-US"/>
        </w:rPr>
        <w:t>. D</w:t>
      </w:r>
      <w:r w:rsidR="00735CA8">
        <w:rPr>
          <w:sz w:val="20"/>
          <w:szCs w:val="20"/>
          <w:lang w:eastAsia="en-US"/>
        </w:rPr>
        <w:t xml:space="preserve">ie erfreuliche Mengensteigerung wurde </w:t>
      </w:r>
      <w:r w:rsidR="00D45696">
        <w:rPr>
          <w:sz w:val="20"/>
          <w:szCs w:val="20"/>
          <w:lang w:eastAsia="en-US"/>
        </w:rPr>
        <w:t xml:space="preserve">hierbei von </w:t>
      </w:r>
      <w:r w:rsidR="00735CA8">
        <w:rPr>
          <w:sz w:val="20"/>
          <w:szCs w:val="20"/>
          <w:lang w:eastAsia="en-US"/>
        </w:rPr>
        <w:t xml:space="preserve">geringeren Verkaufspreisen sowie einem negativen Währungseffekt </w:t>
      </w:r>
      <w:r w:rsidR="00D45696">
        <w:rPr>
          <w:sz w:val="20"/>
          <w:szCs w:val="20"/>
          <w:lang w:eastAsia="en-US"/>
        </w:rPr>
        <w:t xml:space="preserve">überkompensiert. </w:t>
      </w:r>
      <w:r w:rsidR="0092443E">
        <w:rPr>
          <w:sz w:val="20"/>
          <w:szCs w:val="20"/>
          <w:lang w:eastAsia="en-US"/>
        </w:rPr>
        <w:t xml:space="preserve">Insbesondere die </w:t>
      </w:r>
      <w:r w:rsidR="00D45696">
        <w:rPr>
          <w:sz w:val="20"/>
          <w:szCs w:val="20"/>
          <w:lang w:eastAsia="en-US"/>
        </w:rPr>
        <w:t xml:space="preserve">Aminosäuren für </w:t>
      </w:r>
      <w:r w:rsidR="006F1AAC">
        <w:rPr>
          <w:sz w:val="20"/>
          <w:szCs w:val="20"/>
          <w:lang w:eastAsia="en-US"/>
        </w:rPr>
        <w:t xml:space="preserve">die </w:t>
      </w:r>
      <w:r w:rsidR="00D45696">
        <w:rPr>
          <w:sz w:val="20"/>
          <w:szCs w:val="20"/>
          <w:lang w:eastAsia="en-US"/>
        </w:rPr>
        <w:t xml:space="preserve">Tierernährung </w:t>
      </w:r>
      <w:r w:rsidR="0092443E">
        <w:rPr>
          <w:sz w:val="20"/>
          <w:szCs w:val="20"/>
          <w:lang w:eastAsia="en-US"/>
        </w:rPr>
        <w:t>konnten bei hoher Nachfrage ihre Mengen weiter steigern</w:t>
      </w:r>
      <w:r w:rsidR="0097132E">
        <w:rPr>
          <w:sz w:val="20"/>
          <w:szCs w:val="20"/>
          <w:lang w:eastAsia="en-US"/>
        </w:rPr>
        <w:t xml:space="preserve">. </w:t>
      </w:r>
      <w:r w:rsidR="0027541D">
        <w:rPr>
          <w:sz w:val="20"/>
          <w:szCs w:val="20"/>
          <w:lang w:eastAsia="en-US"/>
        </w:rPr>
        <w:t xml:space="preserve">Der seit Sommer 2012 deutlich rückläufige Preistrend hat sich erkennbar abgeschwächt – teilweise wurden sogar wieder spürbar anziehende Verkaufspreise verzeichnet. </w:t>
      </w:r>
      <w:r w:rsidR="007C4037">
        <w:rPr>
          <w:sz w:val="20"/>
          <w:szCs w:val="20"/>
          <w:lang w:eastAsia="en-US"/>
        </w:rPr>
        <w:t>D</w:t>
      </w:r>
      <w:r w:rsidR="0092443E">
        <w:rPr>
          <w:sz w:val="20"/>
          <w:szCs w:val="20"/>
          <w:lang w:eastAsia="en-US"/>
        </w:rPr>
        <w:t xml:space="preserve">ie Absatzmengen </w:t>
      </w:r>
      <w:r w:rsidR="007C4037">
        <w:rPr>
          <w:sz w:val="20"/>
          <w:szCs w:val="20"/>
          <w:lang w:eastAsia="en-US"/>
        </w:rPr>
        <w:t xml:space="preserve">der Superabsorber blieben </w:t>
      </w:r>
      <w:r w:rsidR="0092443E">
        <w:rPr>
          <w:sz w:val="20"/>
          <w:szCs w:val="20"/>
          <w:lang w:eastAsia="en-US"/>
        </w:rPr>
        <w:t>unter dem sehr hohen Vorjahreswert</w:t>
      </w:r>
      <w:r w:rsidR="00612C76">
        <w:rPr>
          <w:sz w:val="20"/>
          <w:szCs w:val="20"/>
          <w:lang w:eastAsia="en-US"/>
        </w:rPr>
        <w:t xml:space="preserve">. </w:t>
      </w:r>
      <w:r w:rsidR="001A75AE">
        <w:rPr>
          <w:sz w:val="20"/>
          <w:szCs w:val="20"/>
          <w:lang w:eastAsia="en-US"/>
        </w:rPr>
        <w:t xml:space="preserve">Das bereinigte </w:t>
      </w:r>
      <w:r w:rsidR="001A75AE" w:rsidRPr="001A75AE">
        <w:rPr>
          <w:b/>
          <w:sz w:val="20"/>
          <w:szCs w:val="20"/>
          <w:lang w:eastAsia="en-US"/>
        </w:rPr>
        <w:t xml:space="preserve">EBITDA </w:t>
      </w:r>
      <w:r w:rsidR="00BD285A">
        <w:rPr>
          <w:sz w:val="20"/>
          <w:szCs w:val="20"/>
          <w:lang w:eastAsia="en-US"/>
        </w:rPr>
        <w:t xml:space="preserve">des Segments </w:t>
      </w:r>
      <w:r w:rsidR="001A75AE">
        <w:rPr>
          <w:sz w:val="20"/>
          <w:szCs w:val="20"/>
          <w:lang w:eastAsia="en-US"/>
        </w:rPr>
        <w:t>ging infolge der geringeren Verkaufspreise</w:t>
      </w:r>
      <w:r w:rsidR="0092443E">
        <w:rPr>
          <w:sz w:val="20"/>
          <w:szCs w:val="20"/>
          <w:lang w:eastAsia="en-US"/>
        </w:rPr>
        <w:t xml:space="preserve"> </w:t>
      </w:r>
      <w:r w:rsidR="001A75AE">
        <w:rPr>
          <w:sz w:val="20"/>
          <w:szCs w:val="20"/>
          <w:lang w:eastAsia="en-US"/>
        </w:rPr>
        <w:t xml:space="preserve">sowie Anlaufkosten im Zusammenhang mit der Inbetriebnahme neuer Kapazitäten um </w:t>
      </w:r>
      <w:r w:rsidR="00735CA8">
        <w:rPr>
          <w:sz w:val="20"/>
          <w:szCs w:val="20"/>
          <w:lang w:eastAsia="en-US"/>
        </w:rPr>
        <w:t>19</w:t>
      </w:r>
      <w:r w:rsidR="001A75AE">
        <w:rPr>
          <w:sz w:val="20"/>
          <w:szCs w:val="20"/>
          <w:lang w:eastAsia="en-US"/>
        </w:rPr>
        <w:t xml:space="preserve"> </w:t>
      </w:r>
      <w:r w:rsidR="001A75AE">
        <w:rPr>
          <w:sz w:val="20"/>
          <w:szCs w:val="20"/>
          <w:lang w:eastAsia="en-US"/>
        </w:rPr>
        <w:lastRenderedPageBreak/>
        <w:t xml:space="preserve">Prozent auf </w:t>
      </w:r>
      <w:r w:rsidR="00735CA8">
        <w:rPr>
          <w:sz w:val="20"/>
          <w:szCs w:val="20"/>
          <w:lang w:eastAsia="en-US"/>
        </w:rPr>
        <w:t>585</w:t>
      </w:r>
      <w:r w:rsidR="001A75AE">
        <w:rPr>
          <w:sz w:val="20"/>
          <w:szCs w:val="20"/>
          <w:lang w:eastAsia="en-US"/>
        </w:rPr>
        <w:t xml:space="preserve"> Millionen € zurück (Vorjahres</w:t>
      </w:r>
      <w:r w:rsidR="00735CA8">
        <w:rPr>
          <w:sz w:val="20"/>
          <w:szCs w:val="20"/>
          <w:lang w:eastAsia="en-US"/>
        </w:rPr>
        <w:t>zeitraum</w:t>
      </w:r>
      <w:r w:rsidR="001A75AE">
        <w:rPr>
          <w:sz w:val="20"/>
          <w:szCs w:val="20"/>
          <w:lang w:eastAsia="en-US"/>
        </w:rPr>
        <w:t xml:space="preserve">: </w:t>
      </w:r>
      <w:r w:rsidR="00735CA8">
        <w:rPr>
          <w:sz w:val="20"/>
          <w:szCs w:val="20"/>
          <w:lang w:eastAsia="en-US"/>
        </w:rPr>
        <w:t>723</w:t>
      </w:r>
      <w:r w:rsidR="001A75AE">
        <w:rPr>
          <w:sz w:val="20"/>
          <w:szCs w:val="20"/>
          <w:lang w:eastAsia="en-US"/>
        </w:rPr>
        <w:t xml:space="preserve"> Millionen €). </w:t>
      </w:r>
      <w:r w:rsidR="007774AB">
        <w:rPr>
          <w:sz w:val="20"/>
          <w:szCs w:val="20"/>
          <w:lang w:eastAsia="en-US"/>
        </w:rPr>
        <w:t xml:space="preserve">Die bereinigte </w:t>
      </w:r>
      <w:r w:rsidR="007774AB" w:rsidRPr="005F7782">
        <w:rPr>
          <w:b/>
          <w:sz w:val="20"/>
          <w:szCs w:val="20"/>
          <w:lang w:eastAsia="en-US"/>
        </w:rPr>
        <w:t>EBITDA-Marge</w:t>
      </w:r>
      <w:r w:rsidR="007774AB">
        <w:rPr>
          <w:sz w:val="20"/>
          <w:szCs w:val="20"/>
          <w:lang w:eastAsia="en-US"/>
        </w:rPr>
        <w:t xml:space="preserve"> lag mit 19,</w:t>
      </w:r>
      <w:r w:rsidR="0092443E">
        <w:rPr>
          <w:sz w:val="20"/>
          <w:szCs w:val="20"/>
          <w:lang w:eastAsia="en-US"/>
        </w:rPr>
        <w:t>4</w:t>
      </w:r>
      <w:r w:rsidR="007774AB">
        <w:rPr>
          <w:sz w:val="20"/>
          <w:szCs w:val="20"/>
          <w:lang w:eastAsia="en-US"/>
        </w:rPr>
        <w:t xml:space="preserve"> Prozent auf gutem Niveau (Vorjahreswert: </w:t>
      </w:r>
      <w:r w:rsidR="0092443E">
        <w:rPr>
          <w:sz w:val="20"/>
          <w:szCs w:val="20"/>
          <w:lang w:eastAsia="en-US"/>
        </w:rPr>
        <w:t>23,2</w:t>
      </w:r>
      <w:r w:rsidR="007774AB">
        <w:rPr>
          <w:sz w:val="20"/>
          <w:szCs w:val="20"/>
          <w:lang w:eastAsia="en-US"/>
        </w:rPr>
        <w:t xml:space="preserve"> Prozent).</w:t>
      </w:r>
    </w:p>
    <w:p w:rsidR="009B6B5E" w:rsidRDefault="009B6B5E" w:rsidP="0033355C">
      <w:pPr>
        <w:spacing w:line="300" w:lineRule="exact"/>
        <w:rPr>
          <w:sz w:val="20"/>
          <w:szCs w:val="20"/>
          <w:lang w:eastAsia="en-US"/>
        </w:rPr>
      </w:pPr>
    </w:p>
    <w:p w:rsidR="009B6B5E" w:rsidRDefault="009B6B5E" w:rsidP="0033355C">
      <w:pPr>
        <w:spacing w:line="300" w:lineRule="exact"/>
        <w:rPr>
          <w:sz w:val="20"/>
          <w:szCs w:val="20"/>
          <w:lang w:eastAsia="en-US"/>
        </w:rPr>
      </w:pPr>
    </w:p>
    <w:p w:rsidR="009B6B5E" w:rsidRPr="009B6B5E" w:rsidRDefault="009B6B5E" w:rsidP="0033355C">
      <w:pPr>
        <w:spacing w:line="300" w:lineRule="exact"/>
        <w:rPr>
          <w:b/>
          <w:sz w:val="20"/>
          <w:szCs w:val="20"/>
          <w:lang w:eastAsia="en-US"/>
        </w:rPr>
      </w:pPr>
      <w:r w:rsidRPr="009B6B5E">
        <w:rPr>
          <w:b/>
          <w:sz w:val="20"/>
          <w:szCs w:val="20"/>
          <w:lang w:eastAsia="en-US"/>
        </w:rPr>
        <w:t>Resource Efficiency</w:t>
      </w:r>
    </w:p>
    <w:p w:rsidR="009B6B5E" w:rsidRDefault="009B6B5E" w:rsidP="0033355C">
      <w:pPr>
        <w:spacing w:line="300" w:lineRule="exact"/>
        <w:rPr>
          <w:sz w:val="20"/>
          <w:szCs w:val="20"/>
          <w:lang w:eastAsia="en-US"/>
        </w:rPr>
      </w:pPr>
    </w:p>
    <w:p w:rsidR="009B6B5E" w:rsidRPr="009E699E" w:rsidRDefault="006F1AAC" w:rsidP="0033355C">
      <w:pPr>
        <w:pStyle w:val="Listenabsatz"/>
        <w:numPr>
          <w:ilvl w:val="0"/>
          <w:numId w:val="20"/>
        </w:numPr>
        <w:spacing w:line="300" w:lineRule="exact"/>
        <w:rPr>
          <w:sz w:val="20"/>
          <w:szCs w:val="20"/>
          <w:lang w:eastAsia="en-US"/>
        </w:rPr>
      </w:pPr>
      <w:r>
        <w:rPr>
          <w:sz w:val="20"/>
          <w:szCs w:val="20"/>
          <w:lang w:eastAsia="en-US"/>
        </w:rPr>
        <w:t xml:space="preserve">3. Quartal: </w:t>
      </w:r>
      <w:r w:rsidR="009E699E" w:rsidRPr="009E699E">
        <w:rPr>
          <w:sz w:val="20"/>
          <w:szCs w:val="20"/>
          <w:lang w:eastAsia="en-US"/>
        </w:rPr>
        <w:t>Deutlich höhere</w:t>
      </w:r>
      <w:r w:rsidR="009E699E">
        <w:rPr>
          <w:sz w:val="20"/>
          <w:szCs w:val="20"/>
          <w:lang w:eastAsia="en-US"/>
        </w:rPr>
        <w:t xml:space="preserve"> Nachfrage bei</w:t>
      </w:r>
      <w:r w:rsidR="005B0C41">
        <w:rPr>
          <w:sz w:val="20"/>
          <w:szCs w:val="20"/>
          <w:lang w:eastAsia="en-US"/>
        </w:rPr>
        <w:t xml:space="preserve"> </w:t>
      </w:r>
      <w:r w:rsidR="009E699E">
        <w:rPr>
          <w:sz w:val="20"/>
          <w:szCs w:val="20"/>
          <w:lang w:eastAsia="en-US"/>
        </w:rPr>
        <w:t>stabilen Verkaufspreisen</w:t>
      </w:r>
    </w:p>
    <w:p w:rsidR="009B6B5E" w:rsidRDefault="006F1AAC" w:rsidP="0033355C">
      <w:pPr>
        <w:pStyle w:val="Listenabsatz"/>
        <w:numPr>
          <w:ilvl w:val="0"/>
          <w:numId w:val="20"/>
        </w:numPr>
        <w:spacing w:line="300" w:lineRule="exact"/>
        <w:rPr>
          <w:sz w:val="20"/>
          <w:szCs w:val="20"/>
          <w:lang w:eastAsia="en-US"/>
        </w:rPr>
      </w:pPr>
      <w:r>
        <w:rPr>
          <w:sz w:val="20"/>
          <w:szCs w:val="20"/>
          <w:lang w:eastAsia="en-US"/>
        </w:rPr>
        <w:t xml:space="preserve">3. Quartal: </w:t>
      </w:r>
      <w:r w:rsidR="009E699E">
        <w:rPr>
          <w:sz w:val="20"/>
          <w:szCs w:val="20"/>
          <w:lang w:eastAsia="en-US"/>
        </w:rPr>
        <w:t xml:space="preserve">Bereinigtes EBITDA </w:t>
      </w:r>
      <w:r>
        <w:rPr>
          <w:sz w:val="20"/>
          <w:szCs w:val="20"/>
          <w:lang w:eastAsia="en-US"/>
        </w:rPr>
        <w:t>erneut über Vorjahr</w:t>
      </w:r>
    </w:p>
    <w:p w:rsidR="009B6B5E" w:rsidRPr="009B6B5E" w:rsidRDefault="006F1AAC" w:rsidP="0033355C">
      <w:pPr>
        <w:pStyle w:val="Listenabsatz"/>
        <w:numPr>
          <w:ilvl w:val="0"/>
          <w:numId w:val="20"/>
        </w:numPr>
        <w:spacing w:line="300" w:lineRule="exact"/>
        <w:rPr>
          <w:sz w:val="20"/>
          <w:szCs w:val="20"/>
          <w:lang w:eastAsia="en-US"/>
        </w:rPr>
      </w:pPr>
      <w:r>
        <w:rPr>
          <w:sz w:val="20"/>
          <w:szCs w:val="20"/>
          <w:lang w:eastAsia="en-US"/>
        </w:rPr>
        <w:t xml:space="preserve">Dreivierteljahr: </w:t>
      </w:r>
      <w:r w:rsidR="009E699E">
        <w:rPr>
          <w:sz w:val="20"/>
          <w:szCs w:val="20"/>
          <w:lang w:eastAsia="en-US"/>
        </w:rPr>
        <w:t>Bereinigte EBITDA-Marge steigt auf ausgezeichnete 2</w:t>
      </w:r>
      <w:r w:rsidR="00CE0207">
        <w:rPr>
          <w:sz w:val="20"/>
          <w:szCs w:val="20"/>
          <w:lang w:eastAsia="en-US"/>
        </w:rPr>
        <w:t>2,6</w:t>
      </w:r>
      <w:r w:rsidR="009E699E">
        <w:rPr>
          <w:sz w:val="20"/>
          <w:szCs w:val="20"/>
          <w:lang w:eastAsia="en-US"/>
        </w:rPr>
        <w:t xml:space="preserve"> Prozent</w:t>
      </w:r>
    </w:p>
    <w:p w:rsidR="009B6B5E" w:rsidRDefault="009B6B5E" w:rsidP="0033355C">
      <w:pPr>
        <w:spacing w:line="300" w:lineRule="exact"/>
        <w:rPr>
          <w:sz w:val="20"/>
          <w:szCs w:val="20"/>
          <w:lang w:eastAsia="en-US"/>
        </w:rPr>
      </w:pPr>
      <w:r>
        <w:rPr>
          <w:sz w:val="20"/>
          <w:szCs w:val="20"/>
          <w:lang w:eastAsia="en-US"/>
        </w:rPr>
        <w:br/>
        <w:t xml:space="preserve">Das Segment </w:t>
      </w:r>
      <w:r w:rsidR="00886A4B" w:rsidRPr="000F7737">
        <w:rPr>
          <w:b/>
          <w:sz w:val="20"/>
          <w:szCs w:val="20"/>
          <w:lang w:eastAsia="en-US"/>
        </w:rPr>
        <w:t>Resource Efficiency</w:t>
      </w:r>
      <w:r w:rsidR="00886A4B">
        <w:rPr>
          <w:sz w:val="20"/>
          <w:szCs w:val="20"/>
          <w:lang w:eastAsia="en-US"/>
        </w:rPr>
        <w:t xml:space="preserve"> bietet umweltfreundliche und energieeffiziente Systemlösungen. Ihm sind die beiden Geschäftsbereiche </w:t>
      </w:r>
      <w:proofErr w:type="spellStart"/>
      <w:r w:rsidR="00886A4B">
        <w:rPr>
          <w:sz w:val="20"/>
          <w:szCs w:val="20"/>
          <w:lang w:eastAsia="en-US"/>
        </w:rPr>
        <w:t>Inorganic</w:t>
      </w:r>
      <w:proofErr w:type="spellEnd"/>
      <w:r w:rsidR="00886A4B">
        <w:rPr>
          <w:sz w:val="20"/>
          <w:szCs w:val="20"/>
          <w:lang w:eastAsia="en-US"/>
        </w:rPr>
        <w:t xml:space="preserve"> Materials sowie Coatings &amp; Additives zugeordnet.</w:t>
      </w:r>
    </w:p>
    <w:p w:rsidR="009B6B5E" w:rsidRDefault="009B6B5E" w:rsidP="0033355C">
      <w:pPr>
        <w:spacing w:line="300" w:lineRule="exact"/>
        <w:rPr>
          <w:sz w:val="20"/>
          <w:szCs w:val="20"/>
          <w:lang w:eastAsia="en-US"/>
        </w:rPr>
      </w:pPr>
    </w:p>
    <w:p w:rsidR="009B6B5E" w:rsidRDefault="005B5054" w:rsidP="0033355C">
      <w:pPr>
        <w:spacing w:line="300" w:lineRule="exact"/>
        <w:rPr>
          <w:sz w:val="20"/>
          <w:szCs w:val="20"/>
          <w:lang w:eastAsia="en-US"/>
        </w:rPr>
      </w:pPr>
      <w:r w:rsidRPr="005B5054">
        <w:rPr>
          <w:sz w:val="20"/>
          <w:szCs w:val="20"/>
          <w:lang w:eastAsia="en-US"/>
        </w:rPr>
        <w:t xml:space="preserve">Der </w:t>
      </w:r>
      <w:r w:rsidRPr="005B5054">
        <w:rPr>
          <w:b/>
          <w:sz w:val="20"/>
          <w:szCs w:val="20"/>
          <w:lang w:eastAsia="en-US"/>
        </w:rPr>
        <w:t>Umsatz</w:t>
      </w:r>
      <w:r w:rsidRPr="005B5054">
        <w:rPr>
          <w:sz w:val="20"/>
          <w:szCs w:val="20"/>
          <w:lang w:eastAsia="en-US"/>
        </w:rPr>
        <w:t xml:space="preserve"> stieg i</w:t>
      </w:r>
      <w:r w:rsidR="00CE0207">
        <w:rPr>
          <w:sz w:val="20"/>
          <w:szCs w:val="20"/>
          <w:lang w:eastAsia="en-US"/>
        </w:rPr>
        <w:t xml:space="preserve">n den ersten neun Monaten </w:t>
      </w:r>
      <w:r w:rsidRPr="005B5054">
        <w:rPr>
          <w:sz w:val="20"/>
          <w:szCs w:val="20"/>
          <w:lang w:eastAsia="en-US"/>
        </w:rPr>
        <w:t xml:space="preserve">2014 um </w:t>
      </w:r>
      <w:r w:rsidR="00CE0207">
        <w:rPr>
          <w:sz w:val="20"/>
          <w:szCs w:val="20"/>
          <w:lang w:eastAsia="en-US"/>
        </w:rPr>
        <w:t>3</w:t>
      </w:r>
      <w:r w:rsidRPr="005B5054">
        <w:rPr>
          <w:sz w:val="20"/>
          <w:szCs w:val="20"/>
          <w:lang w:eastAsia="en-US"/>
        </w:rPr>
        <w:t xml:space="preserve"> Prozent auf </w:t>
      </w:r>
      <w:r w:rsidR="00CE0207">
        <w:rPr>
          <w:sz w:val="20"/>
          <w:szCs w:val="20"/>
          <w:lang w:eastAsia="en-US"/>
        </w:rPr>
        <w:t>2.448</w:t>
      </w:r>
      <w:r w:rsidRPr="005B5054">
        <w:rPr>
          <w:sz w:val="20"/>
          <w:szCs w:val="20"/>
          <w:lang w:eastAsia="en-US"/>
        </w:rPr>
        <w:t xml:space="preserve"> Millionen</w:t>
      </w:r>
      <w:r w:rsidR="0049546C">
        <w:rPr>
          <w:sz w:val="20"/>
          <w:szCs w:val="20"/>
          <w:lang w:eastAsia="en-US"/>
        </w:rPr>
        <w:t xml:space="preserve"> </w:t>
      </w:r>
      <w:r w:rsidRPr="005B5054">
        <w:rPr>
          <w:sz w:val="20"/>
          <w:szCs w:val="20"/>
          <w:lang w:eastAsia="en-US"/>
        </w:rPr>
        <w:t>€ (Vorjahres</w:t>
      </w:r>
      <w:r w:rsidR="00CE0207">
        <w:rPr>
          <w:sz w:val="20"/>
          <w:szCs w:val="20"/>
          <w:lang w:eastAsia="en-US"/>
        </w:rPr>
        <w:t>zeitraum</w:t>
      </w:r>
      <w:r w:rsidRPr="005B5054">
        <w:rPr>
          <w:sz w:val="20"/>
          <w:szCs w:val="20"/>
          <w:lang w:eastAsia="en-US"/>
        </w:rPr>
        <w:t xml:space="preserve">: </w:t>
      </w:r>
      <w:r w:rsidR="00CE0207">
        <w:rPr>
          <w:sz w:val="20"/>
          <w:szCs w:val="20"/>
          <w:lang w:eastAsia="en-US"/>
        </w:rPr>
        <w:t>2.376</w:t>
      </w:r>
      <w:r w:rsidRPr="005B5054">
        <w:rPr>
          <w:sz w:val="20"/>
          <w:szCs w:val="20"/>
          <w:lang w:eastAsia="en-US"/>
        </w:rPr>
        <w:t xml:space="preserve"> Millionen €)</w:t>
      </w:r>
      <w:r>
        <w:rPr>
          <w:sz w:val="20"/>
          <w:szCs w:val="20"/>
          <w:lang w:eastAsia="en-US"/>
        </w:rPr>
        <w:t xml:space="preserve">. </w:t>
      </w:r>
      <w:r w:rsidR="00CE0207">
        <w:rPr>
          <w:sz w:val="20"/>
          <w:szCs w:val="20"/>
          <w:lang w:eastAsia="en-US"/>
        </w:rPr>
        <w:t xml:space="preserve">Das Segment erzielte ein deutliches organisches Umsatzwachstum, zu dem fast ausschließlich die spürbaren Mengensteigerungen beitrugen. Negative Währungseffekte wirkten gegenläufig. </w:t>
      </w:r>
      <w:r w:rsidR="005B0C41">
        <w:rPr>
          <w:sz w:val="20"/>
          <w:szCs w:val="20"/>
          <w:lang w:eastAsia="en-US"/>
        </w:rPr>
        <w:t xml:space="preserve">Insbesondere das Geschäft mit Kieselsäuren und </w:t>
      </w:r>
      <w:proofErr w:type="spellStart"/>
      <w:r w:rsidR="005B0C41">
        <w:rPr>
          <w:sz w:val="20"/>
          <w:szCs w:val="20"/>
          <w:lang w:eastAsia="en-US"/>
        </w:rPr>
        <w:t>Silanen</w:t>
      </w:r>
      <w:proofErr w:type="spellEnd"/>
      <w:r w:rsidR="005B0C41">
        <w:rPr>
          <w:sz w:val="20"/>
          <w:szCs w:val="20"/>
          <w:lang w:eastAsia="en-US"/>
        </w:rPr>
        <w:t xml:space="preserve"> </w:t>
      </w:r>
      <w:r w:rsidR="007C4037">
        <w:rPr>
          <w:sz w:val="20"/>
          <w:szCs w:val="20"/>
          <w:lang w:eastAsia="en-US"/>
        </w:rPr>
        <w:t xml:space="preserve">war </w:t>
      </w:r>
      <w:r w:rsidR="005B0C41">
        <w:rPr>
          <w:sz w:val="20"/>
          <w:szCs w:val="20"/>
          <w:lang w:eastAsia="en-US"/>
        </w:rPr>
        <w:t>bei starker Nachfrage aus der Reifenindustrie weiterhin sehr er</w:t>
      </w:r>
      <w:r w:rsidR="006D5289">
        <w:rPr>
          <w:sz w:val="20"/>
          <w:szCs w:val="20"/>
          <w:lang w:eastAsia="en-US"/>
        </w:rPr>
        <w:t>folgreich</w:t>
      </w:r>
      <w:r w:rsidR="005B0C41">
        <w:rPr>
          <w:sz w:val="20"/>
          <w:szCs w:val="20"/>
          <w:lang w:eastAsia="en-US"/>
        </w:rPr>
        <w:t xml:space="preserve">. </w:t>
      </w:r>
      <w:r w:rsidR="007C4037">
        <w:rPr>
          <w:sz w:val="20"/>
          <w:szCs w:val="20"/>
          <w:lang w:eastAsia="en-US"/>
        </w:rPr>
        <w:t xml:space="preserve">Sehr erfreulich verlief auch das Geschäft mit hochwertigen </w:t>
      </w:r>
      <w:proofErr w:type="spellStart"/>
      <w:r w:rsidR="007C4037">
        <w:rPr>
          <w:sz w:val="20"/>
          <w:szCs w:val="20"/>
          <w:lang w:eastAsia="en-US"/>
        </w:rPr>
        <w:t>Vernetzern</w:t>
      </w:r>
      <w:proofErr w:type="spellEnd"/>
      <w:r w:rsidR="007C4037">
        <w:rPr>
          <w:sz w:val="20"/>
          <w:szCs w:val="20"/>
          <w:lang w:eastAsia="en-US"/>
        </w:rPr>
        <w:t xml:space="preserve"> – so genannte</w:t>
      </w:r>
      <w:r w:rsidR="007D4EA6">
        <w:rPr>
          <w:sz w:val="20"/>
          <w:szCs w:val="20"/>
          <w:lang w:eastAsia="en-US"/>
        </w:rPr>
        <w:t>n</w:t>
      </w:r>
      <w:r w:rsidR="007C4037">
        <w:rPr>
          <w:sz w:val="20"/>
          <w:szCs w:val="20"/>
          <w:lang w:eastAsia="en-US"/>
        </w:rPr>
        <w:t xml:space="preserve"> </w:t>
      </w:r>
      <w:proofErr w:type="spellStart"/>
      <w:r w:rsidR="007C4037">
        <w:rPr>
          <w:sz w:val="20"/>
          <w:szCs w:val="20"/>
          <w:lang w:eastAsia="en-US"/>
        </w:rPr>
        <w:t>Crosslinkers</w:t>
      </w:r>
      <w:proofErr w:type="spellEnd"/>
      <w:r w:rsidR="007C4037">
        <w:rPr>
          <w:sz w:val="20"/>
          <w:szCs w:val="20"/>
          <w:lang w:eastAsia="en-US"/>
        </w:rPr>
        <w:t xml:space="preserve"> – sowie Additiven und Spezialbindemitteln. Diese Produkte profitierten vor allem von einer weiter </w:t>
      </w:r>
      <w:r w:rsidR="003F0444">
        <w:rPr>
          <w:sz w:val="20"/>
          <w:szCs w:val="20"/>
          <w:lang w:eastAsia="en-US"/>
        </w:rPr>
        <w:t>guten</w:t>
      </w:r>
      <w:r w:rsidR="007C4037">
        <w:rPr>
          <w:sz w:val="20"/>
          <w:szCs w:val="20"/>
          <w:lang w:eastAsia="en-US"/>
        </w:rPr>
        <w:t xml:space="preserve"> Nachfrage insbesondere aus der Automobil- sowie der Bauindustrie. </w:t>
      </w:r>
      <w:r w:rsidR="00702AA0">
        <w:rPr>
          <w:sz w:val="20"/>
          <w:szCs w:val="20"/>
          <w:lang w:eastAsia="en-US"/>
        </w:rPr>
        <w:t>Insgesamt verbesserte sich d</w:t>
      </w:r>
      <w:r w:rsidR="00BD691D">
        <w:rPr>
          <w:sz w:val="20"/>
          <w:szCs w:val="20"/>
          <w:lang w:eastAsia="en-US"/>
        </w:rPr>
        <w:t xml:space="preserve">as bereinigte </w:t>
      </w:r>
      <w:r w:rsidR="00BD691D" w:rsidRPr="00BD691D">
        <w:rPr>
          <w:b/>
          <w:sz w:val="20"/>
          <w:szCs w:val="20"/>
          <w:lang w:eastAsia="en-US"/>
        </w:rPr>
        <w:t>EBIT</w:t>
      </w:r>
      <w:r w:rsidR="0049546C">
        <w:rPr>
          <w:b/>
          <w:sz w:val="20"/>
          <w:szCs w:val="20"/>
          <w:lang w:eastAsia="en-US"/>
        </w:rPr>
        <w:t>D</w:t>
      </w:r>
      <w:r w:rsidR="00BD691D" w:rsidRPr="00BD691D">
        <w:rPr>
          <w:b/>
          <w:sz w:val="20"/>
          <w:szCs w:val="20"/>
          <w:lang w:eastAsia="en-US"/>
        </w:rPr>
        <w:t>A</w:t>
      </w:r>
      <w:r w:rsidR="00BD691D">
        <w:rPr>
          <w:sz w:val="20"/>
          <w:szCs w:val="20"/>
          <w:lang w:eastAsia="en-US"/>
        </w:rPr>
        <w:t xml:space="preserve"> </w:t>
      </w:r>
      <w:r w:rsidR="00702AA0">
        <w:rPr>
          <w:sz w:val="20"/>
          <w:szCs w:val="20"/>
          <w:lang w:eastAsia="en-US"/>
        </w:rPr>
        <w:t xml:space="preserve">des Segments </w:t>
      </w:r>
      <w:r w:rsidR="00CE0207">
        <w:rPr>
          <w:sz w:val="20"/>
          <w:szCs w:val="20"/>
          <w:lang w:eastAsia="en-US"/>
        </w:rPr>
        <w:t xml:space="preserve">vor allem dank der gestiegenen Mengen und einer hohen Kapazitätsauslastung um </w:t>
      </w:r>
      <w:r w:rsidR="003F0444">
        <w:rPr>
          <w:sz w:val="20"/>
          <w:szCs w:val="20"/>
          <w:lang w:eastAsia="en-US"/>
        </w:rPr>
        <w:t>7</w:t>
      </w:r>
      <w:r w:rsidR="00CE0207">
        <w:rPr>
          <w:sz w:val="20"/>
          <w:szCs w:val="20"/>
          <w:lang w:eastAsia="en-US"/>
        </w:rPr>
        <w:t xml:space="preserve"> Prozent auf 553 Millionen € (Vorjahreszeitraum: 515 Millionen €)</w:t>
      </w:r>
      <w:r w:rsidR="00BD691D">
        <w:rPr>
          <w:sz w:val="20"/>
          <w:szCs w:val="20"/>
          <w:lang w:eastAsia="en-US"/>
        </w:rPr>
        <w:t xml:space="preserve">. Die bereinigte </w:t>
      </w:r>
      <w:r w:rsidR="00BD691D" w:rsidRPr="00BD691D">
        <w:rPr>
          <w:b/>
          <w:sz w:val="20"/>
          <w:szCs w:val="20"/>
          <w:lang w:eastAsia="en-US"/>
        </w:rPr>
        <w:t>EBITDA-Marge</w:t>
      </w:r>
      <w:r w:rsidR="00BD691D">
        <w:rPr>
          <w:sz w:val="20"/>
          <w:szCs w:val="20"/>
          <w:lang w:eastAsia="en-US"/>
        </w:rPr>
        <w:t xml:space="preserve"> stieg von 2</w:t>
      </w:r>
      <w:r w:rsidR="00CE0207">
        <w:rPr>
          <w:sz w:val="20"/>
          <w:szCs w:val="20"/>
          <w:lang w:eastAsia="en-US"/>
        </w:rPr>
        <w:t>1,8</w:t>
      </w:r>
      <w:r w:rsidR="00BD691D">
        <w:rPr>
          <w:sz w:val="20"/>
          <w:szCs w:val="20"/>
          <w:lang w:eastAsia="en-US"/>
        </w:rPr>
        <w:t xml:space="preserve"> Prozent auf 2</w:t>
      </w:r>
      <w:r w:rsidR="00CE0207">
        <w:rPr>
          <w:sz w:val="20"/>
          <w:szCs w:val="20"/>
          <w:lang w:eastAsia="en-US"/>
        </w:rPr>
        <w:t>2,6</w:t>
      </w:r>
      <w:r w:rsidR="00BD691D">
        <w:rPr>
          <w:sz w:val="20"/>
          <w:szCs w:val="20"/>
          <w:lang w:eastAsia="en-US"/>
        </w:rPr>
        <w:t xml:space="preserve"> Prozent.</w:t>
      </w:r>
    </w:p>
    <w:p w:rsidR="009B6B5E" w:rsidRDefault="009B6B5E" w:rsidP="0033355C">
      <w:pPr>
        <w:spacing w:line="300" w:lineRule="exact"/>
        <w:rPr>
          <w:sz w:val="20"/>
          <w:szCs w:val="20"/>
          <w:lang w:eastAsia="en-US"/>
        </w:rPr>
      </w:pPr>
    </w:p>
    <w:p w:rsidR="007C4037" w:rsidRDefault="007C4037">
      <w:pPr>
        <w:spacing w:line="240" w:lineRule="auto"/>
        <w:ind w:left="0" w:right="0"/>
        <w:rPr>
          <w:sz w:val="20"/>
          <w:szCs w:val="20"/>
          <w:lang w:eastAsia="en-US"/>
        </w:rPr>
      </w:pPr>
      <w:r>
        <w:rPr>
          <w:sz w:val="20"/>
          <w:szCs w:val="20"/>
          <w:lang w:eastAsia="en-US"/>
        </w:rPr>
        <w:br w:type="page"/>
      </w:r>
    </w:p>
    <w:p w:rsidR="009B6B5E" w:rsidRPr="00886A4B" w:rsidRDefault="009B6B5E" w:rsidP="0033355C">
      <w:pPr>
        <w:spacing w:line="300" w:lineRule="exact"/>
        <w:rPr>
          <w:b/>
          <w:sz w:val="20"/>
          <w:szCs w:val="20"/>
          <w:lang w:eastAsia="en-US"/>
        </w:rPr>
      </w:pPr>
      <w:r w:rsidRPr="00886A4B">
        <w:rPr>
          <w:b/>
          <w:sz w:val="20"/>
          <w:szCs w:val="20"/>
          <w:lang w:eastAsia="en-US"/>
        </w:rPr>
        <w:lastRenderedPageBreak/>
        <w:t>Specialty Materials</w:t>
      </w:r>
    </w:p>
    <w:p w:rsidR="009B6B5E" w:rsidRDefault="009B6B5E" w:rsidP="0033355C">
      <w:pPr>
        <w:spacing w:line="300" w:lineRule="exact"/>
        <w:rPr>
          <w:sz w:val="20"/>
          <w:szCs w:val="20"/>
          <w:lang w:eastAsia="en-US"/>
        </w:rPr>
      </w:pPr>
    </w:p>
    <w:p w:rsidR="009B6B5E" w:rsidRPr="009B6B5E" w:rsidRDefault="006F1AAC" w:rsidP="0033355C">
      <w:pPr>
        <w:pStyle w:val="Listenabsatz"/>
        <w:numPr>
          <w:ilvl w:val="0"/>
          <w:numId w:val="20"/>
        </w:numPr>
        <w:spacing w:line="300" w:lineRule="exact"/>
        <w:rPr>
          <w:sz w:val="20"/>
          <w:szCs w:val="20"/>
          <w:lang w:eastAsia="en-US"/>
        </w:rPr>
      </w:pPr>
      <w:r>
        <w:rPr>
          <w:sz w:val="20"/>
          <w:szCs w:val="20"/>
          <w:lang w:eastAsia="en-US"/>
        </w:rPr>
        <w:t xml:space="preserve">3. Quartal: </w:t>
      </w:r>
      <w:r w:rsidR="00EE2579">
        <w:rPr>
          <w:sz w:val="20"/>
          <w:szCs w:val="20"/>
          <w:lang w:eastAsia="en-US"/>
        </w:rPr>
        <w:t>Gegenüber Vorjahr gestiegene</w:t>
      </w:r>
      <w:r w:rsidR="009E699E">
        <w:rPr>
          <w:sz w:val="20"/>
          <w:szCs w:val="20"/>
          <w:lang w:eastAsia="en-US"/>
        </w:rPr>
        <w:t xml:space="preserve"> Mengen</w:t>
      </w:r>
      <w:r w:rsidR="0027541D">
        <w:rPr>
          <w:sz w:val="20"/>
          <w:szCs w:val="20"/>
          <w:lang w:eastAsia="en-US"/>
        </w:rPr>
        <w:t xml:space="preserve"> bei </w:t>
      </w:r>
      <w:r w:rsidR="00EE2579">
        <w:rPr>
          <w:sz w:val="20"/>
          <w:szCs w:val="20"/>
          <w:lang w:eastAsia="en-US"/>
        </w:rPr>
        <w:t xml:space="preserve">nahezu </w:t>
      </w:r>
      <w:r w:rsidR="0027541D">
        <w:rPr>
          <w:sz w:val="20"/>
          <w:szCs w:val="20"/>
          <w:lang w:eastAsia="en-US"/>
        </w:rPr>
        <w:t>stabilen</w:t>
      </w:r>
      <w:r w:rsidR="007C4037">
        <w:rPr>
          <w:sz w:val="20"/>
          <w:szCs w:val="20"/>
          <w:lang w:eastAsia="en-US"/>
        </w:rPr>
        <w:t xml:space="preserve"> Verkaufspreise</w:t>
      </w:r>
      <w:r w:rsidR="0027541D">
        <w:rPr>
          <w:sz w:val="20"/>
          <w:szCs w:val="20"/>
          <w:lang w:eastAsia="en-US"/>
        </w:rPr>
        <w:t>n</w:t>
      </w:r>
    </w:p>
    <w:p w:rsidR="009B6B5E" w:rsidRPr="009B6B5E" w:rsidRDefault="006F1AAC" w:rsidP="0033355C">
      <w:pPr>
        <w:pStyle w:val="Listenabsatz"/>
        <w:numPr>
          <w:ilvl w:val="0"/>
          <w:numId w:val="20"/>
        </w:numPr>
        <w:spacing w:line="300" w:lineRule="exact"/>
        <w:rPr>
          <w:sz w:val="20"/>
          <w:szCs w:val="20"/>
          <w:lang w:eastAsia="en-US"/>
        </w:rPr>
      </w:pPr>
      <w:r>
        <w:rPr>
          <w:sz w:val="20"/>
          <w:szCs w:val="20"/>
          <w:lang w:eastAsia="en-US"/>
        </w:rPr>
        <w:t xml:space="preserve">3. Quartal: </w:t>
      </w:r>
      <w:r w:rsidR="009E699E">
        <w:rPr>
          <w:sz w:val="20"/>
          <w:szCs w:val="20"/>
          <w:lang w:eastAsia="en-US"/>
        </w:rPr>
        <w:t xml:space="preserve">Bereinigtes EBITDA </w:t>
      </w:r>
      <w:r w:rsidR="00EE2579">
        <w:rPr>
          <w:sz w:val="20"/>
          <w:szCs w:val="20"/>
          <w:lang w:eastAsia="en-US"/>
        </w:rPr>
        <w:t>über Vorquartalen</w:t>
      </w:r>
    </w:p>
    <w:p w:rsidR="00D509E1" w:rsidRPr="009B6B5E" w:rsidRDefault="006F1AAC" w:rsidP="0033355C">
      <w:pPr>
        <w:pStyle w:val="Listenabsatz"/>
        <w:numPr>
          <w:ilvl w:val="0"/>
          <w:numId w:val="20"/>
        </w:numPr>
        <w:spacing w:line="300" w:lineRule="exact"/>
        <w:rPr>
          <w:sz w:val="20"/>
          <w:szCs w:val="20"/>
          <w:lang w:eastAsia="en-US"/>
        </w:rPr>
      </w:pPr>
      <w:r>
        <w:rPr>
          <w:sz w:val="20"/>
          <w:szCs w:val="20"/>
          <w:lang w:eastAsia="en-US"/>
        </w:rPr>
        <w:t xml:space="preserve">Dreivierteljahr: </w:t>
      </w:r>
      <w:r w:rsidR="009E699E">
        <w:rPr>
          <w:sz w:val="20"/>
          <w:szCs w:val="20"/>
          <w:lang w:eastAsia="en-US"/>
        </w:rPr>
        <w:t xml:space="preserve">Bereinigte EBITDA-Marge verringert sich auf </w:t>
      </w:r>
      <w:r w:rsidR="001F513B">
        <w:rPr>
          <w:sz w:val="20"/>
          <w:szCs w:val="20"/>
          <w:lang w:eastAsia="en-US"/>
        </w:rPr>
        <w:t xml:space="preserve">schwache </w:t>
      </w:r>
      <w:r w:rsidR="00352726">
        <w:rPr>
          <w:sz w:val="20"/>
          <w:szCs w:val="20"/>
          <w:lang w:eastAsia="en-US"/>
        </w:rPr>
        <w:t>10,0</w:t>
      </w:r>
      <w:r w:rsidR="009E699E">
        <w:rPr>
          <w:sz w:val="20"/>
          <w:szCs w:val="20"/>
          <w:lang w:eastAsia="en-US"/>
        </w:rPr>
        <w:t xml:space="preserve"> Prozent</w:t>
      </w:r>
    </w:p>
    <w:p w:rsidR="00886A4B" w:rsidRPr="00886A4B" w:rsidRDefault="00886A4B" w:rsidP="0033355C">
      <w:pPr>
        <w:spacing w:line="300" w:lineRule="exact"/>
        <w:rPr>
          <w:sz w:val="20"/>
          <w:szCs w:val="20"/>
          <w:lang w:eastAsia="en-US"/>
        </w:rPr>
      </w:pPr>
    </w:p>
    <w:p w:rsidR="00886A4B" w:rsidRPr="00886A4B" w:rsidRDefault="00886A4B" w:rsidP="0033355C">
      <w:pPr>
        <w:spacing w:line="300" w:lineRule="exact"/>
        <w:rPr>
          <w:sz w:val="20"/>
          <w:szCs w:val="20"/>
          <w:lang w:eastAsia="en-US"/>
        </w:rPr>
      </w:pPr>
      <w:r>
        <w:rPr>
          <w:sz w:val="20"/>
          <w:szCs w:val="20"/>
          <w:lang w:eastAsia="en-US"/>
        </w:rPr>
        <w:t xml:space="preserve">Im Mittelpunkt des Segments </w:t>
      </w:r>
      <w:r w:rsidRPr="00886A4B">
        <w:rPr>
          <w:b/>
          <w:sz w:val="20"/>
          <w:szCs w:val="20"/>
          <w:lang w:eastAsia="en-US"/>
        </w:rPr>
        <w:t>Specialty Materials</w:t>
      </w:r>
      <w:r>
        <w:rPr>
          <w:sz w:val="20"/>
          <w:szCs w:val="20"/>
          <w:lang w:eastAsia="en-US"/>
        </w:rPr>
        <w:t xml:space="preserve"> steht die Herstellung von polymeren Werkstoffen sowie Zwischenprodukten vor allem für die Gummi- und Kunststoffindustrie. Es gliedert sich in die Geschäftsbereiche Performance Polymers und </w:t>
      </w:r>
      <w:proofErr w:type="spellStart"/>
      <w:r>
        <w:rPr>
          <w:sz w:val="20"/>
          <w:szCs w:val="20"/>
          <w:lang w:eastAsia="en-US"/>
        </w:rPr>
        <w:t>Advanced</w:t>
      </w:r>
      <w:proofErr w:type="spellEnd"/>
      <w:r>
        <w:rPr>
          <w:sz w:val="20"/>
          <w:szCs w:val="20"/>
          <w:lang w:eastAsia="en-US"/>
        </w:rPr>
        <w:t xml:space="preserve"> Intermediates.</w:t>
      </w:r>
    </w:p>
    <w:p w:rsidR="00886A4B" w:rsidRPr="00886A4B" w:rsidRDefault="00886A4B" w:rsidP="0033355C">
      <w:pPr>
        <w:spacing w:line="300" w:lineRule="exact"/>
        <w:rPr>
          <w:sz w:val="20"/>
          <w:szCs w:val="20"/>
          <w:lang w:eastAsia="en-US"/>
        </w:rPr>
      </w:pPr>
    </w:p>
    <w:p w:rsidR="00886A4B" w:rsidRDefault="00BD691D" w:rsidP="0033355C">
      <w:pPr>
        <w:spacing w:line="300" w:lineRule="exact"/>
        <w:rPr>
          <w:sz w:val="20"/>
          <w:szCs w:val="20"/>
          <w:lang w:eastAsia="en-US"/>
        </w:rPr>
      </w:pPr>
      <w:r>
        <w:rPr>
          <w:sz w:val="20"/>
          <w:szCs w:val="20"/>
          <w:lang w:eastAsia="en-US"/>
        </w:rPr>
        <w:t xml:space="preserve">Der </w:t>
      </w:r>
      <w:r w:rsidRPr="00BD691D">
        <w:rPr>
          <w:b/>
          <w:sz w:val="20"/>
          <w:szCs w:val="20"/>
          <w:lang w:eastAsia="en-US"/>
        </w:rPr>
        <w:t>Umsatz</w:t>
      </w:r>
      <w:r>
        <w:rPr>
          <w:sz w:val="20"/>
          <w:szCs w:val="20"/>
          <w:lang w:eastAsia="en-US"/>
        </w:rPr>
        <w:t xml:space="preserve"> nahm i</w:t>
      </w:r>
      <w:r w:rsidR="00352726">
        <w:rPr>
          <w:sz w:val="20"/>
          <w:szCs w:val="20"/>
          <w:lang w:eastAsia="en-US"/>
        </w:rPr>
        <w:t xml:space="preserve">n den ersten neun Monaten </w:t>
      </w:r>
      <w:r>
        <w:rPr>
          <w:sz w:val="20"/>
          <w:szCs w:val="20"/>
          <w:lang w:eastAsia="en-US"/>
        </w:rPr>
        <w:t xml:space="preserve">2014 um 2 Prozent auf </w:t>
      </w:r>
      <w:r w:rsidR="00526097">
        <w:rPr>
          <w:sz w:val="20"/>
          <w:szCs w:val="20"/>
          <w:lang w:eastAsia="en-US"/>
        </w:rPr>
        <w:t>3.510</w:t>
      </w:r>
      <w:r>
        <w:rPr>
          <w:sz w:val="20"/>
          <w:szCs w:val="20"/>
          <w:lang w:eastAsia="en-US"/>
        </w:rPr>
        <w:t xml:space="preserve"> Millionen € zu (Vorjahres</w:t>
      </w:r>
      <w:r w:rsidR="00526097">
        <w:rPr>
          <w:sz w:val="20"/>
          <w:szCs w:val="20"/>
          <w:lang w:eastAsia="en-US"/>
        </w:rPr>
        <w:t>zeitraum</w:t>
      </w:r>
      <w:r>
        <w:rPr>
          <w:sz w:val="20"/>
          <w:szCs w:val="20"/>
          <w:lang w:eastAsia="en-US"/>
        </w:rPr>
        <w:t xml:space="preserve">: </w:t>
      </w:r>
      <w:r w:rsidR="00526097">
        <w:rPr>
          <w:sz w:val="20"/>
          <w:szCs w:val="20"/>
          <w:lang w:eastAsia="en-US"/>
        </w:rPr>
        <w:t>3.431</w:t>
      </w:r>
      <w:r>
        <w:rPr>
          <w:sz w:val="20"/>
          <w:szCs w:val="20"/>
          <w:lang w:eastAsia="en-US"/>
        </w:rPr>
        <w:t xml:space="preserve"> Millionen €). </w:t>
      </w:r>
      <w:r w:rsidR="00C56D35">
        <w:rPr>
          <w:sz w:val="20"/>
          <w:szCs w:val="20"/>
          <w:lang w:eastAsia="en-US"/>
        </w:rPr>
        <w:t xml:space="preserve">Hierzu trugen deutlich höhere Absatzmengen bei, während </w:t>
      </w:r>
      <w:r w:rsidR="007C4037">
        <w:rPr>
          <w:sz w:val="20"/>
          <w:szCs w:val="20"/>
          <w:lang w:eastAsia="en-US"/>
        </w:rPr>
        <w:t xml:space="preserve">insbesondere </w:t>
      </w:r>
      <w:r w:rsidR="00C56D35">
        <w:rPr>
          <w:sz w:val="20"/>
          <w:szCs w:val="20"/>
          <w:lang w:eastAsia="en-US"/>
        </w:rPr>
        <w:t xml:space="preserve">geringere Verkaufspreise, </w:t>
      </w:r>
      <w:r w:rsidR="007C4037" w:rsidRPr="0027541D">
        <w:rPr>
          <w:sz w:val="20"/>
          <w:szCs w:val="20"/>
          <w:lang w:eastAsia="en-US"/>
        </w:rPr>
        <w:t>vor allem</w:t>
      </w:r>
      <w:r w:rsidR="00C56D35" w:rsidRPr="0027541D">
        <w:rPr>
          <w:sz w:val="20"/>
          <w:szCs w:val="20"/>
          <w:lang w:eastAsia="en-US"/>
        </w:rPr>
        <w:t xml:space="preserve"> für Butadien</w:t>
      </w:r>
      <w:r w:rsidR="00C56D35">
        <w:rPr>
          <w:sz w:val="20"/>
          <w:szCs w:val="20"/>
          <w:lang w:eastAsia="en-US"/>
        </w:rPr>
        <w:t>, den Umsatzanstieg minderten.</w:t>
      </w:r>
      <w:r w:rsidR="00D6794F">
        <w:rPr>
          <w:sz w:val="20"/>
          <w:szCs w:val="20"/>
          <w:lang w:eastAsia="en-US"/>
        </w:rPr>
        <w:t xml:space="preserve"> Eine rückläufige Mengenentwicklung verzeichneten insbesondere </w:t>
      </w:r>
      <w:proofErr w:type="spellStart"/>
      <w:r w:rsidR="00D6794F">
        <w:rPr>
          <w:sz w:val="20"/>
          <w:szCs w:val="20"/>
          <w:lang w:eastAsia="en-US"/>
        </w:rPr>
        <w:t>Methacrylate</w:t>
      </w:r>
      <w:proofErr w:type="spellEnd"/>
      <w:r w:rsidR="00D6794F">
        <w:rPr>
          <w:sz w:val="20"/>
          <w:szCs w:val="20"/>
          <w:lang w:eastAsia="en-US"/>
        </w:rPr>
        <w:t xml:space="preserve">, während </w:t>
      </w:r>
      <w:r w:rsidR="0027541D">
        <w:rPr>
          <w:sz w:val="20"/>
          <w:szCs w:val="20"/>
          <w:lang w:eastAsia="en-US"/>
        </w:rPr>
        <w:t xml:space="preserve">sich </w:t>
      </w:r>
      <w:r w:rsidR="00D6794F">
        <w:rPr>
          <w:sz w:val="20"/>
          <w:szCs w:val="20"/>
          <w:lang w:eastAsia="en-US"/>
        </w:rPr>
        <w:t>die Nachfrage nach Po</w:t>
      </w:r>
      <w:r w:rsidR="007C4037">
        <w:rPr>
          <w:sz w:val="20"/>
          <w:szCs w:val="20"/>
          <w:lang w:eastAsia="en-US"/>
        </w:rPr>
        <w:t>l</w:t>
      </w:r>
      <w:r w:rsidR="00D6794F">
        <w:rPr>
          <w:sz w:val="20"/>
          <w:szCs w:val="20"/>
          <w:lang w:eastAsia="en-US"/>
        </w:rPr>
        <w:t xml:space="preserve">yamid 12-Produkten </w:t>
      </w:r>
      <w:r w:rsidR="0027541D">
        <w:rPr>
          <w:sz w:val="20"/>
          <w:szCs w:val="20"/>
          <w:lang w:eastAsia="en-US"/>
        </w:rPr>
        <w:t>weiterhin stabil zeigte</w:t>
      </w:r>
      <w:r w:rsidR="00D6794F">
        <w:rPr>
          <w:sz w:val="20"/>
          <w:szCs w:val="20"/>
          <w:lang w:eastAsia="en-US"/>
        </w:rPr>
        <w:t xml:space="preserve">. </w:t>
      </w:r>
      <w:r w:rsidR="001752E2">
        <w:rPr>
          <w:sz w:val="20"/>
          <w:szCs w:val="20"/>
          <w:lang w:eastAsia="en-US"/>
        </w:rPr>
        <w:t>E</w:t>
      </w:r>
      <w:r w:rsidR="00D6794F">
        <w:rPr>
          <w:sz w:val="20"/>
          <w:szCs w:val="20"/>
          <w:lang w:eastAsia="en-US"/>
        </w:rPr>
        <w:t>rfreulich war das weiterhin deutliche Mengenwachstum des Geschäfts</w:t>
      </w:r>
      <w:r w:rsidR="00235692">
        <w:rPr>
          <w:sz w:val="20"/>
          <w:szCs w:val="20"/>
          <w:lang w:eastAsia="en-US"/>
        </w:rPr>
        <w:t>bereich</w:t>
      </w:r>
      <w:r w:rsidR="0027541D">
        <w:rPr>
          <w:sz w:val="20"/>
          <w:szCs w:val="20"/>
          <w:lang w:eastAsia="en-US"/>
        </w:rPr>
        <w:t>s</w:t>
      </w:r>
      <w:r w:rsidR="00D6794F">
        <w:rPr>
          <w:sz w:val="20"/>
          <w:szCs w:val="20"/>
          <w:lang w:eastAsia="en-US"/>
        </w:rPr>
        <w:t xml:space="preserve"> </w:t>
      </w:r>
      <w:proofErr w:type="spellStart"/>
      <w:r w:rsidR="00D6794F">
        <w:rPr>
          <w:sz w:val="20"/>
          <w:szCs w:val="20"/>
          <w:lang w:eastAsia="en-US"/>
        </w:rPr>
        <w:t>Advanced</w:t>
      </w:r>
      <w:proofErr w:type="spellEnd"/>
      <w:r w:rsidR="00D6794F">
        <w:rPr>
          <w:sz w:val="20"/>
          <w:szCs w:val="20"/>
          <w:lang w:eastAsia="en-US"/>
        </w:rPr>
        <w:t xml:space="preserve"> Intermediates, wozu vor allem die neuen Produktionsanlagen für Wasserstoffperoxid in China sowie für Katalysatoren zur Biodieselproduktion in </w:t>
      </w:r>
      <w:r w:rsidR="007C4037">
        <w:rPr>
          <w:sz w:val="20"/>
          <w:szCs w:val="20"/>
          <w:lang w:eastAsia="en-US"/>
        </w:rPr>
        <w:t>Argentinien</w:t>
      </w:r>
      <w:r w:rsidR="00D6794F">
        <w:rPr>
          <w:sz w:val="20"/>
          <w:szCs w:val="20"/>
          <w:lang w:eastAsia="en-US"/>
        </w:rPr>
        <w:t xml:space="preserve"> beitrugen. </w:t>
      </w:r>
      <w:r w:rsidR="00370C23">
        <w:rPr>
          <w:sz w:val="20"/>
          <w:szCs w:val="20"/>
          <w:lang w:eastAsia="en-US"/>
        </w:rPr>
        <w:t xml:space="preserve">Das bereinigte </w:t>
      </w:r>
      <w:r w:rsidR="00370C23" w:rsidRPr="00370C23">
        <w:rPr>
          <w:b/>
          <w:sz w:val="20"/>
          <w:szCs w:val="20"/>
          <w:lang w:eastAsia="en-US"/>
        </w:rPr>
        <w:t>EBITDA</w:t>
      </w:r>
      <w:r w:rsidR="00370C23">
        <w:rPr>
          <w:sz w:val="20"/>
          <w:szCs w:val="20"/>
          <w:lang w:eastAsia="en-US"/>
        </w:rPr>
        <w:t xml:space="preserve"> </w:t>
      </w:r>
      <w:r w:rsidR="00BD285A">
        <w:rPr>
          <w:sz w:val="20"/>
          <w:szCs w:val="20"/>
          <w:lang w:eastAsia="en-US"/>
        </w:rPr>
        <w:t xml:space="preserve">des Segments </w:t>
      </w:r>
      <w:r w:rsidR="00370C23">
        <w:rPr>
          <w:sz w:val="20"/>
          <w:szCs w:val="20"/>
          <w:lang w:eastAsia="en-US"/>
        </w:rPr>
        <w:t xml:space="preserve">verringerte sich </w:t>
      </w:r>
      <w:r w:rsidR="00553791">
        <w:rPr>
          <w:sz w:val="20"/>
          <w:szCs w:val="20"/>
          <w:lang w:eastAsia="en-US"/>
        </w:rPr>
        <w:t xml:space="preserve">insbesondere </w:t>
      </w:r>
      <w:r w:rsidR="00370C23">
        <w:rPr>
          <w:sz w:val="20"/>
          <w:szCs w:val="20"/>
          <w:lang w:eastAsia="en-US"/>
        </w:rPr>
        <w:t>infolge der rückläufigen Verkaufspreise um 2</w:t>
      </w:r>
      <w:r w:rsidR="00526097">
        <w:rPr>
          <w:sz w:val="20"/>
          <w:szCs w:val="20"/>
          <w:lang w:eastAsia="en-US"/>
        </w:rPr>
        <w:t>3</w:t>
      </w:r>
      <w:r w:rsidR="00370C23">
        <w:rPr>
          <w:sz w:val="20"/>
          <w:szCs w:val="20"/>
          <w:lang w:eastAsia="en-US"/>
        </w:rPr>
        <w:t xml:space="preserve"> Prozent auf </w:t>
      </w:r>
      <w:r w:rsidR="00526097">
        <w:rPr>
          <w:sz w:val="20"/>
          <w:szCs w:val="20"/>
          <w:lang w:eastAsia="en-US"/>
        </w:rPr>
        <w:t>352</w:t>
      </w:r>
      <w:r w:rsidR="00370C23">
        <w:rPr>
          <w:sz w:val="20"/>
          <w:szCs w:val="20"/>
          <w:lang w:eastAsia="en-US"/>
        </w:rPr>
        <w:t xml:space="preserve"> Millionen € (Vorjahres</w:t>
      </w:r>
      <w:r w:rsidR="00526097">
        <w:rPr>
          <w:sz w:val="20"/>
          <w:szCs w:val="20"/>
          <w:lang w:eastAsia="en-US"/>
        </w:rPr>
        <w:t>zeitraum</w:t>
      </w:r>
      <w:r w:rsidR="00370C23">
        <w:rPr>
          <w:sz w:val="20"/>
          <w:szCs w:val="20"/>
          <w:lang w:eastAsia="en-US"/>
        </w:rPr>
        <w:t xml:space="preserve">: </w:t>
      </w:r>
      <w:r w:rsidR="00526097">
        <w:rPr>
          <w:sz w:val="20"/>
          <w:szCs w:val="20"/>
          <w:lang w:eastAsia="en-US"/>
        </w:rPr>
        <w:t>457</w:t>
      </w:r>
      <w:r w:rsidR="00370C23">
        <w:rPr>
          <w:sz w:val="20"/>
          <w:szCs w:val="20"/>
          <w:lang w:eastAsia="en-US"/>
        </w:rPr>
        <w:t xml:space="preserve"> Millionen €). Die bereinigte </w:t>
      </w:r>
      <w:r w:rsidR="00370C23" w:rsidRPr="00370C23">
        <w:rPr>
          <w:b/>
          <w:sz w:val="20"/>
          <w:szCs w:val="20"/>
          <w:lang w:eastAsia="en-US"/>
        </w:rPr>
        <w:t>EBITDA-Marge</w:t>
      </w:r>
      <w:r w:rsidR="00370C23">
        <w:rPr>
          <w:sz w:val="20"/>
          <w:szCs w:val="20"/>
          <w:lang w:eastAsia="en-US"/>
        </w:rPr>
        <w:t xml:space="preserve"> ging von 13,</w:t>
      </w:r>
      <w:r w:rsidR="00526097">
        <w:rPr>
          <w:sz w:val="20"/>
          <w:szCs w:val="20"/>
          <w:lang w:eastAsia="en-US"/>
        </w:rPr>
        <w:t>3</w:t>
      </w:r>
      <w:r w:rsidR="00370C23">
        <w:rPr>
          <w:sz w:val="20"/>
          <w:szCs w:val="20"/>
          <w:lang w:eastAsia="en-US"/>
        </w:rPr>
        <w:t xml:space="preserve"> Prozent auf </w:t>
      </w:r>
      <w:r w:rsidR="00526097">
        <w:rPr>
          <w:sz w:val="20"/>
          <w:szCs w:val="20"/>
          <w:lang w:eastAsia="en-US"/>
        </w:rPr>
        <w:t>10,0</w:t>
      </w:r>
      <w:r w:rsidR="00370C23">
        <w:rPr>
          <w:sz w:val="20"/>
          <w:szCs w:val="20"/>
          <w:lang w:eastAsia="en-US"/>
        </w:rPr>
        <w:t xml:space="preserve"> Prozent zurück.</w:t>
      </w:r>
    </w:p>
    <w:p w:rsidR="00F86F92" w:rsidRDefault="00F86F92" w:rsidP="0033355C">
      <w:pPr>
        <w:spacing w:line="300" w:lineRule="exact"/>
        <w:rPr>
          <w:sz w:val="20"/>
          <w:szCs w:val="20"/>
          <w:lang w:eastAsia="en-US"/>
        </w:rPr>
      </w:pPr>
    </w:p>
    <w:p w:rsidR="00886A4B" w:rsidRPr="00886A4B" w:rsidRDefault="00886A4B" w:rsidP="0033355C">
      <w:pPr>
        <w:spacing w:line="300" w:lineRule="exact"/>
        <w:rPr>
          <w:sz w:val="20"/>
          <w:szCs w:val="20"/>
          <w:lang w:eastAsia="en-US"/>
        </w:rPr>
      </w:pPr>
    </w:p>
    <w:p w:rsidR="00665480" w:rsidRPr="00003DAF" w:rsidRDefault="009B6B5E" w:rsidP="0033355C">
      <w:pPr>
        <w:spacing w:line="300" w:lineRule="exact"/>
        <w:rPr>
          <w:b/>
          <w:sz w:val="20"/>
          <w:szCs w:val="20"/>
          <w:lang w:eastAsia="en-US"/>
        </w:rPr>
      </w:pPr>
      <w:r w:rsidRPr="00003DAF">
        <w:rPr>
          <w:b/>
          <w:sz w:val="20"/>
          <w:szCs w:val="20"/>
          <w:lang w:eastAsia="en-US"/>
        </w:rPr>
        <w:t>Services</w:t>
      </w:r>
    </w:p>
    <w:p w:rsidR="009B6B5E" w:rsidRDefault="009B6B5E" w:rsidP="0033355C">
      <w:pPr>
        <w:spacing w:line="300" w:lineRule="exact"/>
        <w:rPr>
          <w:sz w:val="20"/>
          <w:szCs w:val="20"/>
          <w:lang w:eastAsia="en-US"/>
        </w:rPr>
      </w:pPr>
    </w:p>
    <w:p w:rsidR="009B6B5E" w:rsidRDefault="009B6B5E" w:rsidP="0033355C">
      <w:pPr>
        <w:spacing w:line="300" w:lineRule="exact"/>
        <w:rPr>
          <w:sz w:val="20"/>
          <w:szCs w:val="20"/>
          <w:lang w:eastAsia="en-US"/>
        </w:rPr>
      </w:pPr>
      <w:r>
        <w:rPr>
          <w:sz w:val="20"/>
          <w:szCs w:val="20"/>
          <w:lang w:eastAsia="en-US"/>
        </w:rPr>
        <w:t xml:space="preserve">Das Segment </w:t>
      </w:r>
      <w:r w:rsidR="00886A4B" w:rsidRPr="000F7737">
        <w:rPr>
          <w:b/>
          <w:sz w:val="20"/>
          <w:szCs w:val="20"/>
          <w:lang w:eastAsia="en-US"/>
        </w:rPr>
        <w:t>Services</w:t>
      </w:r>
      <w:r w:rsidR="00886A4B">
        <w:rPr>
          <w:sz w:val="20"/>
          <w:szCs w:val="20"/>
          <w:lang w:eastAsia="en-US"/>
        </w:rPr>
        <w:t xml:space="preserve"> erbringt seine Dienstleistungen vor allem für die operativen Spezialchemiegeschäfte und das Corporate Center von Evonik sowie für Dritte</w:t>
      </w:r>
      <w:r w:rsidR="00370C23">
        <w:rPr>
          <w:sz w:val="20"/>
          <w:szCs w:val="20"/>
          <w:lang w:eastAsia="en-US"/>
        </w:rPr>
        <w:t>.</w:t>
      </w:r>
    </w:p>
    <w:p w:rsidR="00003DAF" w:rsidRDefault="00003DAF" w:rsidP="0033355C">
      <w:pPr>
        <w:spacing w:line="300" w:lineRule="exact"/>
        <w:rPr>
          <w:sz w:val="20"/>
          <w:szCs w:val="20"/>
          <w:lang w:eastAsia="en-US"/>
        </w:rPr>
      </w:pPr>
    </w:p>
    <w:p w:rsidR="00003DAF" w:rsidRDefault="00A73B2A" w:rsidP="0033355C">
      <w:pPr>
        <w:spacing w:line="300" w:lineRule="exact"/>
        <w:rPr>
          <w:sz w:val="20"/>
          <w:szCs w:val="20"/>
          <w:lang w:eastAsia="en-US"/>
        </w:rPr>
      </w:pPr>
      <w:r>
        <w:rPr>
          <w:sz w:val="20"/>
          <w:szCs w:val="20"/>
          <w:lang w:eastAsia="en-US"/>
        </w:rPr>
        <w:t xml:space="preserve">Der </w:t>
      </w:r>
      <w:r w:rsidR="00D303D2">
        <w:rPr>
          <w:b/>
          <w:sz w:val="20"/>
          <w:szCs w:val="20"/>
          <w:lang w:eastAsia="en-US"/>
        </w:rPr>
        <w:t>U</w:t>
      </w:r>
      <w:r w:rsidRPr="005F7782">
        <w:rPr>
          <w:b/>
          <w:sz w:val="20"/>
          <w:szCs w:val="20"/>
          <w:lang w:eastAsia="en-US"/>
        </w:rPr>
        <w:t>msatz</w:t>
      </w:r>
      <w:r>
        <w:rPr>
          <w:sz w:val="20"/>
          <w:szCs w:val="20"/>
          <w:lang w:eastAsia="en-US"/>
        </w:rPr>
        <w:t xml:space="preserve"> </w:t>
      </w:r>
      <w:r w:rsidR="00EA2123">
        <w:rPr>
          <w:sz w:val="20"/>
          <w:szCs w:val="20"/>
          <w:lang w:eastAsia="en-US"/>
        </w:rPr>
        <w:t xml:space="preserve">erhöhte sich </w:t>
      </w:r>
      <w:r>
        <w:rPr>
          <w:sz w:val="20"/>
          <w:szCs w:val="20"/>
          <w:lang w:eastAsia="en-US"/>
        </w:rPr>
        <w:t>i</w:t>
      </w:r>
      <w:r w:rsidR="00EA2123">
        <w:rPr>
          <w:sz w:val="20"/>
          <w:szCs w:val="20"/>
          <w:lang w:eastAsia="en-US"/>
        </w:rPr>
        <w:t>n den ersten neun Monaten</w:t>
      </w:r>
      <w:r w:rsidR="00D303D2">
        <w:rPr>
          <w:sz w:val="20"/>
          <w:szCs w:val="20"/>
          <w:lang w:eastAsia="en-US"/>
        </w:rPr>
        <w:t xml:space="preserve"> 2014 um </w:t>
      </w:r>
      <w:r w:rsidR="00EA2123">
        <w:rPr>
          <w:sz w:val="20"/>
          <w:szCs w:val="20"/>
          <w:lang w:eastAsia="en-US"/>
        </w:rPr>
        <w:t>1</w:t>
      </w:r>
      <w:r>
        <w:rPr>
          <w:sz w:val="20"/>
          <w:szCs w:val="20"/>
          <w:lang w:eastAsia="en-US"/>
        </w:rPr>
        <w:t xml:space="preserve"> Prozent auf </w:t>
      </w:r>
      <w:r w:rsidR="00EA2123">
        <w:rPr>
          <w:sz w:val="20"/>
          <w:szCs w:val="20"/>
          <w:lang w:eastAsia="en-US"/>
        </w:rPr>
        <w:t>663</w:t>
      </w:r>
      <w:r>
        <w:rPr>
          <w:sz w:val="20"/>
          <w:szCs w:val="20"/>
          <w:lang w:eastAsia="en-US"/>
        </w:rPr>
        <w:t xml:space="preserve"> Millionen € (Vorjahres</w:t>
      </w:r>
      <w:r w:rsidR="00EA2123">
        <w:rPr>
          <w:sz w:val="20"/>
          <w:szCs w:val="20"/>
          <w:lang w:eastAsia="en-US"/>
        </w:rPr>
        <w:t>zeitraum</w:t>
      </w:r>
      <w:r>
        <w:rPr>
          <w:sz w:val="20"/>
          <w:szCs w:val="20"/>
          <w:lang w:eastAsia="en-US"/>
        </w:rPr>
        <w:t xml:space="preserve">: </w:t>
      </w:r>
      <w:r w:rsidR="00EA2123">
        <w:rPr>
          <w:sz w:val="20"/>
          <w:szCs w:val="20"/>
          <w:lang w:eastAsia="en-US"/>
        </w:rPr>
        <w:t>656</w:t>
      </w:r>
      <w:r>
        <w:rPr>
          <w:sz w:val="20"/>
          <w:szCs w:val="20"/>
          <w:lang w:eastAsia="en-US"/>
        </w:rPr>
        <w:t xml:space="preserve"> Millionen €). Das bereinigte </w:t>
      </w:r>
      <w:r w:rsidRPr="005F7782">
        <w:rPr>
          <w:b/>
          <w:sz w:val="20"/>
          <w:szCs w:val="20"/>
          <w:lang w:eastAsia="en-US"/>
        </w:rPr>
        <w:t>EBITDA</w:t>
      </w:r>
      <w:r>
        <w:rPr>
          <w:sz w:val="20"/>
          <w:szCs w:val="20"/>
          <w:lang w:eastAsia="en-US"/>
        </w:rPr>
        <w:t xml:space="preserve"> </w:t>
      </w:r>
      <w:r w:rsidR="00EA2123">
        <w:rPr>
          <w:sz w:val="20"/>
          <w:szCs w:val="20"/>
          <w:lang w:eastAsia="en-US"/>
        </w:rPr>
        <w:t xml:space="preserve">lag mit 158 Millionen € um 1 Prozent über dem </w:t>
      </w:r>
      <w:r>
        <w:rPr>
          <w:sz w:val="20"/>
          <w:szCs w:val="20"/>
          <w:lang w:eastAsia="en-US"/>
        </w:rPr>
        <w:t xml:space="preserve">Vorjahreswert von </w:t>
      </w:r>
      <w:r w:rsidR="00EA2123">
        <w:rPr>
          <w:sz w:val="20"/>
          <w:szCs w:val="20"/>
          <w:lang w:eastAsia="en-US"/>
        </w:rPr>
        <w:t>157</w:t>
      </w:r>
      <w:r>
        <w:rPr>
          <w:sz w:val="20"/>
          <w:szCs w:val="20"/>
          <w:lang w:eastAsia="en-US"/>
        </w:rPr>
        <w:t xml:space="preserve"> Millionen €.</w:t>
      </w:r>
    </w:p>
    <w:p w:rsidR="00AE035E" w:rsidRDefault="00AE035E">
      <w:pPr>
        <w:spacing w:line="240" w:lineRule="auto"/>
        <w:ind w:left="0" w:right="0"/>
        <w:rPr>
          <w:sz w:val="20"/>
          <w:szCs w:val="20"/>
          <w:lang w:eastAsia="en-US"/>
        </w:rPr>
      </w:pPr>
      <w:r>
        <w:rPr>
          <w:sz w:val="20"/>
          <w:szCs w:val="20"/>
          <w:lang w:eastAsia="en-US"/>
        </w:rPr>
        <w:br w:type="page"/>
      </w:r>
    </w:p>
    <w:p w:rsidR="00097FDD" w:rsidRPr="00AE3AB1" w:rsidRDefault="00097FDD" w:rsidP="0033355C">
      <w:pPr>
        <w:spacing w:line="300" w:lineRule="exact"/>
        <w:rPr>
          <w:sz w:val="20"/>
          <w:szCs w:val="20"/>
          <w:lang w:eastAsia="en-US"/>
        </w:rPr>
      </w:pPr>
    </w:p>
    <w:p w:rsidR="00097FDD" w:rsidRPr="00AE035E" w:rsidRDefault="00AE035E" w:rsidP="0033355C">
      <w:pPr>
        <w:spacing w:line="300" w:lineRule="exact"/>
        <w:rPr>
          <w:sz w:val="20"/>
          <w:szCs w:val="20"/>
          <w:lang w:eastAsia="en-US"/>
        </w:rPr>
      </w:pPr>
      <w:r w:rsidRPr="00AE035E">
        <w:rPr>
          <w:b/>
          <w:sz w:val="20"/>
          <w:szCs w:val="20"/>
          <w:lang w:eastAsia="en-US"/>
        </w:rPr>
        <w:t>Weitere Konkretisierung der neuen Konzernstruktur</w:t>
      </w:r>
      <w:r w:rsidRPr="00AE035E">
        <w:rPr>
          <w:b/>
          <w:sz w:val="20"/>
          <w:szCs w:val="20"/>
          <w:lang w:eastAsia="en-US"/>
        </w:rPr>
        <w:br/>
      </w:r>
    </w:p>
    <w:p w:rsidR="00AE035E" w:rsidRDefault="00AE035E" w:rsidP="0033355C">
      <w:pPr>
        <w:spacing w:line="300" w:lineRule="exact"/>
        <w:rPr>
          <w:sz w:val="20"/>
          <w:szCs w:val="20"/>
          <w:lang w:eastAsia="en-US"/>
        </w:rPr>
      </w:pPr>
      <w:r>
        <w:rPr>
          <w:sz w:val="20"/>
          <w:szCs w:val="20"/>
          <w:lang w:eastAsia="en-US"/>
        </w:rPr>
        <w:t>Die Umsetzung der geplanten neuen Konzernstruktur kommt zügig voran. Der Vorstand konzentriert sich in einer Managementholding auf die strategische Weiterentwicklung von Evonik. Die drei operativen Chemie-Segmente erhalten größere unternehmerische Freiheiten zur differenzierten Steuerung ihrer Geschäfte.</w:t>
      </w:r>
      <w:r>
        <w:rPr>
          <w:sz w:val="20"/>
          <w:szCs w:val="20"/>
          <w:lang w:eastAsia="en-US"/>
        </w:rPr>
        <w:br/>
      </w:r>
      <w:r>
        <w:rPr>
          <w:sz w:val="20"/>
          <w:szCs w:val="20"/>
          <w:lang w:eastAsia="en-US"/>
        </w:rPr>
        <w:br/>
        <w:t xml:space="preserve">Sie werden am Markt als eigenständige Gesellschaften unter folgenden Namen auftreten: </w:t>
      </w:r>
      <w:r w:rsidRPr="00AE035E">
        <w:rPr>
          <w:b/>
          <w:sz w:val="20"/>
          <w:szCs w:val="20"/>
          <w:lang w:eastAsia="en-US"/>
        </w:rPr>
        <w:t>Evonik Nutrition &amp; Care GmbH</w:t>
      </w:r>
      <w:r>
        <w:rPr>
          <w:sz w:val="20"/>
          <w:szCs w:val="20"/>
          <w:lang w:eastAsia="en-US"/>
        </w:rPr>
        <w:t xml:space="preserve"> (bisher</w:t>
      </w:r>
      <w:r w:rsidR="003378EF">
        <w:rPr>
          <w:sz w:val="20"/>
          <w:szCs w:val="20"/>
          <w:lang w:eastAsia="en-US"/>
        </w:rPr>
        <w:t>:</w:t>
      </w:r>
      <w:r>
        <w:rPr>
          <w:sz w:val="20"/>
          <w:szCs w:val="20"/>
          <w:lang w:eastAsia="en-US"/>
        </w:rPr>
        <w:t xml:space="preserve"> Consumer, Health &amp; Nutrition), </w:t>
      </w:r>
      <w:r w:rsidRPr="00AE035E">
        <w:rPr>
          <w:b/>
          <w:sz w:val="20"/>
          <w:szCs w:val="20"/>
          <w:lang w:eastAsia="en-US"/>
        </w:rPr>
        <w:t>Evonik Resource Efficiency GmbH</w:t>
      </w:r>
      <w:r>
        <w:rPr>
          <w:sz w:val="20"/>
          <w:szCs w:val="20"/>
          <w:lang w:eastAsia="en-US"/>
        </w:rPr>
        <w:t xml:space="preserve"> (bisher</w:t>
      </w:r>
      <w:r w:rsidR="003378EF">
        <w:rPr>
          <w:sz w:val="20"/>
          <w:szCs w:val="20"/>
          <w:lang w:eastAsia="en-US"/>
        </w:rPr>
        <w:t>:</w:t>
      </w:r>
      <w:r>
        <w:rPr>
          <w:sz w:val="20"/>
          <w:szCs w:val="20"/>
          <w:lang w:eastAsia="en-US"/>
        </w:rPr>
        <w:t xml:space="preserve"> Resource Efficiency), </w:t>
      </w:r>
      <w:r w:rsidRPr="00AE035E">
        <w:rPr>
          <w:b/>
          <w:sz w:val="20"/>
          <w:szCs w:val="20"/>
          <w:lang w:eastAsia="en-US"/>
        </w:rPr>
        <w:t>Evonik Performance Materials GmbH</w:t>
      </w:r>
      <w:r>
        <w:rPr>
          <w:sz w:val="20"/>
          <w:szCs w:val="20"/>
          <w:lang w:eastAsia="en-US"/>
        </w:rPr>
        <w:t xml:space="preserve"> (bisher</w:t>
      </w:r>
      <w:r w:rsidR="003378EF">
        <w:rPr>
          <w:sz w:val="20"/>
          <w:szCs w:val="20"/>
          <w:lang w:eastAsia="en-US"/>
        </w:rPr>
        <w:t>:</w:t>
      </w:r>
      <w:r>
        <w:rPr>
          <w:sz w:val="20"/>
          <w:szCs w:val="20"/>
          <w:lang w:eastAsia="en-US"/>
        </w:rPr>
        <w:t xml:space="preserve"> Specialty Materials). Die neuen Gesellschaften werden das operative Geschäft zum 1. Juli 2015 übernehmen. Um dies vorzubereiten, beginnen die jeweiligen Geschäftsführungen mit Ihrer Arbeit bereits zum 1. Januar 2015. Die Site Services werden künftig in der Evonik Technology &amp; Infrastructure GmbH geführt, die strategische Innovationseinheit Creavis als Evonik Creavis GmbH. </w:t>
      </w:r>
    </w:p>
    <w:p w:rsidR="00AE035E" w:rsidRDefault="00AE035E" w:rsidP="0033355C">
      <w:pPr>
        <w:spacing w:line="300" w:lineRule="exact"/>
        <w:rPr>
          <w:sz w:val="20"/>
          <w:szCs w:val="20"/>
          <w:lang w:eastAsia="en-US"/>
        </w:rPr>
      </w:pPr>
    </w:p>
    <w:p w:rsidR="00AE035E" w:rsidRDefault="00AE035E" w:rsidP="0033355C">
      <w:pPr>
        <w:spacing w:line="300" w:lineRule="exact"/>
        <w:rPr>
          <w:sz w:val="20"/>
          <w:szCs w:val="20"/>
          <w:lang w:eastAsia="en-US"/>
        </w:rPr>
      </w:pPr>
      <w:r>
        <w:rPr>
          <w:sz w:val="20"/>
          <w:szCs w:val="20"/>
          <w:lang w:eastAsia="en-US"/>
        </w:rPr>
        <w:t>Mit dem neuen Führungsmodell will Evonik die strukturellen Voraussetzungen für profitables Wachstum in den jeweiligen Geschäften deutlich verbessern.</w:t>
      </w:r>
    </w:p>
    <w:p w:rsidR="00F86F92" w:rsidRDefault="00F86F92">
      <w:pPr>
        <w:spacing w:line="240" w:lineRule="auto"/>
        <w:ind w:left="0" w:right="0"/>
        <w:rPr>
          <w:sz w:val="20"/>
          <w:szCs w:val="20"/>
          <w:lang w:eastAsia="en-US"/>
        </w:rPr>
      </w:pPr>
      <w:r>
        <w:rPr>
          <w:sz w:val="20"/>
          <w:szCs w:val="20"/>
          <w:lang w:eastAsia="en-US"/>
        </w:rPr>
        <w:br w:type="page"/>
      </w:r>
    </w:p>
    <w:p w:rsidR="00003DAF" w:rsidRPr="00003DAF" w:rsidRDefault="00003DAF" w:rsidP="0033355C">
      <w:pPr>
        <w:spacing w:line="300" w:lineRule="exact"/>
        <w:rPr>
          <w:b/>
          <w:sz w:val="20"/>
          <w:szCs w:val="20"/>
          <w:lang w:eastAsia="en-US"/>
        </w:rPr>
      </w:pPr>
      <w:r w:rsidRPr="00003DAF">
        <w:rPr>
          <w:b/>
          <w:sz w:val="20"/>
          <w:szCs w:val="20"/>
          <w:lang w:eastAsia="en-US"/>
        </w:rPr>
        <w:lastRenderedPageBreak/>
        <w:t>Ausblick für das Geschäftsjahr 2014</w:t>
      </w:r>
    </w:p>
    <w:p w:rsidR="00003DAF" w:rsidRDefault="00003DAF" w:rsidP="0033355C">
      <w:pPr>
        <w:spacing w:line="300" w:lineRule="exact"/>
        <w:rPr>
          <w:sz w:val="20"/>
          <w:szCs w:val="20"/>
          <w:lang w:eastAsia="en-US"/>
        </w:rPr>
      </w:pPr>
    </w:p>
    <w:p w:rsidR="00D708E9" w:rsidRDefault="00D708E9" w:rsidP="0033355C">
      <w:pPr>
        <w:spacing w:line="300" w:lineRule="exact"/>
        <w:rPr>
          <w:sz w:val="20"/>
          <w:szCs w:val="20"/>
          <w:lang w:eastAsia="en-US"/>
        </w:rPr>
      </w:pPr>
      <w:r>
        <w:rPr>
          <w:sz w:val="20"/>
          <w:szCs w:val="20"/>
          <w:lang w:eastAsia="en-US"/>
        </w:rPr>
        <w:t xml:space="preserve">Nach der bisher beobachteten schwächeren konjunkturellen Entwicklung geht Evonik bei den weltwirtschaftlichen Rahmenbedingungen auch für das Gesamtjahr 2014 von einem geringeren globalen Wachstum aus. Die schrittweise Erholung der Weltwirtschaft gerät </w:t>
      </w:r>
      <w:r w:rsidR="00BA55A7">
        <w:rPr>
          <w:sz w:val="20"/>
          <w:szCs w:val="20"/>
          <w:lang w:eastAsia="en-US"/>
        </w:rPr>
        <w:t xml:space="preserve">zunehmend </w:t>
      </w:r>
      <w:r>
        <w:rPr>
          <w:sz w:val="20"/>
          <w:szCs w:val="20"/>
          <w:lang w:eastAsia="en-US"/>
        </w:rPr>
        <w:t>ins Stocken: Strukturelle Herausforderungen in den Schwellenländern sowie Unsicherheiten durch weitere politisch</w:t>
      </w:r>
      <w:r w:rsidR="007D1423">
        <w:rPr>
          <w:sz w:val="20"/>
          <w:szCs w:val="20"/>
          <w:lang w:eastAsia="en-US"/>
        </w:rPr>
        <w:t>e</w:t>
      </w:r>
      <w:r>
        <w:rPr>
          <w:sz w:val="20"/>
          <w:szCs w:val="20"/>
          <w:lang w:eastAsia="en-US"/>
        </w:rPr>
        <w:t xml:space="preserve"> und militärische Auseinandersetzungen dämpfen die Wachstumserwartungen</w:t>
      </w:r>
      <w:r w:rsidR="00BA55A7">
        <w:rPr>
          <w:sz w:val="20"/>
          <w:szCs w:val="20"/>
          <w:lang w:eastAsia="en-US"/>
        </w:rPr>
        <w:t xml:space="preserve"> zunehmend</w:t>
      </w:r>
      <w:r>
        <w:rPr>
          <w:sz w:val="20"/>
          <w:szCs w:val="20"/>
          <w:lang w:eastAsia="en-US"/>
        </w:rPr>
        <w:t xml:space="preserve">. Der seit 2013 beobachtete Rückgang der Industriepreise wird sich im letzten Quartal </w:t>
      </w:r>
      <w:r w:rsidR="007D1423">
        <w:rPr>
          <w:sz w:val="20"/>
          <w:szCs w:val="20"/>
          <w:lang w:eastAsia="en-US"/>
        </w:rPr>
        <w:t xml:space="preserve">2014 </w:t>
      </w:r>
      <w:r>
        <w:rPr>
          <w:sz w:val="20"/>
          <w:szCs w:val="20"/>
          <w:lang w:eastAsia="en-US"/>
        </w:rPr>
        <w:t xml:space="preserve">vermutlich weiter abschwächen.  </w:t>
      </w:r>
    </w:p>
    <w:p w:rsidR="00D708E9" w:rsidRDefault="00D708E9" w:rsidP="0033355C">
      <w:pPr>
        <w:spacing w:line="300" w:lineRule="exact"/>
        <w:rPr>
          <w:sz w:val="20"/>
          <w:szCs w:val="20"/>
          <w:lang w:eastAsia="en-US"/>
        </w:rPr>
      </w:pPr>
    </w:p>
    <w:p w:rsidR="00D708E9" w:rsidRDefault="00D708E9" w:rsidP="0033355C">
      <w:pPr>
        <w:spacing w:line="300" w:lineRule="exact"/>
        <w:rPr>
          <w:sz w:val="20"/>
          <w:szCs w:val="20"/>
          <w:lang w:eastAsia="en-US"/>
        </w:rPr>
      </w:pPr>
      <w:r>
        <w:rPr>
          <w:sz w:val="20"/>
          <w:szCs w:val="20"/>
          <w:lang w:eastAsia="en-US"/>
        </w:rPr>
        <w:t xml:space="preserve">Trotz der schwächeren gesamtwirtschaftlichen Rahmenbedingungen bestätigt Evonik seinen Ausblick für das Gesamtjahr 2014. Der Konzern rechnet mit einem leicht höheren </w:t>
      </w:r>
      <w:r w:rsidRPr="00D708E9">
        <w:rPr>
          <w:b/>
          <w:sz w:val="20"/>
          <w:szCs w:val="20"/>
          <w:lang w:eastAsia="en-US"/>
        </w:rPr>
        <w:t>Umsatz</w:t>
      </w:r>
      <w:r>
        <w:rPr>
          <w:sz w:val="20"/>
          <w:szCs w:val="20"/>
          <w:lang w:eastAsia="en-US"/>
        </w:rPr>
        <w:t xml:space="preserve"> (2013: 12,7 Milliarden €) und erwartet, dass das bereinigte </w:t>
      </w:r>
      <w:r w:rsidRPr="00D708E9">
        <w:rPr>
          <w:b/>
          <w:sz w:val="20"/>
          <w:szCs w:val="20"/>
          <w:lang w:eastAsia="en-US"/>
        </w:rPr>
        <w:t>EBITDA</w:t>
      </w:r>
      <w:r>
        <w:rPr>
          <w:sz w:val="20"/>
          <w:szCs w:val="20"/>
          <w:lang w:eastAsia="en-US"/>
        </w:rPr>
        <w:t xml:space="preserve"> eher im unteren als im oberen Bereich der Spanne von 1,8 bis 2,1 Milliarden € liegen wird (</w:t>
      </w:r>
      <w:r w:rsidRPr="0027541D">
        <w:rPr>
          <w:sz w:val="20"/>
          <w:szCs w:val="20"/>
          <w:lang w:eastAsia="en-US"/>
        </w:rPr>
        <w:t>2013: 2,0 Milliarden €</w:t>
      </w:r>
      <w:r w:rsidR="00E00766" w:rsidRPr="0027541D">
        <w:rPr>
          <w:sz w:val="20"/>
          <w:szCs w:val="20"/>
          <w:lang w:eastAsia="en-US"/>
        </w:rPr>
        <w:t>).</w:t>
      </w:r>
    </w:p>
    <w:p w:rsidR="00D708E9" w:rsidRDefault="00D708E9" w:rsidP="0033355C">
      <w:pPr>
        <w:spacing w:line="300" w:lineRule="exact"/>
        <w:rPr>
          <w:sz w:val="20"/>
          <w:szCs w:val="20"/>
          <w:lang w:eastAsia="en-US"/>
        </w:rPr>
      </w:pPr>
    </w:p>
    <w:p w:rsidR="00D708E9" w:rsidRDefault="00D708E9" w:rsidP="0033355C">
      <w:pPr>
        <w:spacing w:line="300" w:lineRule="exact"/>
        <w:rPr>
          <w:sz w:val="20"/>
          <w:szCs w:val="20"/>
          <w:lang w:eastAsia="en-US"/>
        </w:rPr>
      </w:pPr>
      <w:r>
        <w:rPr>
          <w:sz w:val="20"/>
          <w:szCs w:val="20"/>
          <w:lang w:eastAsia="en-US"/>
        </w:rPr>
        <w:t>Die positive Geschäftsentwicklung des ersten Halbjahres hat sich bisher im zweiten Halbjahr fortgesetzt. Die Mengen sollten auch im weiteren Jahresverlauf weiter wachsen, wozu die ersten bereits umgesetzten Wachstumsinvestitionen beitragen werden. Auf der Preisseite geht Evonik davon aus, dass der bisher erkennbare Stabilisierungstrend anhält. In einigen Geschäften sind deutlich positive Preisentwicklungen erkennbar. Dies gilt jedoch nicht für Aktivitäten im Segment Specialty Materials, hier blieb die Preisentwicklung hinter den ursprünglichen Erwartungen des Unternehmens zurück.</w:t>
      </w:r>
    </w:p>
    <w:p w:rsidR="00D708E9" w:rsidRDefault="00D708E9" w:rsidP="0033355C">
      <w:pPr>
        <w:spacing w:line="300" w:lineRule="exact"/>
        <w:rPr>
          <w:sz w:val="20"/>
          <w:szCs w:val="20"/>
          <w:lang w:eastAsia="en-US"/>
        </w:rPr>
      </w:pPr>
    </w:p>
    <w:p w:rsidR="00D708E9" w:rsidRDefault="00D708E9" w:rsidP="0033355C">
      <w:pPr>
        <w:spacing w:line="300" w:lineRule="exact"/>
        <w:rPr>
          <w:sz w:val="20"/>
          <w:szCs w:val="20"/>
          <w:lang w:eastAsia="en-US"/>
        </w:rPr>
      </w:pPr>
      <w:r>
        <w:rPr>
          <w:sz w:val="20"/>
          <w:szCs w:val="20"/>
          <w:lang w:eastAsia="en-US"/>
        </w:rPr>
        <w:t>Auf der Kostenseite wird das Effizienzsteigerungsprogramm O</w:t>
      </w:r>
      <w:r w:rsidR="00553791">
        <w:rPr>
          <w:sz w:val="20"/>
          <w:szCs w:val="20"/>
          <w:lang w:eastAsia="en-US"/>
        </w:rPr>
        <w:t>n</w:t>
      </w:r>
      <w:r>
        <w:rPr>
          <w:sz w:val="20"/>
          <w:szCs w:val="20"/>
          <w:lang w:eastAsia="en-US"/>
        </w:rPr>
        <w:t xml:space="preserve"> Track 2.0 weitere Entlastungen bringen. Zusätzlich erwartet Evonik erste positive Effekte aus seinem im Herbst 2013 aufgelegten Programm Administration Excellence zur Optimierung der Verwaltungsstrukturen, während Anlaufkosten der Wachstumsinvestitionen gegenläufig wirken werden. Weitere Belastungen können aus negativen Währungseffekten resultieren.</w:t>
      </w:r>
    </w:p>
    <w:p w:rsidR="00F86F92" w:rsidRDefault="00F86F92">
      <w:pPr>
        <w:spacing w:line="240" w:lineRule="auto"/>
        <w:ind w:left="0" w:right="0"/>
        <w:rPr>
          <w:bCs/>
          <w:sz w:val="20"/>
          <w:szCs w:val="20"/>
        </w:rPr>
      </w:pPr>
      <w:r>
        <w:rPr>
          <w:bCs/>
          <w:sz w:val="20"/>
          <w:szCs w:val="20"/>
        </w:rPr>
        <w:br w:type="page"/>
      </w:r>
    </w:p>
    <w:p w:rsidR="00A42FAE" w:rsidRDefault="00A42FAE" w:rsidP="0033355C">
      <w:pPr>
        <w:spacing w:line="300" w:lineRule="exact"/>
        <w:rPr>
          <w:rFonts w:cs="Lucida Sans Unicode"/>
          <w:b/>
          <w:sz w:val="20"/>
          <w:szCs w:val="20"/>
        </w:rPr>
      </w:pPr>
    </w:p>
    <w:p w:rsidR="00665480" w:rsidRDefault="00665480" w:rsidP="00BD0B63">
      <w:pPr>
        <w:spacing w:after="120" w:line="300" w:lineRule="atLeast"/>
        <w:ind w:left="0"/>
        <w:rPr>
          <w:rFonts w:cs="Lucida Sans Unicode"/>
          <w:b/>
          <w:bCs/>
          <w:sz w:val="20"/>
          <w:szCs w:val="20"/>
        </w:rPr>
      </w:pPr>
      <w:r>
        <w:rPr>
          <w:rFonts w:cs="Lucida Sans Unicode"/>
          <w:b/>
          <w:bCs/>
          <w:sz w:val="20"/>
          <w:szCs w:val="20"/>
        </w:rPr>
        <w:t>Evonik-Konzern: Ergebnisrechnung im Überblick</w:t>
      </w:r>
    </w:p>
    <w:tbl>
      <w:tblPr>
        <w:tblW w:w="103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7"/>
        <w:gridCol w:w="863"/>
        <w:gridCol w:w="862"/>
        <w:gridCol w:w="898"/>
        <w:gridCol w:w="863"/>
        <w:gridCol w:w="862"/>
        <w:gridCol w:w="898"/>
      </w:tblGrid>
      <w:tr w:rsidR="00665480" w:rsidTr="0037497A">
        <w:trPr>
          <w:trHeight w:val="510"/>
        </w:trPr>
        <w:tc>
          <w:tcPr>
            <w:tcW w:w="4835" w:type="dxa"/>
            <w:shd w:val="clear" w:color="auto" w:fill="auto"/>
            <w:noWrap/>
            <w:vAlign w:val="center"/>
          </w:tcPr>
          <w:p w:rsidR="00665480" w:rsidRDefault="00665480" w:rsidP="00BD0B63">
            <w:pPr>
              <w:ind w:left="0"/>
              <w:rPr>
                <w:rFonts w:cs="Lucida Sans Unicode"/>
                <w:b/>
                <w:bCs/>
                <w:szCs w:val="20"/>
              </w:rPr>
            </w:pPr>
            <w:r>
              <w:rPr>
                <w:rFonts w:cs="Lucida Sans Unicode"/>
                <w:b/>
                <w:bCs/>
                <w:szCs w:val="20"/>
              </w:rPr>
              <w:t>(in Mio. €)</w:t>
            </w:r>
          </w:p>
        </w:tc>
        <w:tc>
          <w:tcPr>
            <w:tcW w:w="823" w:type="dxa"/>
            <w:shd w:val="clear" w:color="auto" w:fill="CCCCCC"/>
            <w:vAlign w:val="center"/>
          </w:tcPr>
          <w:p w:rsidR="00665480" w:rsidRDefault="00665480" w:rsidP="00085C27">
            <w:pPr>
              <w:ind w:left="0"/>
              <w:jc w:val="center"/>
              <w:rPr>
                <w:rFonts w:cs="Lucida Sans Unicode"/>
                <w:b/>
                <w:bCs/>
                <w:szCs w:val="20"/>
              </w:rPr>
            </w:pPr>
            <w:r>
              <w:rPr>
                <w:rFonts w:cs="Lucida Sans Unicode"/>
                <w:b/>
                <w:bCs/>
                <w:szCs w:val="20"/>
              </w:rPr>
              <w:t>Q</w:t>
            </w:r>
            <w:r w:rsidR="00085C27">
              <w:rPr>
                <w:rFonts w:cs="Lucida Sans Unicode"/>
                <w:b/>
                <w:bCs/>
                <w:szCs w:val="20"/>
              </w:rPr>
              <w:t>3</w:t>
            </w:r>
            <w:r>
              <w:rPr>
                <w:rFonts w:cs="Lucida Sans Unicode"/>
                <w:b/>
                <w:bCs/>
                <w:szCs w:val="20"/>
              </w:rPr>
              <w:t xml:space="preserve"> 2014</w:t>
            </w:r>
          </w:p>
        </w:tc>
        <w:tc>
          <w:tcPr>
            <w:tcW w:w="822" w:type="dxa"/>
            <w:shd w:val="clear" w:color="auto" w:fill="auto"/>
            <w:vAlign w:val="center"/>
          </w:tcPr>
          <w:p w:rsidR="00665480" w:rsidRDefault="00085C27" w:rsidP="00BD0B63">
            <w:pPr>
              <w:ind w:left="0"/>
              <w:jc w:val="center"/>
              <w:rPr>
                <w:rFonts w:cs="Lucida Sans Unicode"/>
                <w:b/>
                <w:bCs/>
                <w:szCs w:val="20"/>
              </w:rPr>
            </w:pPr>
            <w:r>
              <w:rPr>
                <w:rFonts w:cs="Lucida Sans Unicode"/>
                <w:b/>
                <w:bCs/>
                <w:szCs w:val="20"/>
              </w:rPr>
              <w:t>Q3</w:t>
            </w:r>
            <w:r w:rsidR="00665480">
              <w:rPr>
                <w:rFonts w:cs="Lucida Sans Unicode"/>
                <w:b/>
                <w:bCs/>
                <w:szCs w:val="20"/>
              </w:rPr>
              <w:t xml:space="preserve">  </w:t>
            </w:r>
            <w:r w:rsidR="00665480">
              <w:rPr>
                <w:rFonts w:cs="Lucida Sans Unicode"/>
                <w:b/>
                <w:bCs/>
                <w:szCs w:val="20"/>
              </w:rPr>
              <w:br/>
              <w:t xml:space="preserve"> 2013</w:t>
            </w:r>
          </w:p>
        </w:tc>
        <w:tc>
          <w:tcPr>
            <w:tcW w:w="822" w:type="dxa"/>
            <w:shd w:val="clear" w:color="auto" w:fill="auto"/>
            <w:vAlign w:val="center"/>
          </w:tcPr>
          <w:p w:rsidR="00665480" w:rsidRDefault="00665480" w:rsidP="00BD0B63">
            <w:pPr>
              <w:ind w:left="0"/>
              <w:jc w:val="center"/>
              <w:rPr>
                <w:rFonts w:cs="Lucida Sans Unicode"/>
                <w:b/>
                <w:bCs/>
                <w:spacing w:val="-6"/>
                <w:szCs w:val="20"/>
              </w:rPr>
            </w:pPr>
            <w:proofErr w:type="spellStart"/>
            <w:r>
              <w:rPr>
                <w:rFonts w:cs="Lucida Sans Unicode"/>
                <w:b/>
                <w:bCs/>
                <w:spacing w:val="-6"/>
                <w:szCs w:val="20"/>
              </w:rPr>
              <w:t>Veränd</w:t>
            </w:r>
            <w:proofErr w:type="spellEnd"/>
            <w:r>
              <w:rPr>
                <w:rFonts w:cs="Lucida Sans Unicode"/>
                <w:b/>
                <w:bCs/>
                <w:spacing w:val="-6"/>
                <w:szCs w:val="20"/>
              </w:rPr>
              <w:t xml:space="preserve">. </w:t>
            </w:r>
            <w:r>
              <w:rPr>
                <w:rFonts w:cs="Lucida Sans Unicode"/>
                <w:b/>
                <w:bCs/>
                <w:spacing w:val="-6"/>
                <w:szCs w:val="20"/>
              </w:rPr>
              <w:br/>
              <w:t>in %</w:t>
            </w:r>
          </w:p>
        </w:tc>
        <w:tc>
          <w:tcPr>
            <w:tcW w:w="823" w:type="dxa"/>
            <w:shd w:val="clear" w:color="auto" w:fill="CCCCCC"/>
            <w:vAlign w:val="center"/>
          </w:tcPr>
          <w:p w:rsidR="00665480" w:rsidRDefault="00085C27" w:rsidP="00BD0B63">
            <w:pPr>
              <w:ind w:left="0"/>
              <w:jc w:val="center"/>
              <w:rPr>
                <w:rFonts w:cs="Lucida Sans Unicode"/>
                <w:b/>
                <w:bCs/>
                <w:szCs w:val="20"/>
              </w:rPr>
            </w:pPr>
            <w:r>
              <w:rPr>
                <w:rFonts w:cs="Lucida Sans Unicode"/>
                <w:b/>
                <w:bCs/>
                <w:szCs w:val="20"/>
              </w:rPr>
              <w:t>9 M</w:t>
            </w:r>
          </w:p>
          <w:p w:rsidR="00665480" w:rsidRDefault="00665480" w:rsidP="00BD0B63">
            <w:pPr>
              <w:ind w:left="0"/>
              <w:jc w:val="center"/>
              <w:rPr>
                <w:rFonts w:cs="Lucida Sans Unicode"/>
                <w:b/>
                <w:bCs/>
                <w:szCs w:val="20"/>
              </w:rPr>
            </w:pPr>
            <w:r>
              <w:rPr>
                <w:rFonts w:cs="Lucida Sans Unicode"/>
                <w:b/>
                <w:bCs/>
                <w:szCs w:val="20"/>
              </w:rPr>
              <w:t>2014</w:t>
            </w:r>
          </w:p>
        </w:tc>
        <w:tc>
          <w:tcPr>
            <w:tcW w:w="822" w:type="dxa"/>
            <w:shd w:val="clear" w:color="auto" w:fill="auto"/>
            <w:vAlign w:val="center"/>
          </w:tcPr>
          <w:p w:rsidR="00665480" w:rsidRDefault="00085C27" w:rsidP="00BD0B63">
            <w:pPr>
              <w:ind w:left="0"/>
              <w:jc w:val="center"/>
              <w:rPr>
                <w:rFonts w:cs="Lucida Sans Unicode"/>
                <w:b/>
                <w:bCs/>
                <w:szCs w:val="20"/>
              </w:rPr>
            </w:pPr>
            <w:r>
              <w:rPr>
                <w:rFonts w:cs="Lucida Sans Unicode"/>
                <w:b/>
                <w:bCs/>
                <w:szCs w:val="20"/>
              </w:rPr>
              <w:t>9 M</w:t>
            </w:r>
          </w:p>
          <w:p w:rsidR="00665480" w:rsidRDefault="00665480" w:rsidP="00BD0B63">
            <w:pPr>
              <w:ind w:left="0"/>
              <w:jc w:val="center"/>
              <w:rPr>
                <w:rFonts w:cs="Lucida Sans Unicode"/>
                <w:b/>
                <w:bCs/>
                <w:szCs w:val="20"/>
              </w:rPr>
            </w:pPr>
            <w:r>
              <w:rPr>
                <w:rFonts w:cs="Lucida Sans Unicode"/>
                <w:b/>
                <w:bCs/>
                <w:szCs w:val="20"/>
              </w:rPr>
              <w:t>2013</w:t>
            </w:r>
          </w:p>
        </w:tc>
        <w:tc>
          <w:tcPr>
            <w:tcW w:w="822" w:type="dxa"/>
            <w:shd w:val="clear" w:color="auto" w:fill="auto"/>
            <w:vAlign w:val="center"/>
          </w:tcPr>
          <w:p w:rsidR="00665480" w:rsidRDefault="00665480" w:rsidP="00BD0B63">
            <w:pPr>
              <w:ind w:left="0"/>
              <w:jc w:val="center"/>
              <w:rPr>
                <w:rFonts w:cs="Lucida Sans Unicode"/>
                <w:b/>
                <w:bCs/>
                <w:spacing w:val="-6"/>
                <w:szCs w:val="20"/>
              </w:rPr>
            </w:pPr>
            <w:proofErr w:type="spellStart"/>
            <w:r>
              <w:rPr>
                <w:rFonts w:cs="Lucida Sans Unicode"/>
                <w:b/>
                <w:bCs/>
                <w:spacing w:val="-6"/>
                <w:szCs w:val="20"/>
              </w:rPr>
              <w:t>Veränd</w:t>
            </w:r>
            <w:proofErr w:type="spellEnd"/>
            <w:r>
              <w:rPr>
                <w:rFonts w:cs="Lucida Sans Unicode"/>
                <w:b/>
                <w:bCs/>
                <w:spacing w:val="-6"/>
                <w:szCs w:val="20"/>
              </w:rPr>
              <w:t xml:space="preserve">. </w:t>
            </w:r>
            <w:r>
              <w:rPr>
                <w:rFonts w:cs="Lucida Sans Unicode"/>
                <w:b/>
                <w:bCs/>
                <w:spacing w:val="-6"/>
                <w:szCs w:val="20"/>
              </w:rPr>
              <w:br/>
              <w:t>in %</w:t>
            </w:r>
          </w:p>
        </w:tc>
      </w:tr>
      <w:tr w:rsidR="00665480" w:rsidTr="0037497A">
        <w:trPr>
          <w:trHeight w:val="300"/>
        </w:trPr>
        <w:tc>
          <w:tcPr>
            <w:tcW w:w="4835" w:type="dxa"/>
            <w:shd w:val="clear" w:color="auto" w:fill="auto"/>
            <w:noWrap/>
            <w:vAlign w:val="bottom"/>
          </w:tcPr>
          <w:p w:rsidR="00665480" w:rsidRDefault="00665480" w:rsidP="00BD0B63">
            <w:pPr>
              <w:ind w:left="0"/>
              <w:rPr>
                <w:rFonts w:cs="Lucida Sans Unicode"/>
                <w:position w:val="0"/>
                <w:szCs w:val="20"/>
              </w:rPr>
            </w:pPr>
            <w:r>
              <w:rPr>
                <w:rFonts w:cs="Lucida Sans Unicode"/>
                <w:position w:val="0"/>
                <w:szCs w:val="20"/>
              </w:rPr>
              <w:t>Umsatz</w:t>
            </w: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3.243</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3.198</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1</w:t>
            </w: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9.691</w:t>
            </w:r>
          </w:p>
        </w:tc>
        <w:tc>
          <w:tcPr>
            <w:tcW w:w="822" w:type="dxa"/>
            <w:shd w:val="clear" w:color="auto" w:fill="auto"/>
            <w:noWrap/>
            <w:vAlign w:val="bottom"/>
          </w:tcPr>
          <w:p w:rsidR="00665480" w:rsidRDefault="00CD0628" w:rsidP="00272444">
            <w:pPr>
              <w:ind w:left="0"/>
              <w:jc w:val="right"/>
              <w:rPr>
                <w:rFonts w:cs="Lucida Sans Unicode"/>
                <w:position w:val="0"/>
                <w:szCs w:val="20"/>
              </w:rPr>
            </w:pPr>
            <w:r>
              <w:rPr>
                <w:rFonts w:cs="Lucida Sans Unicode"/>
                <w:position w:val="0"/>
                <w:szCs w:val="20"/>
              </w:rPr>
              <w:t>9.6</w:t>
            </w:r>
            <w:r w:rsidR="00272444">
              <w:rPr>
                <w:rFonts w:cs="Lucida Sans Unicode"/>
                <w:position w:val="0"/>
                <w:szCs w:val="20"/>
              </w:rPr>
              <w:t>19</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1</w:t>
            </w:r>
          </w:p>
        </w:tc>
      </w:tr>
      <w:tr w:rsidR="00665480" w:rsidTr="0037497A">
        <w:trPr>
          <w:trHeight w:val="300"/>
        </w:trPr>
        <w:tc>
          <w:tcPr>
            <w:tcW w:w="4835" w:type="dxa"/>
            <w:shd w:val="clear" w:color="auto" w:fill="auto"/>
            <w:noWrap/>
            <w:vAlign w:val="bottom"/>
          </w:tcPr>
          <w:p w:rsidR="00665480" w:rsidRDefault="00665480" w:rsidP="00BD0B63">
            <w:pPr>
              <w:ind w:left="0"/>
              <w:rPr>
                <w:rFonts w:cs="Lucida Sans Unicode"/>
                <w:position w:val="0"/>
                <w:szCs w:val="20"/>
              </w:rPr>
            </w:pPr>
            <w:r>
              <w:rPr>
                <w:rFonts w:cs="Lucida Sans Unicode"/>
                <w:position w:val="0"/>
                <w:szCs w:val="20"/>
              </w:rPr>
              <w:t>Bereinigtes EBITDA</w:t>
            </w: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501</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517</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-3</w:t>
            </w: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1.425</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1.620</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-12</w:t>
            </w:r>
          </w:p>
        </w:tc>
      </w:tr>
      <w:tr w:rsidR="00665480" w:rsidTr="0037497A">
        <w:trPr>
          <w:trHeight w:val="300"/>
        </w:trPr>
        <w:tc>
          <w:tcPr>
            <w:tcW w:w="4835" w:type="dxa"/>
            <w:shd w:val="clear" w:color="auto" w:fill="auto"/>
            <w:noWrap/>
            <w:vAlign w:val="bottom"/>
          </w:tcPr>
          <w:p w:rsidR="00665480" w:rsidRDefault="00665480" w:rsidP="00BD0B63">
            <w:pPr>
              <w:ind w:left="0"/>
              <w:rPr>
                <w:rFonts w:cs="Lucida Sans Unicode"/>
                <w:position w:val="0"/>
                <w:szCs w:val="20"/>
              </w:rPr>
            </w:pPr>
            <w:r>
              <w:rPr>
                <w:rFonts w:cs="Lucida Sans Unicode"/>
                <w:position w:val="0"/>
                <w:szCs w:val="20"/>
              </w:rPr>
              <w:t>Bereinigtes EBIT</w:t>
            </w: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350</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372</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-6</w:t>
            </w: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977</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1.188</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-18</w:t>
            </w:r>
          </w:p>
        </w:tc>
      </w:tr>
      <w:tr w:rsidR="00665480" w:rsidTr="0037497A">
        <w:trPr>
          <w:trHeight w:val="300"/>
        </w:trPr>
        <w:tc>
          <w:tcPr>
            <w:tcW w:w="4835" w:type="dxa"/>
            <w:shd w:val="clear" w:color="auto" w:fill="auto"/>
            <w:noWrap/>
            <w:vAlign w:val="bottom"/>
          </w:tcPr>
          <w:p w:rsidR="00665480" w:rsidRDefault="00665480" w:rsidP="00BD0B63">
            <w:pPr>
              <w:ind w:left="0"/>
              <w:rPr>
                <w:rFonts w:cs="Lucida Sans Unicode"/>
                <w:position w:val="0"/>
                <w:szCs w:val="20"/>
              </w:rPr>
            </w:pPr>
            <w:r>
              <w:rPr>
                <w:rFonts w:cs="Lucida Sans Unicode"/>
                <w:position w:val="0"/>
                <w:szCs w:val="20"/>
              </w:rPr>
              <w:t>Bereinigungen</w:t>
            </w: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-54</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-258</w:t>
            </w:r>
          </w:p>
        </w:tc>
        <w:tc>
          <w:tcPr>
            <w:tcW w:w="822" w:type="dxa"/>
            <w:shd w:val="clear" w:color="auto" w:fill="auto"/>
            <w:noWrap/>
            <w:vAlign w:val="bottom"/>
          </w:tcPr>
          <w:p w:rsidR="00665480" w:rsidRDefault="00665480" w:rsidP="00BD0B63">
            <w:pPr>
              <w:ind w:left="0"/>
              <w:rPr>
                <w:rFonts w:cs="Lucida Sans Unicode"/>
                <w:position w:val="0"/>
                <w:szCs w:val="20"/>
              </w:rPr>
            </w:pP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-144</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-324</w:t>
            </w:r>
          </w:p>
        </w:tc>
        <w:tc>
          <w:tcPr>
            <w:tcW w:w="822" w:type="dxa"/>
            <w:shd w:val="clear" w:color="auto" w:fill="auto"/>
            <w:noWrap/>
            <w:vAlign w:val="bottom"/>
          </w:tcPr>
          <w:p w:rsidR="00665480" w:rsidRDefault="00665480" w:rsidP="00BD0B63">
            <w:pPr>
              <w:ind w:left="0"/>
              <w:rPr>
                <w:rFonts w:cs="Lucida Sans Unicode"/>
                <w:position w:val="0"/>
                <w:szCs w:val="20"/>
              </w:rPr>
            </w:pPr>
          </w:p>
        </w:tc>
      </w:tr>
      <w:tr w:rsidR="00665480" w:rsidTr="0037497A">
        <w:trPr>
          <w:trHeight w:val="300"/>
        </w:trPr>
        <w:tc>
          <w:tcPr>
            <w:tcW w:w="4835" w:type="dxa"/>
            <w:shd w:val="clear" w:color="auto" w:fill="auto"/>
            <w:noWrap/>
            <w:vAlign w:val="bottom"/>
          </w:tcPr>
          <w:p w:rsidR="00665480" w:rsidRDefault="00665480" w:rsidP="00BD0B63">
            <w:pPr>
              <w:ind w:left="0"/>
              <w:rPr>
                <w:rFonts w:cs="Lucida Sans Unicode"/>
                <w:position w:val="0"/>
                <w:szCs w:val="20"/>
              </w:rPr>
            </w:pPr>
            <w:r>
              <w:rPr>
                <w:rFonts w:cs="Lucida Sans Unicode"/>
                <w:position w:val="0"/>
                <w:szCs w:val="20"/>
              </w:rPr>
              <w:t>Zinsergebnis</w:t>
            </w: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-64</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-67</w:t>
            </w:r>
          </w:p>
        </w:tc>
        <w:tc>
          <w:tcPr>
            <w:tcW w:w="822" w:type="dxa"/>
            <w:shd w:val="clear" w:color="auto" w:fill="auto"/>
            <w:noWrap/>
            <w:vAlign w:val="bottom"/>
          </w:tcPr>
          <w:p w:rsidR="00665480" w:rsidRDefault="00665480" w:rsidP="00BD0B63">
            <w:pPr>
              <w:ind w:left="0"/>
              <w:jc w:val="right"/>
              <w:rPr>
                <w:rFonts w:cs="Lucida Sans Unicode"/>
                <w:position w:val="0"/>
                <w:szCs w:val="20"/>
              </w:rPr>
            </w:pP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-200</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-201</w:t>
            </w:r>
          </w:p>
        </w:tc>
        <w:tc>
          <w:tcPr>
            <w:tcW w:w="822" w:type="dxa"/>
            <w:shd w:val="clear" w:color="auto" w:fill="auto"/>
            <w:noWrap/>
            <w:vAlign w:val="bottom"/>
          </w:tcPr>
          <w:p w:rsidR="00665480" w:rsidRDefault="00665480" w:rsidP="00BD0B63">
            <w:pPr>
              <w:ind w:left="0"/>
              <w:rPr>
                <w:rFonts w:cs="Lucida Sans Unicode"/>
                <w:position w:val="0"/>
                <w:szCs w:val="20"/>
              </w:rPr>
            </w:pPr>
          </w:p>
        </w:tc>
      </w:tr>
      <w:tr w:rsidR="00665480" w:rsidTr="0037497A">
        <w:trPr>
          <w:trHeight w:val="300"/>
        </w:trPr>
        <w:tc>
          <w:tcPr>
            <w:tcW w:w="4835" w:type="dxa"/>
            <w:shd w:val="clear" w:color="auto" w:fill="auto"/>
            <w:noWrap/>
            <w:vAlign w:val="bottom"/>
          </w:tcPr>
          <w:p w:rsidR="00665480" w:rsidRPr="00E83E1D" w:rsidRDefault="00665480" w:rsidP="00BD0B63">
            <w:pPr>
              <w:ind w:left="0"/>
              <w:rPr>
                <w:rFonts w:cs="Lucida Sans Unicode"/>
                <w:bCs/>
                <w:szCs w:val="20"/>
              </w:rPr>
            </w:pPr>
            <w:r w:rsidRPr="00665480">
              <w:rPr>
                <w:rFonts w:cs="Lucida Sans Unicode"/>
                <w:position w:val="0"/>
                <w:szCs w:val="20"/>
              </w:rPr>
              <w:t>Ergebnis vor Ertragsteuern fortgeführter Aktivitäten</w:t>
            </w:r>
          </w:p>
        </w:tc>
        <w:tc>
          <w:tcPr>
            <w:tcW w:w="823" w:type="dxa"/>
            <w:shd w:val="clear" w:color="auto" w:fill="CCCCCC"/>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232</w:t>
            </w:r>
          </w:p>
        </w:tc>
        <w:tc>
          <w:tcPr>
            <w:tcW w:w="822" w:type="dxa"/>
            <w:shd w:val="clear" w:color="auto" w:fill="auto"/>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47</w:t>
            </w:r>
          </w:p>
        </w:tc>
        <w:tc>
          <w:tcPr>
            <w:tcW w:w="822" w:type="dxa"/>
            <w:shd w:val="clear" w:color="auto" w:fill="auto"/>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394</w:t>
            </w:r>
          </w:p>
        </w:tc>
        <w:tc>
          <w:tcPr>
            <w:tcW w:w="823" w:type="dxa"/>
            <w:shd w:val="clear" w:color="auto" w:fill="CCCCCC"/>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633</w:t>
            </w:r>
          </w:p>
        </w:tc>
        <w:tc>
          <w:tcPr>
            <w:tcW w:w="822" w:type="dxa"/>
            <w:shd w:val="clear" w:color="auto" w:fill="auto"/>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663</w:t>
            </w:r>
          </w:p>
        </w:tc>
        <w:tc>
          <w:tcPr>
            <w:tcW w:w="822" w:type="dxa"/>
            <w:shd w:val="clear" w:color="auto" w:fill="auto"/>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-5</w:t>
            </w:r>
          </w:p>
        </w:tc>
      </w:tr>
      <w:tr w:rsidR="00665480" w:rsidTr="0037497A">
        <w:trPr>
          <w:trHeight w:val="300"/>
        </w:trPr>
        <w:tc>
          <w:tcPr>
            <w:tcW w:w="4835" w:type="dxa"/>
            <w:shd w:val="clear" w:color="auto" w:fill="auto"/>
            <w:noWrap/>
            <w:vAlign w:val="bottom"/>
          </w:tcPr>
          <w:p w:rsidR="00665480" w:rsidRPr="00E83E1D" w:rsidRDefault="00665480" w:rsidP="00BD0B63">
            <w:pPr>
              <w:ind w:left="0"/>
              <w:rPr>
                <w:rFonts w:cs="Lucida Sans Unicode"/>
                <w:position w:val="0"/>
                <w:szCs w:val="20"/>
              </w:rPr>
            </w:pPr>
            <w:r w:rsidRPr="00E83E1D">
              <w:rPr>
                <w:rFonts w:cs="Lucida Sans Unicode"/>
                <w:position w:val="0"/>
                <w:szCs w:val="20"/>
              </w:rPr>
              <w:t>Ertragsteuern</w:t>
            </w: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-64</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-17</w:t>
            </w:r>
          </w:p>
        </w:tc>
        <w:tc>
          <w:tcPr>
            <w:tcW w:w="822" w:type="dxa"/>
            <w:shd w:val="clear" w:color="auto" w:fill="auto"/>
            <w:noWrap/>
            <w:vAlign w:val="bottom"/>
          </w:tcPr>
          <w:p w:rsidR="00665480" w:rsidRDefault="00665480" w:rsidP="00BD0B63">
            <w:pPr>
              <w:ind w:left="0"/>
              <w:jc w:val="right"/>
              <w:rPr>
                <w:rFonts w:cs="Lucida Sans Unicode"/>
                <w:position w:val="0"/>
                <w:szCs w:val="20"/>
              </w:rPr>
            </w:pP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-196</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-182</w:t>
            </w:r>
          </w:p>
        </w:tc>
        <w:tc>
          <w:tcPr>
            <w:tcW w:w="822" w:type="dxa"/>
            <w:shd w:val="clear" w:color="auto" w:fill="auto"/>
            <w:noWrap/>
            <w:vAlign w:val="bottom"/>
          </w:tcPr>
          <w:p w:rsidR="00665480" w:rsidRDefault="00665480" w:rsidP="00BD0B63">
            <w:pPr>
              <w:ind w:left="0"/>
              <w:jc w:val="right"/>
              <w:rPr>
                <w:rFonts w:cs="Lucida Sans Unicode"/>
                <w:position w:val="0"/>
                <w:szCs w:val="20"/>
              </w:rPr>
            </w:pPr>
          </w:p>
        </w:tc>
      </w:tr>
      <w:tr w:rsidR="00665480" w:rsidTr="0037497A">
        <w:trPr>
          <w:trHeight w:val="300"/>
        </w:trPr>
        <w:tc>
          <w:tcPr>
            <w:tcW w:w="4835" w:type="dxa"/>
            <w:shd w:val="clear" w:color="auto" w:fill="auto"/>
            <w:noWrap/>
            <w:vAlign w:val="bottom"/>
          </w:tcPr>
          <w:p w:rsidR="00665480" w:rsidRPr="00E83E1D" w:rsidRDefault="00DA2E4E" w:rsidP="00BD0B63">
            <w:pPr>
              <w:ind w:left="0"/>
              <w:rPr>
                <w:rFonts w:cs="Lucida Sans Unicode"/>
                <w:bCs/>
                <w:szCs w:val="20"/>
              </w:rPr>
            </w:pPr>
            <w:r>
              <w:rPr>
                <w:rFonts w:cs="Lucida Sans Unicode"/>
                <w:position w:val="0"/>
                <w:szCs w:val="20"/>
              </w:rPr>
              <w:t>Ergebnis nach S</w:t>
            </w:r>
            <w:r w:rsidR="00665480" w:rsidRPr="00DA2E4E">
              <w:rPr>
                <w:rFonts w:cs="Lucida Sans Unicode"/>
                <w:position w:val="0"/>
                <w:szCs w:val="20"/>
              </w:rPr>
              <w:t>teuern fortgeführter Aktivitäten</w:t>
            </w:r>
          </w:p>
        </w:tc>
        <w:tc>
          <w:tcPr>
            <w:tcW w:w="823" w:type="dxa"/>
            <w:shd w:val="clear" w:color="auto" w:fill="CCCCCC"/>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168</w:t>
            </w:r>
          </w:p>
        </w:tc>
        <w:tc>
          <w:tcPr>
            <w:tcW w:w="822" w:type="dxa"/>
            <w:shd w:val="clear" w:color="auto" w:fill="auto"/>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30</w:t>
            </w:r>
          </w:p>
        </w:tc>
        <w:tc>
          <w:tcPr>
            <w:tcW w:w="822" w:type="dxa"/>
            <w:shd w:val="clear" w:color="auto" w:fill="auto"/>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460</w:t>
            </w:r>
          </w:p>
        </w:tc>
        <w:tc>
          <w:tcPr>
            <w:tcW w:w="823" w:type="dxa"/>
            <w:shd w:val="clear" w:color="auto" w:fill="CCCCCC"/>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437</w:t>
            </w:r>
          </w:p>
        </w:tc>
        <w:tc>
          <w:tcPr>
            <w:tcW w:w="822" w:type="dxa"/>
            <w:shd w:val="clear" w:color="auto" w:fill="auto"/>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481</w:t>
            </w:r>
          </w:p>
        </w:tc>
        <w:tc>
          <w:tcPr>
            <w:tcW w:w="822" w:type="dxa"/>
            <w:shd w:val="clear" w:color="auto" w:fill="auto"/>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-9</w:t>
            </w:r>
          </w:p>
        </w:tc>
      </w:tr>
      <w:tr w:rsidR="00665480" w:rsidTr="0037497A">
        <w:trPr>
          <w:trHeight w:val="300"/>
        </w:trPr>
        <w:tc>
          <w:tcPr>
            <w:tcW w:w="4835" w:type="dxa"/>
            <w:shd w:val="clear" w:color="auto" w:fill="auto"/>
            <w:noWrap/>
            <w:vAlign w:val="bottom"/>
          </w:tcPr>
          <w:p w:rsidR="00665480" w:rsidRDefault="00DA2E4E" w:rsidP="00BD0B63">
            <w:pPr>
              <w:ind w:left="0"/>
              <w:rPr>
                <w:rFonts w:cs="Lucida Sans Unicode"/>
                <w:position w:val="0"/>
                <w:szCs w:val="20"/>
              </w:rPr>
            </w:pPr>
            <w:r>
              <w:rPr>
                <w:rFonts w:cs="Lucida Sans Unicode"/>
                <w:position w:val="0"/>
                <w:szCs w:val="20"/>
              </w:rPr>
              <w:t>Ergebnis nach S</w:t>
            </w:r>
            <w:r w:rsidR="00665480">
              <w:rPr>
                <w:rFonts w:cs="Lucida Sans Unicode"/>
                <w:position w:val="0"/>
                <w:szCs w:val="20"/>
              </w:rPr>
              <w:t>teuern nicht fortgeführter Aktivitäten</w:t>
            </w: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-54</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1.351</w:t>
            </w:r>
          </w:p>
        </w:tc>
        <w:tc>
          <w:tcPr>
            <w:tcW w:w="822" w:type="dxa"/>
            <w:shd w:val="clear" w:color="auto" w:fill="auto"/>
            <w:noWrap/>
            <w:vAlign w:val="bottom"/>
          </w:tcPr>
          <w:p w:rsidR="00665480" w:rsidRDefault="00665480" w:rsidP="00BD0B63">
            <w:pPr>
              <w:ind w:left="0"/>
              <w:rPr>
                <w:rFonts w:cs="Lucida Sans Unicode"/>
                <w:position w:val="0"/>
                <w:szCs w:val="20"/>
              </w:rPr>
            </w:pP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-11</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1.377</w:t>
            </w:r>
          </w:p>
        </w:tc>
        <w:tc>
          <w:tcPr>
            <w:tcW w:w="822" w:type="dxa"/>
            <w:shd w:val="clear" w:color="auto" w:fill="auto"/>
            <w:noWrap/>
            <w:vAlign w:val="bottom"/>
          </w:tcPr>
          <w:p w:rsidR="00665480" w:rsidRDefault="00665480" w:rsidP="00BD0B63">
            <w:pPr>
              <w:ind w:left="0"/>
              <w:rPr>
                <w:rFonts w:cs="Lucida Sans Unicode"/>
                <w:position w:val="0"/>
                <w:szCs w:val="20"/>
              </w:rPr>
            </w:pPr>
          </w:p>
        </w:tc>
      </w:tr>
      <w:tr w:rsidR="00665480" w:rsidTr="0037497A">
        <w:trPr>
          <w:trHeight w:val="300"/>
        </w:trPr>
        <w:tc>
          <w:tcPr>
            <w:tcW w:w="4835" w:type="dxa"/>
            <w:shd w:val="clear" w:color="auto" w:fill="auto"/>
            <w:noWrap/>
            <w:vAlign w:val="bottom"/>
          </w:tcPr>
          <w:p w:rsidR="00665480" w:rsidRPr="00E83E1D" w:rsidRDefault="00665480" w:rsidP="00BD0B63">
            <w:pPr>
              <w:ind w:left="0"/>
              <w:rPr>
                <w:rFonts w:cs="Lucida Sans Unicode"/>
                <w:bCs/>
                <w:szCs w:val="20"/>
              </w:rPr>
            </w:pPr>
            <w:r w:rsidRPr="00E83E1D">
              <w:rPr>
                <w:rFonts w:cs="Lucida Sans Unicode"/>
                <w:bCs/>
                <w:position w:val="0"/>
                <w:szCs w:val="20"/>
              </w:rPr>
              <w:t>Ergebnis nach Steuern</w:t>
            </w:r>
          </w:p>
        </w:tc>
        <w:tc>
          <w:tcPr>
            <w:tcW w:w="823" w:type="dxa"/>
            <w:shd w:val="clear" w:color="auto" w:fill="CCCCCC"/>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114</w:t>
            </w:r>
          </w:p>
        </w:tc>
        <w:tc>
          <w:tcPr>
            <w:tcW w:w="822" w:type="dxa"/>
            <w:shd w:val="clear" w:color="auto" w:fill="auto"/>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1.381</w:t>
            </w:r>
          </w:p>
        </w:tc>
        <w:tc>
          <w:tcPr>
            <w:tcW w:w="822" w:type="dxa"/>
            <w:shd w:val="clear" w:color="auto" w:fill="auto"/>
            <w:noWrap/>
            <w:vAlign w:val="bottom"/>
          </w:tcPr>
          <w:p w:rsidR="00665480" w:rsidRPr="002B19DA" w:rsidRDefault="005A1BE4" w:rsidP="00BD0B63">
            <w:pPr>
              <w:ind w:left="0"/>
              <w:jc w:val="right"/>
              <w:rPr>
                <w:rFonts w:cs="Lucida Sans Unicode"/>
                <w:bCs/>
                <w:position w:val="0"/>
                <w:szCs w:val="20"/>
              </w:rPr>
            </w:pPr>
            <w:r>
              <w:rPr>
                <w:rFonts w:cs="Lucida Sans Unicode"/>
                <w:bCs/>
                <w:position w:val="0"/>
                <w:szCs w:val="20"/>
              </w:rPr>
              <w:t>-92</w:t>
            </w:r>
          </w:p>
        </w:tc>
        <w:tc>
          <w:tcPr>
            <w:tcW w:w="823" w:type="dxa"/>
            <w:shd w:val="clear" w:color="auto" w:fill="CCCCCC"/>
            <w:noWrap/>
            <w:vAlign w:val="bottom"/>
          </w:tcPr>
          <w:p w:rsidR="00665480" w:rsidRPr="002B19DA" w:rsidRDefault="005A1BE4" w:rsidP="00BD0B63">
            <w:pPr>
              <w:ind w:left="0"/>
              <w:jc w:val="right"/>
              <w:rPr>
                <w:rFonts w:cs="Lucida Sans Unicode"/>
                <w:position w:val="0"/>
                <w:szCs w:val="20"/>
              </w:rPr>
            </w:pPr>
            <w:r>
              <w:rPr>
                <w:rFonts w:cs="Lucida Sans Unicode"/>
                <w:position w:val="0"/>
                <w:szCs w:val="20"/>
              </w:rPr>
              <w:t>426</w:t>
            </w:r>
          </w:p>
        </w:tc>
        <w:tc>
          <w:tcPr>
            <w:tcW w:w="822" w:type="dxa"/>
            <w:shd w:val="clear" w:color="auto" w:fill="auto"/>
            <w:noWrap/>
            <w:vAlign w:val="bottom"/>
          </w:tcPr>
          <w:p w:rsidR="00665480" w:rsidRPr="002B19DA" w:rsidRDefault="005A1BE4" w:rsidP="00BD0B63">
            <w:pPr>
              <w:ind w:left="0"/>
              <w:jc w:val="right"/>
              <w:rPr>
                <w:rFonts w:cs="Lucida Sans Unicode"/>
                <w:position w:val="0"/>
                <w:szCs w:val="20"/>
              </w:rPr>
            </w:pPr>
            <w:r>
              <w:rPr>
                <w:rFonts w:cs="Lucida Sans Unicode"/>
                <w:position w:val="0"/>
                <w:szCs w:val="20"/>
              </w:rPr>
              <w:t>1.858</w:t>
            </w:r>
          </w:p>
        </w:tc>
        <w:tc>
          <w:tcPr>
            <w:tcW w:w="822" w:type="dxa"/>
            <w:shd w:val="clear" w:color="auto" w:fill="auto"/>
            <w:noWrap/>
            <w:vAlign w:val="bottom"/>
          </w:tcPr>
          <w:p w:rsidR="00665480" w:rsidRPr="002B19DA" w:rsidRDefault="005A1BE4" w:rsidP="00BD0B63">
            <w:pPr>
              <w:ind w:left="0"/>
              <w:jc w:val="right"/>
              <w:rPr>
                <w:rFonts w:cs="Lucida Sans Unicode"/>
                <w:position w:val="0"/>
                <w:szCs w:val="20"/>
              </w:rPr>
            </w:pPr>
            <w:r>
              <w:rPr>
                <w:rFonts w:cs="Lucida Sans Unicode"/>
                <w:position w:val="0"/>
                <w:szCs w:val="20"/>
              </w:rPr>
              <w:t>-77</w:t>
            </w:r>
          </w:p>
        </w:tc>
      </w:tr>
      <w:tr w:rsidR="00665480" w:rsidTr="0037497A">
        <w:trPr>
          <w:trHeight w:val="255"/>
        </w:trPr>
        <w:tc>
          <w:tcPr>
            <w:tcW w:w="4835" w:type="dxa"/>
            <w:shd w:val="clear" w:color="auto" w:fill="auto"/>
            <w:noWrap/>
            <w:vAlign w:val="bottom"/>
          </w:tcPr>
          <w:p w:rsidR="00665480" w:rsidRDefault="00DA2E4E" w:rsidP="00BD0B63">
            <w:pPr>
              <w:ind w:left="0"/>
              <w:rPr>
                <w:rFonts w:cs="Lucida Sans Unicode"/>
                <w:position w:val="0"/>
                <w:szCs w:val="20"/>
              </w:rPr>
            </w:pPr>
            <w:r>
              <w:rPr>
                <w:rFonts w:cs="Lucida Sans Unicode"/>
                <w:position w:val="0"/>
                <w:szCs w:val="20"/>
              </w:rPr>
              <w:t>Davon Ergebnis anderer Gesellschafter</w:t>
            </w:r>
          </w:p>
        </w:tc>
        <w:tc>
          <w:tcPr>
            <w:tcW w:w="823" w:type="dxa"/>
            <w:shd w:val="clear" w:color="auto" w:fill="CCCCCC"/>
            <w:noWrap/>
            <w:vAlign w:val="bottom"/>
          </w:tcPr>
          <w:p w:rsidR="00665480" w:rsidRDefault="005A1BE4" w:rsidP="00BD0B63">
            <w:pPr>
              <w:ind w:left="0"/>
              <w:jc w:val="right"/>
              <w:rPr>
                <w:rFonts w:cs="Lucida Sans Unicode"/>
                <w:position w:val="0"/>
                <w:szCs w:val="20"/>
              </w:rPr>
            </w:pPr>
            <w:r>
              <w:rPr>
                <w:rFonts w:cs="Lucida Sans Unicode"/>
                <w:position w:val="0"/>
                <w:szCs w:val="20"/>
              </w:rPr>
              <w:t>3</w:t>
            </w:r>
          </w:p>
        </w:tc>
        <w:tc>
          <w:tcPr>
            <w:tcW w:w="822" w:type="dxa"/>
            <w:shd w:val="clear" w:color="auto" w:fill="auto"/>
            <w:noWrap/>
            <w:vAlign w:val="bottom"/>
          </w:tcPr>
          <w:p w:rsidR="00665480" w:rsidRDefault="005A1BE4" w:rsidP="00BD0B63">
            <w:pPr>
              <w:ind w:left="0"/>
              <w:jc w:val="right"/>
              <w:rPr>
                <w:rFonts w:cs="Lucida Sans Unicode"/>
                <w:position w:val="0"/>
                <w:szCs w:val="20"/>
              </w:rPr>
            </w:pPr>
            <w:r>
              <w:rPr>
                <w:rFonts w:cs="Lucida Sans Unicode"/>
                <w:position w:val="0"/>
                <w:szCs w:val="20"/>
              </w:rPr>
              <w:t>-92</w:t>
            </w:r>
          </w:p>
        </w:tc>
        <w:tc>
          <w:tcPr>
            <w:tcW w:w="822" w:type="dxa"/>
            <w:shd w:val="clear" w:color="auto" w:fill="auto"/>
            <w:noWrap/>
            <w:vAlign w:val="bottom"/>
          </w:tcPr>
          <w:p w:rsidR="00665480" w:rsidRDefault="00665480" w:rsidP="00BD0B63">
            <w:pPr>
              <w:ind w:left="0"/>
              <w:rPr>
                <w:rFonts w:cs="Lucida Sans Unicode"/>
                <w:position w:val="0"/>
                <w:szCs w:val="20"/>
              </w:rPr>
            </w:pPr>
          </w:p>
        </w:tc>
        <w:tc>
          <w:tcPr>
            <w:tcW w:w="823" w:type="dxa"/>
            <w:shd w:val="clear" w:color="auto" w:fill="CCCCCC"/>
            <w:noWrap/>
            <w:vAlign w:val="bottom"/>
          </w:tcPr>
          <w:p w:rsidR="00665480" w:rsidRDefault="005A1BE4" w:rsidP="00BD0B63">
            <w:pPr>
              <w:ind w:left="0"/>
              <w:jc w:val="right"/>
              <w:rPr>
                <w:rFonts w:cs="Lucida Sans Unicode"/>
                <w:bCs/>
                <w:position w:val="0"/>
                <w:szCs w:val="20"/>
              </w:rPr>
            </w:pPr>
            <w:r>
              <w:rPr>
                <w:rFonts w:cs="Lucida Sans Unicode"/>
                <w:bCs/>
                <w:position w:val="0"/>
                <w:szCs w:val="20"/>
              </w:rPr>
              <w:t>10</w:t>
            </w:r>
          </w:p>
        </w:tc>
        <w:tc>
          <w:tcPr>
            <w:tcW w:w="822" w:type="dxa"/>
            <w:shd w:val="clear" w:color="auto" w:fill="auto"/>
            <w:noWrap/>
            <w:vAlign w:val="bottom"/>
          </w:tcPr>
          <w:p w:rsidR="00665480" w:rsidRDefault="005A1BE4" w:rsidP="00BD0B63">
            <w:pPr>
              <w:ind w:left="0"/>
              <w:jc w:val="right"/>
              <w:rPr>
                <w:rFonts w:cs="Lucida Sans Unicode"/>
                <w:bCs/>
                <w:position w:val="0"/>
                <w:szCs w:val="20"/>
              </w:rPr>
            </w:pPr>
            <w:r>
              <w:rPr>
                <w:rFonts w:cs="Lucida Sans Unicode"/>
                <w:bCs/>
                <w:position w:val="0"/>
                <w:szCs w:val="20"/>
              </w:rPr>
              <w:t>-101</w:t>
            </w:r>
          </w:p>
        </w:tc>
        <w:tc>
          <w:tcPr>
            <w:tcW w:w="822" w:type="dxa"/>
            <w:shd w:val="clear" w:color="auto" w:fill="auto"/>
            <w:noWrap/>
            <w:vAlign w:val="bottom"/>
          </w:tcPr>
          <w:p w:rsidR="00665480" w:rsidRDefault="00665480" w:rsidP="00BD0B63">
            <w:pPr>
              <w:ind w:left="0"/>
              <w:jc w:val="right"/>
              <w:rPr>
                <w:rFonts w:cs="Lucida Sans Unicode"/>
                <w:b/>
                <w:bCs/>
                <w:position w:val="0"/>
                <w:szCs w:val="20"/>
              </w:rPr>
            </w:pPr>
          </w:p>
        </w:tc>
      </w:tr>
      <w:tr w:rsidR="00665480" w:rsidRPr="00DA2E4E" w:rsidTr="0037497A">
        <w:trPr>
          <w:trHeight w:val="255"/>
        </w:trPr>
        <w:tc>
          <w:tcPr>
            <w:tcW w:w="4835" w:type="dxa"/>
            <w:shd w:val="clear" w:color="auto" w:fill="auto"/>
            <w:noWrap/>
            <w:vAlign w:val="bottom"/>
          </w:tcPr>
          <w:p w:rsidR="00665480" w:rsidRPr="00D174CB" w:rsidRDefault="00665480" w:rsidP="00BD0B63">
            <w:pPr>
              <w:ind w:left="0"/>
              <w:rPr>
                <w:rFonts w:cs="Lucida Sans Unicode"/>
                <w:position w:val="0"/>
                <w:szCs w:val="20"/>
              </w:rPr>
            </w:pPr>
            <w:r w:rsidRPr="00D174CB">
              <w:rPr>
                <w:rFonts w:cs="Lucida Sans Unicode"/>
                <w:position w:val="0"/>
                <w:szCs w:val="20"/>
              </w:rPr>
              <w:t>Konzernergebnis</w:t>
            </w:r>
          </w:p>
        </w:tc>
        <w:tc>
          <w:tcPr>
            <w:tcW w:w="823" w:type="dxa"/>
            <w:shd w:val="clear" w:color="auto" w:fill="CCCCCC"/>
            <w:noWrap/>
            <w:vAlign w:val="bottom"/>
          </w:tcPr>
          <w:p w:rsidR="00665480" w:rsidRPr="00F73E17" w:rsidRDefault="005A1BE4" w:rsidP="00BD0B63">
            <w:pPr>
              <w:ind w:left="0"/>
              <w:jc w:val="right"/>
              <w:rPr>
                <w:rFonts w:cs="Lucida Sans Unicode"/>
                <w:bCs/>
                <w:position w:val="0"/>
                <w:szCs w:val="20"/>
              </w:rPr>
            </w:pPr>
            <w:r>
              <w:rPr>
                <w:rFonts w:cs="Lucida Sans Unicode"/>
                <w:bCs/>
                <w:position w:val="0"/>
                <w:szCs w:val="20"/>
              </w:rPr>
              <w:t>111</w:t>
            </w:r>
          </w:p>
        </w:tc>
        <w:tc>
          <w:tcPr>
            <w:tcW w:w="822" w:type="dxa"/>
            <w:shd w:val="clear" w:color="auto" w:fill="auto"/>
            <w:noWrap/>
            <w:vAlign w:val="bottom"/>
          </w:tcPr>
          <w:p w:rsidR="00665480" w:rsidRPr="00F73E17" w:rsidRDefault="005A1BE4" w:rsidP="00BD0B63">
            <w:pPr>
              <w:ind w:left="0"/>
              <w:jc w:val="right"/>
              <w:rPr>
                <w:rFonts w:cs="Lucida Sans Unicode"/>
                <w:bCs/>
                <w:position w:val="0"/>
                <w:szCs w:val="20"/>
              </w:rPr>
            </w:pPr>
            <w:r>
              <w:rPr>
                <w:rFonts w:cs="Lucida Sans Unicode"/>
                <w:bCs/>
                <w:position w:val="0"/>
                <w:szCs w:val="20"/>
              </w:rPr>
              <w:t>1.473</w:t>
            </w:r>
          </w:p>
        </w:tc>
        <w:tc>
          <w:tcPr>
            <w:tcW w:w="822" w:type="dxa"/>
            <w:shd w:val="clear" w:color="auto" w:fill="auto"/>
            <w:noWrap/>
            <w:vAlign w:val="bottom"/>
          </w:tcPr>
          <w:p w:rsidR="00665480" w:rsidRPr="00F73E17" w:rsidRDefault="005A1BE4" w:rsidP="00BD0B63">
            <w:pPr>
              <w:ind w:left="0"/>
              <w:jc w:val="right"/>
              <w:rPr>
                <w:rFonts w:cs="Lucida Sans Unicode"/>
                <w:bCs/>
                <w:position w:val="0"/>
                <w:szCs w:val="20"/>
              </w:rPr>
            </w:pPr>
            <w:r>
              <w:rPr>
                <w:rFonts w:cs="Lucida Sans Unicode"/>
                <w:bCs/>
                <w:position w:val="0"/>
                <w:szCs w:val="20"/>
              </w:rPr>
              <w:t>-92</w:t>
            </w:r>
          </w:p>
        </w:tc>
        <w:tc>
          <w:tcPr>
            <w:tcW w:w="823" w:type="dxa"/>
            <w:shd w:val="clear" w:color="auto" w:fill="CCCCCC"/>
            <w:noWrap/>
            <w:vAlign w:val="bottom"/>
          </w:tcPr>
          <w:p w:rsidR="00665480" w:rsidRPr="00F73E17" w:rsidRDefault="005A1BE4" w:rsidP="00BD0B63">
            <w:pPr>
              <w:ind w:left="0"/>
              <w:jc w:val="right"/>
              <w:rPr>
                <w:rFonts w:cs="Lucida Sans Unicode"/>
                <w:bCs/>
                <w:position w:val="0"/>
                <w:szCs w:val="20"/>
              </w:rPr>
            </w:pPr>
            <w:r>
              <w:rPr>
                <w:rFonts w:cs="Lucida Sans Unicode"/>
                <w:bCs/>
                <w:position w:val="0"/>
                <w:szCs w:val="20"/>
              </w:rPr>
              <w:t>416</w:t>
            </w:r>
          </w:p>
        </w:tc>
        <w:tc>
          <w:tcPr>
            <w:tcW w:w="822" w:type="dxa"/>
            <w:shd w:val="clear" w:color="auto" w:fill="auto"/>
            <w:noWrap/>
            <w:vAlign w:val="bottom"/>
          </w:tcPr>
          <w:p w:rsidR="00665480" w:rsidRPr="00F73E17" w:rsidRDefault="005A1BE4" w:rsidP="00BD0B63">
            <w:pPr>
              <w:ind w:left="0"/>
              <w:jc w:val="right"/>
              <w:rPr>
                <w:rFonts w:cs="Lucida Sans Unicode"/>
                <w:bCs/>
                <w:position w:val="0"/>
                <w:szCs w:val="20"/>
              </w:rPr>
            </w:pPr>
            <w:r>
              <w:rPr>
                <w:rFonts w:cs="Lucida Sans Unicode"/>
                <w:bCs/>
                <w:position w:val="0"/>
                <w:szCs w:val="20"/>
              </w:rPr>
              <w:t>1.959</w:t>
            </w:r>
          </w:p>
        </w:tc>
        <w:tc>
          <w:tcPr>
            <w:tcW w:w="822" w:type="dxa"/>
            <w:shd w:val="clear" w:color="auto" w:fill="auto"/>
            <w:noWrap/>
            <w:vAlign w:val="bottom"/>
          </w:tcPr>
          <w:p w:rsidR="00665480" w:rsidRPr="00F73E17" w:rsidRDefault="005A1BE4" w:rsidP="00BD0B63">
            <w:pPr>
              <w:ind w:left="0"/>
              <w:jc w:val="right"/>
              <w:rPr>
                <w:rFonts w:cs="Lucida Sans Unicode"/>
                <w:bCs/>
                <w:position w:val="0"/>
                <w:szCs w:val="20"/>
              </w:rPr>
            </w:pPr>
            <w:r>
              <w:rPr>
                <w:rFonts w:cs="Lucida Sans Unicode"/>
                <w:bCs/>
                <w:position w:val="0"/>
                <w:szCs w:val="20"/>
              </w:rPr>
              <w:t>-79</w:t>
            </w:r>
          </w:p>
        </w:tc>
      </w:tr>
      <w:tr w:rsidR="00665480" w:rsidRPr="00DA2E4E" w:rsidTr="0037497A">
        <w:trPr>
          <w:trHeight w:val="255"/>
        </w:trPr>
        <w:tc>
          <w:tcPr>
            <w:tcW w:w="4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DA2E4E" w:rsidRDefault="00665480" w:rsidP="00BD0B63">
            <w:pPr>
              <w:ind w:left="0"/>
              <w:rPr>
                <w:rFonts w:cs="Lucida Sans Unicode"/>
                <w:b/>
                <w:position w:val="0"/>
                <w:szCs w:val="20"/>
              </w:rPr>
            </w:pPr>
            <w:r w:rsidRPr="00DA2E4E">
              <w:rPr>
                <w:rFonts w:cs="Lucida Sans Unicode"/>
                <w:b/>
                <w:position w:val="0"/>
                <w:szCs w:val="20"/>
              </w:rPr>
              <w:t>Bereinigtes Konzernergebnis</w:t>
            </w:r>
            <w:r w:rsidR="00D174CB">
              <w:rPr>
                <w:rFonts w:cs="Lucida Sans Unicode"/>
                <w:b/>
                <w:position w:val="0"/>
                <w:szCs w:val="20"/>
              </w:rPr>
              <w:t xml:space="preserve"> </w:t>
            </w:r>
            <w:r w:rsidR="00D174CB" w:rsidRPr="00BC2480">
              <w:rPr>
                <w:rFonts w:cs="Lucida Sans Unicode"/>
                <w:position w:val="0"/>
                <w:szCs w:val="20"/>
              </w:rPr>
              <w:t>(fortgeführte Aktivitäten)</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665480" w:rsidRPr="00DA2E4E" w:rsidRDefault="00D174CB" w:rsidP="00BD0B63">
            <w:pPr>
              <w:ind w:left="0"/>
              <w:jc w:val="right"/>
              <w:rPr>
                <w:rFonts w:cs="Lucida Sans Unicode"/>
                <w:b/>
                <w:bCs/>
                <w:position w:val="0"/>
                <w:szCs w:val="20"/>
              </w:rPr>
            </w:pPr>
            <w:r>
              <w:rPr>
                <w:rFonts w:cs="Lucida Sans Unicode"/>
                <w:b/>
                <w:bCs/>
                <w:position w:val="0"/>
                <w:szCs w:val="20"/>
              </w:rPr>
              <w:t>213</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DA2E4E" w:rsidRDefault="00D174CB" w:rsidP="00BD0B63">
            <w:pPr>
              <w:ind w:left="0"/>
              <w:jc w:val="right"/>
              <w:rPr>
                <w:rFonts w:cs="Lucida Sans Unicode"/>
                <w:b/>
                <w:bCs/>
                <w:position w:val="0"/>
                <w:szCs w:val="20"/>
              </w:rPr>
            </w:pPr>
            <w:r>
              <w:rPr>
                <w:rFonts w:cs="Lucida Sans Unicode"/>
                <w:b/>
                <w:bCs/>
                <w:position w:val="0"/>
                <w:szCs w:val="20"/>
              </w:rPr>
              <w:t>206</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DA2E4E" w:rsidRDefault="00D174CB" w:rsidP="00BD0B63">
            <w:pPr>
              <w:ind w:left="0"/>
              <w:jc w:val="right"/>
              <w:rPr>
                <w:rFonts w:cs="Lucida Sans Unicode"/>
                <w:b/>
                <w:bCs/>
                <w:position w:val="0"/>
                <w:szCs w:val="20"/>
              </w:rPr>
            </w:pPr>
            <w:r>
              <w:rPr>
                <w:rFonts w:cs="Lucida Sans Unicode"/>
                <w:b/>
                <w:bCs/>
                <w:position w:val="0"/>
                <w:szCs w:val="20"/>
              </w:rPr>
              <w:t>3</w:t>
            </w:r>
          </w:p>
        </w:tc>
        <w:tc>
          <w:tcPr>
            <w:tcW w:w="823"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665480" w:rsidRPr="00DA2E4E" w:rsidRDefault="00D174CB" w:rsidP="00BD0B63">
            <w:pPr>
              <w:ind w:left="0"/>
              <w:jc w:val="right"/>
              <w:rPr>
                <w:rFonts w:cs="Lucida Sans Unicode"/>
                <w:b/>
                <w:bCs/>
                <w:position w:val="0"/>
                <w:szCs w:val="20"/>
              </w:rPr>
            </w:pPr>
            <w:r>
              <w:rPr>
                <w:rFonts w:cs="Lucida Sans Unicode"/>
                <w:b/>
                <w:bCs/>
                <w:position w:val="0"/>
                <w:szCs w:val="20"/>
              </w:rPr>
              <w:t>561</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DA2E4E" w:rsidRDefault="00D174CB" w:rsidP="00BD0B63">
            <w:pPr>
              <w:ind w:left="0"/>
              <w:jc w:val="right"/>
              <w:rPr>
                <w:rFonts w:cs="Lucida Sans Unicode"/>
                <w:b/>
                <w:bCs/>
                <w:position w:val="0"/>
                <w:szCs w:val="20"/>
              </w:rPr>
            </w:pPr>
            <w:r>
              <w:rPr>
                <w:rFonts w:cs="Lucida Sans Unicode"/>
                <w:b/>
                <w:bCs/>
                <w:position w:val="0"/>
                <w:szCs w:val="20"/>
              </w:rPr>
              <w:t>694</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DA2E4E" w:rsidRDefault="00D174CB" w:rsidP="00BD0B63">
            <w:pPr>
              <w:ind w:left="0"/>
              <w:jc w:val="right"/>
              <w:rPr>
                <w:rFonts w:cs="Lucida Sans Unicode"/>
                <w:b/>
                <w:bCs/>
                <w:position w:val="0"/>
                <w:szCs w:val="20"/>
              </w:rPr>
            </w:pPr>
            <w:r>
              <w:rPr>
                <w:rFonts w:cs="Lucida Sans Unicode"/>
                <w:b/>
                <w:bCs/>
                <w:position w:val="0"/>
                <w:szCs w:val="20"/>
              </w:rPr>
              <w:t>-19</w:t>
            </w:r>
          </w:p>
        </w:tc>
      </w:tr>
    </w:tbl>
    <w:p w:rsidR="00665480" w:rsidRPr="0028315E" w:rsidRDefault="00665480" w:rsidP="00BD0B63">
      <w:pPr>
        <w:spacing w:line="300" w:lineRule="exact"/>
        <w:ind w:left="0"/>
        <w:outlineLvl w:val="0"/>
        <w:rPr>
          <w:rFonts w:cs="Lucida Sans Unicode"/>
          <w:bCs/>
          <w:sz w:val="16"/>
          <w:szCs w:val="16"/>
        </w:rPr>
      </w:pPr>
      <w:r w:rsidRPr="0028315E">
        <w:rPr>
          <w:rFonts w:cs="Lucida Sans Unicode"/>
          <w:bCs/>
          <w:sz w:val="16"/>
          <w:szCs w:val="16"/>
        </w:rPr>
        <w:t>Vorjahreszahlen angepasst</w:t>
      </w:r>
      <w:r w:rsidR="00362FE2">
        <w:rPr>
          <w:rFonts w:cs="Lucida Sans Unicode"/>
          <w:bCs/>
          <w:sz w:val="16"/>
          <w:szCs w:val="16"/>
        </w:rPr>
        <w:t xml:space="preserve"> </w:t>
      </w:r>
    </w:p>
    <w:p w:rsidR="00665480" w:rsidRDefault="00665480" w:rsidP="00BD0B63">
      <w:pPr>
        <w:spacing w:line="300" w:lineRule="exact"/>
        <w:ind w:left="0"/>
        <w:outlineLvl w:val="0"/>
        <w:rPr>
          <w:rFonts w:cs="Lucida Sans Unicode"/>
          <w:b/>
          <w:bCs/>
          <w:sz w:val="20"/>
          <w:szCs w:val="20"/>
        </w:rPr>
      </w:pPr>
    </w:p>
    <w:p w:rsidR="0033355C" w:rsidRDefault="0033355C" w:rsidP="0033355C">
      <w:pPr>
        <w:spacing w:after="120" w:line="300" w:lineRule="atLeast"/>
        <w:ind w:left="0"/>
        <w:rPr>
          <w:rFonts w:cs="Lucida Sans Unicode"/>
          <w:b/>
          <w:bCs/>
          <w:sz w:val="20"/>
          <w:szCs w:val="20"/>
        </w:rPr>
      </w:pPr>
    </w:p>
    <w:p w:rsidR="00665480" w:rsidRDefault="00665480" w:rsidP="0033355C">
      <w:pPr>
        <w:spacing w:after="120" w:line="300" w:lineRule="atLeast"/>
        <w:ind w:left="0"/>
        <w:rPr>
          <w:rFonts w:cs="Lucida Sans Unicode"/>
          <w:b/>
          <w:bCs/>
          <w:sz w:val="20"/>
          <w:szCs w:val="20"/>
        </w:rPr>
      </w:pPr>
      <w:r>
        <w:rPr>
          <w:rFonts w:cs="Lucida Sans Unicode"/>
          <w:b/>
          <w:bCs/>
          <w:sz w:val="20"/>
          <w:szCs w:val="20"/>
        </w:rPr>
        <w:t>Entwicklung in den Segmenten</w:t>
      </w:r>
    </w:p>
    <w:tbl>
      <w:tblPr>
        <w:tblW w:w="9884" w:type="dxa"/>
        <w:tblInd w:w="55" w:type="dxa"/>
        <w:tblCellMar>
          <w:left w:w="70" w:type="dxa"/>
          <w:right w:w="70" w:type="dxa"/>
        </w:tblCellMar>
        <w:tblLook w:val="0000" w:firstRow="0" w:lastRow="0" w:firstColumn="0" w:lastColumn="0" w:noHBand="0" w:noVBand="0"/>
      </w:tblPr>
      <w:tblGrid>
        <w:gridCol w:w="3193"/>
        <w:gridCol w:w="1125"/>
        <w:gridCol w:w="1125"/>
        <w:gridCol w:w="1125"/>
        <w:gridCol w:w="1114"/>
        <w:gridCol w:w="1080"/>
        <w:gridCol w:w="45"/>
        <w:gridCol w:w="1077"/>
      </w:tblGrid>
      <w:tr w:rsidR="00665480" w:rsidTr="00665480">
        <w:trPr>
          <w:trHeight w:val="271"/>
        </w:trPr>
        <w:tc>
          <w:tcPr>
            <w:tcW w:w="3193" w:type="dxa"/>
            <w:tcBorders>
              <w:top w:val="single" w:sz="4" w:space="0" w:color="auto"/>
              <w:left w:val="single" w:sz="4" w:space="0" w:color="auto"/>
              <w:bottom w:val="nil"/>
              <w:right w:val="single" w:sz="4" w:space="0" w:color="auto"/>
            </w:tcBorders>
            <w:shd w:val="clear" w:color="auto" w:fill="auto"/>
            <w:noWrap/>
            <w:vAlign w:val="center"/>
          </w:tcPr>
          <w:p w:rsidR="00665480" w:rsidRDefault="00665480" w:rsidP="00BD0B63">
            <w:pPr>
              <w:ind w:left="0"/>
              <w:jc w:val="right"/>
              <w:rPr>
                <w:rFonts w:cs="Lucida Sans Unicode"/>
                <w:b/>
                <w:bCs/>
                <w:szCs w:val="20"/>
              </w:rPr>
            </w:pPr>
            <w:r>
              <w:rPr>
                <w:rFonts w:cs="Lucida Sans Unicode"/>
                <w:b/>
                <w:bCs/>
                <w:szCs w:val="20"/>
              </w:rPr>
              <w:t> </w:t>
            </w:r>
          </w:p>
        </w:tc>
        <w:tc>
          <w:tcPr>
            <w:tcW w:w="3375" w:type="dxa"/>
            <w:gridSpan w:val="3"/>
            <w:tcBorders>
              <w:top w:val="single" w:sz="4" w:space="0" w:color="auto"/>
              <w:left w:val="nil"/>
              <w:bottom w:val="single" w:sz="4" w:space="0" w:color="auto"/>
              <w:right w:val="single" w:sz="4" w:space="0" w:color="000000"/>
            </w:tcBorders>
            <w:shd w:val="clear" w:color="auto" w:fill="auto"/>
            <w:noWrap/>
            <w:vAlign w:val="bottom"/>
          </w:tcPr>
          <w:p w:rsidR="00665480" w:rsidRDefault="00085C27" w:rsidP="00BD0B63">
            <w:pPr>
              <w:ind w:left="0"/>
              <w:jc w:val="center"/>
              <w:rPr>
                <w:rFonts w:cs="Lucida Sans Unicode"/>
                <w:b/>
                <w:bCs/>
                <w:szCs w:val="20"/>
              </w:rPr>
            </w:pPr>
            <w:r>
              <w:rPr>
                <w:rFonts w:cs="Lucida Sans Unicode"/>
                <w:b/>
                <w:bCs/>
                <w:szCs w:val="20"/>
              </w:rPr>
              <w:t>Umsatz 3</w:t>
            </w:r>
            <w:r w:rsidR="00665480">
              <w:rPr>
                <w:rFonts w:cs="Lucida Sans Unicode"/>
                <w:b/>
                <w:bCs/>
                <w:szCs w:val="20"/>
              </w:rPr>
              <w:t xml:space="preserve">. Quartal </w:t>
            </w:r>
          </w:p>
        </w:tc>
        <w:tc>
          <w:tcPr>
            <w:tcW w:w="3316" w:type="dxa"/>
            <w:gridSpan w:val="4"/>
            <w:tcBorders>
              <w:top w:val="single" w:sz="4" w:space="0" w:color="auto"/>
              <w:left w:val="nil"/>
              <w:bottom w:val="single" w:sz="4" w:space="0" w:color="auto"/>
              <w:right w:val="single" w:sz="4" w:space="0" w:color="auto"/>
            </w:tcBorders>
            <w:shd w:val="clear" w:color="auto" w:fill="auto"/>
            <w:noWrap/>
            <w:vAlign w:val="bottom"/>
          </w:tcPr>
          <w:p w:rsidR="00665480" w:rsidRDefault="00665480" w:rsidP="00085C27">
            <w:pPr>
              <w:ind w:left="0"/>
              <w:jc w:val="center"/>
              <w:rPr>
                <w:rFonts w:cs="Lucida Sans Unicode"/>
                <w:b/>
                <w:bCs/>
                <w:szCs w:val="20"/>
              </w:rPr>
            </w:pPr>
            <w:r>
              <w:rPr>
                <w:rFonts w:cs="Lucida Sans Unicode"/>
                <w:b/>
                <w:bCs/>
                <w:szCs w:val="20"/>
              </w:rPr>
              <w:t xml:space="preserve">Bereinigtes EBITDA </w:t>
            </w:r>
            <w:r w:rsidR="00085C27">
              <w:rPr>
                <w:rFonts w:cs="Lucida Sans Unicode"/>
                <w:b/>
                <w:bCs/>
                <w:szCs w:val="20"/>
              </w:rPr>
              <w:t>3</w:t>
            </w:r>
            <w:r>
              <w:rPr>
                <w:rFonts w:cs="Lucida Sans Unicode"/>
                <w:b/>
                <w:bCs/>
                <w:szCs w:val="20"/>
              </w:rPr>
              <w:t>. Quartal</w:t>
            </w:r>
          </w:p>
        </w:tc>
      </w:tr>
      <w:tr w:rsidR="00665480" w:rsidTr="00665480">
        <w:trPr>
          <w:trHeight w:val="255"/>
        </w:trPr>
        <w:tc>
          <w:tcPr>
            <w:tcW w:w="3193" w:type="dxa"/>
            <w:tcBorders>
              <w:top w:val="nil"/>
              <w:left w:val="single" w:sz="4" w:space="0" w:color="auto"/>
              <w:bottom w:val="nil"/>
              <w:right w:val="single" w:sz="4" w:space="0" w:color="auto"/>
            </w:tcBorders>
            <w:shd w:val="clear" w:color="auto" w:fill="auto"/>
            <w:noWrap/>
            <w:vAlign w:val="center"/>
          </w:tcPr>
          <w:p w:rsidR="00665480" w:rsidRDefault="00665480" w:rsidP="00BD0B63">
            <w:pPr>
              <w:ind w:left="0"/>
              <w:rPr>
                <w:rFonts w:cs="Lucida Sans Unicode"/>
                <w:b/>
                <w:bCs/>
                <w:szCs w:val="20"/>
              </w:rPr>
            </w:pPr>
          </w:p>
        </w:tc>
        <w:tc>
          <w:tcPr>
            <w:tcW w:w="1125" w:type="dxa"/>
            <w:tcBorders>
              <w:top w:val="single" w:sz="4" w:space="0" w:color="auto"/>
              <w:left w:val="nil"/>
              <w:right w:val="single" w:sz="4" w:space="0" w:color="auto"/>
            </w:tcBorders>
            <w:shd w:val="clear" w:color="auto" w:fill="CCCCCC"/>
            <w:noWrap/>
            <w:vAlign w:val="bottom"/>
          </w:tcPr>
          <w:p w:rsidR="00665480" w:rsidRDefault="00665480" w:rsidP="00085C27">
            <w:pPr>
              <w:ind w:left="0"/>
              <w:jc w:val="center"/>
              <w:rPr>
                <w:rFonts w:cs="Lucida Sans Unicode"/>
                <w:b/>
                <w:bCs/>
                <w:szCs w:val="20"/>
              </w:rPr>
            </w:pPr>
            <w:r>
              <w:rPr>
                <w:rFonts w:cs="Lucida Sans Unicode"/>
                <w:b/>
                <w:bCs/>
                <w:szCs w:val="20"/>
              </w:rPr>
              <w:t>Q</w:t>
            </w:r>
            <w:r w:rsidR="00085C27">
              <w:rPr>
                <w:rFonts w:cs="Lucida Sans Unicode"/>
                <w:b/>
                <w:bCs/>
                <w:szCs w:val="20"/>
              </w:rPr>
              <w:t>3</w:t>
            </w:r>
            <w:r>
              <w:rPr>
                <w:rFonts w:cs="Lucida Sans Unicode"/>
                <w:b/>
                <w:bCs/>
                <w:szCs w:val="20"/>
              </w:rPr>
              <w:t>/201</w:t>
            </w:r>
            <w:r w:rsidR="00DA2E4E">
              <w:rPr>
                <w:rFonts w:cs="Lucida Sans Unicode"/>
                <w:b/>
                <w:bCs/>
                <w:szCs w:val="20"/>
              </w:rPr>
              <w:t>4</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665480" w:rsidRDefault="00085C27" w:rsidP="00BD0B63">
            <w:pPr>
              <w:ind w:left="0"/>
              <w:jc w:val="center"/>
              <w:rPr>
                <w:rFonts w:cs="Lucida Sans Unicode"/>
                <w:b/>
                <w:bCs/>
                <w:szCs w:val="20"/>
              </w:rPr>
            </w:pPr>
            <w:r>
              <w:rPr>
                <w:rFonts w:cs="Lucida Sans Unicode"/>
                <w:b/>
                <w:bCs/>
                <w:szCs w:val="20"/>
              </w:rPr>
              <w:t>Q3</w:t>
            </w:r>
            <w:r w:rsidR="00665480">
              <w:rPr>
                <w:rFonts w:cs="Lucida Sans Unicode"/>
                <w:b/>
                <w:bCs/>
                <w:szCs w:val="20"/>
              </w:rPr>
              <w:t>/201</w:t>
            </w:r>
            <w:r w:rsidR="00DA2E4E">
              <w:rPr>
                <w:rFonts w:cs="Lucida Sans Unicode"/>
                <w:b/>
                <w:bCs/>
                <w:szCs w:val="20"/>
              </w:rPr>
              <w:t>3</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665480" w:rsidRDefault="00665480" w:rsidP="00BD0B63">
            <w:pPr>
              <w:ind w:left="0"/>
              <w:jc w:val="center"/>
              <w:rPr>
                <w:rFonts w:cs="Lucida Sans Unicode"/>
                <w:b/>
                <w:bCs/>
                <w:szCs w:val="20"/>
              </w:rPr>
            </w:pPr>
            <w:proofErr w:type="spellStart"/>
            <w:r>
              <w:rPr>
                <w:rFonts w:cs="Lucida Sans Unicode"/>
                <w:b/>
                <w:bCs/>
                <w:szCs w:val="20"/>
              </w:rPr>
              <w:t>Veränd</w:t>
            </w:r>
            <w:proofErr w:type="spellEnd"/>
            <w:r>
              <w:rPr>
                <w:rFonts w:cs="Lucida Sans Unicode"/>
                <w:b/>
                <w:bCs/>
                <w:szCs w:val="20"/>
              </w:rPr>
              <w:t>.</w:t>
            </w:r>
          </w:p>
        </w:tc>
        <w:tc>
          <w:tcPr>
            <w:tcW w:w="1114" w:type="dxa"/>
            <w:tcBorders>
              <w:top w:val="single" w:sz="4" w:space="0" w:color="auto"/>
              <w:left w:val="nil"/>
              <w:right w:val="single" w:sz="4" w:space="0" w:color="auto"/>
            </w:tcBorders>
            <w:shd w:val="clear" w:color="auto" w:fill="CCCCCC"/>
            <w:noWrap/>
            <w:vAlign w:val="bottom"/>
          </w:tcPr>
          <w:p w:rsidR="00665480" w:rsidRDefault="00085C27" w:rsidP="00BD0B63">
            <w:pPr>
              <w:ind w:left="0"/>
              <w:jc w:val="center"/>
              <w:rPr>
                <w:rFonts w:cs="Lucida Sans Unicode"/>
                <w:b/>
                <w:bCs/>
                <w:szCs w:val="20"/>
              </w:rPr>
            </w:pPr>
            <w:r>
              <w:rPr>
                <w:rFonts w:cs="Lucida Sans Unicode"/>
                <w:b/>
                <w:bCs/>
                <w:szCs w:val="20"/>
              </w:rPr>
              <w:t>Q3</w:t>
            </w:r>
            <w:r w:rsidR="00665480">
              <w:rPr>
                <w:rFonts w:cs="Lucida Sans Unicode"/>
                <w:b/>
                <w:bCs/>
                <w:szCs w:val="20"/>
              </w:rPr>
              <w:t>/201</w:t>
            </w:r>
            <w:r w:rsidR="00DA2E4E">
              <w:rPr>
                <w:rFonts w:cs="Lucida Sans Unicode"/>
                <w:b/>
                <w:bCs/>
                <w:szCs w:val="20"/>
              </w:rPr>
              <w:t>4</w:t>
            </w:r>
          </w:p>
        </w:tc>
        <w:tc>
          <w:tcPr>
            <w:tcW w:w="1125" w:type="dxa"/>
            <w:gridSpan w:val="2"/>
            <w:tcBorders>
              <w:top w:val="single" w:sz="4" w:space="0" w:color="auto"/>
              <w:left w:val="single" w:sz="4" w:space="0" w:color="auto"/>
              <w:bottom w:val="nil"/>
              <w:right w:val="single" w:sz="4" w:space="0" w:color="auto"/>
            </w:tcBorders>
            <w:shd w:val="clear" w:color="auto" w:fill="auto"/>
            <w:noWrap/>
            <w:vAlign w:val="bottom"/>
          </w:tcPr>
          <w:p w:rsidR="00665480" w:rsidRDefault="00085C27" w:rsidP="00BD0B63">
            <w:pPr>
              <w:ind w:left="0"/>
              <w:jc w:val="center"/>
              <w:rPr>
                <w:rFonts w:cs="Lucida Sans Unicode"/>
                <w:b/>
                <w:bCs/>
                <w:szCs w:val="20"/>
              </w:rPr>
            </w:pPr>
            <w:r>
              <w:rPr>
                <w:rFonts w:cs="Lucida Sans Unicode"/>
                <w:b/>
                <w:bCs/>
                <w:szCs w:val="20"/>
              </w:rPr>
              <w:t>Q3</w:t>
            </w:r>
            <w:r w:rsidR="00665480">
              <w:rPr>
                <w:rFonts w:cs="Lucida Sans Unicode"/>
                <w:b/>
                <w:bCs/>
                <w:szCs w:val="20"/>
              </w:rPr>
              <w:t>/201</w:t>
            </w:r>
            <w:r w:rsidR="00DA2E4E">
              <w:rPr>
                <w:rFonts w:cs="Lucida Sans Unicode"/>
                <w:b/>
                <w:bCs/>
                <w:szCs w:val="20"/>
              </w:rPr>
              <w:t>3</w:t>
            </w:r>
          </w:p>
        </w:tc>
        <w:tc>
          <w:tcPr>
            <w:tcW w:w="1077" w:type="dxa"/>
            <w:tcBorders>
              <w:top w:val="single" w:sz="4" w:space="0" w:color="auto"/>
              <w:left w:val="single" w:sz="4" w:space="0" w:color="auto"/>
              <w:bottom w:val="nil"/>
              <w:right w:val="single" w:sz="4" w:space="0" w:color="auto"/>
            </w:tcBorders>
            <w:shd w:val="clear" w:color="auto" w:fill="auto"/>
            <w:noWrap/>
            <w:vAlign w:val="bottom"/>
          </w:tcPr>
          <w:p w:rsidR="00665480" w:rsidRDefault="00665480" w:rsidP="00BD0B63">
            <w:pPr>
              <w:ind w:left="0"/>
              <w:jc w:val="center"/>
              <w:rPr>
                <w:rFonts w:cs="Lucida Sans Unicode"/>
                <w:b/>
                <w:bCs/>
                <w:szCs w:val="20"/>
              </w:rPr>
            </w:pPr>
            <w:proofErr w:type="spellStart"/>
            <w:r>
              <w:rPr>
                <w:rFonts w:cs="Lucida Sans Unicode"/>
                <w:b/>
                <w:bCs/>
                <w:szCs w:val="20"/>
              </w:rPr>
              <w:t>Veränd</w:t>
            </w:r>
            <w:proofErr w:type="spellEnd"/>
            <w:r>
              <w:rPr>
                <w:rFonts w:cs="Lucida Sans Unicode"/>
                <w:b/>
                <w:bCs/>
                <w:szCs w:val="20"/>
              </w:rPr>
              <w:t>.</w:t>
            </w:r>
          </w:p>
        </w:tc>
      </w:tr>
      <w:tr w:rsidR="00665480" w:rsidTr="00665480">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b/>
                <w:bCs/>
                <w:szCs w:val="20"/>
              </w:rPr>
            </w:pPr>
            <w:r>
              <w:rPr>
                <w:rFonts w:cs="Lucida Sans Unicode"/>
                <w:b/>
                <w:bCs/>
                <w:szCs w:val="20"/>
              </w:rPr>
              <w:t> </w:t>
            </w:r>
          </w:p>
        </w:tc>
        <w:tc>
          <w:tcPr>
            <w:tcW w:w="1125" w:type="dxa"/>
            <w:tcBorders>
              <w:left w:val="nil"/>
              <w:bottom w:val="single" w:sz="4" w:space="0" w:color="auto"/>
              <w:right w:val="single" w:sz="4" w:space="0" w:color="auto"/>
            </w:tcBorders>
            <w:shd w:val="clear" w:color="auto" w:fill="CCCCCC"/>
            <w:vAlign w:val="center"/>
          </w:tcPr>
          <w:p w:rsidR="00665480" w:rsidRDefault="00665480" w:rsidP="00BD0B63">
            <w:pPr>
              <w:ind w:left="0"/>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szCs w:val="20"/>
              </w:rPr>
            </w:pPr>
            <w:r>
              <w:rPr>
                <w:rFonts w:cs="Lucida Sans Unicode"/>
                <w:b/>
                <w:bCs/>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szCs w:val="20"/>
              </w:rPr>
            </w:pPr>
            <w:r>
              <w:rPr>
                <w:rFonts w:cs="Lucida Sans Unicode"/>
                <w:b/>
                <w:bCs/>
                <w:szCs w:val="20"/>
              </w:rPr>
              <w:t>in %</w:t>
            </w:r>
          </w:p>
        </w:tc>
        <w:tc>
          <w:tcPr>
            <w:tcW w:w="1114" w:type="dxa"/>
            <w:tcBorders>
              <w:left w:val="nil"/>
              <w:bottom w:val="single" w:sz="4" w:space="0" w:color="auto"/>
              <w:right w:val="single" w:sz="4" w:space="0" w:color="auto"/>
            </w:tcBorders>
            <w:shd w:val="clear" w:color="auto" w:fill="CCCCCC"/>
            <w:vAlign w:val="center"/>
          </w:tcPr>
          <w:p w:rsidR="00665480" w:rsidRDefault="00665480" w:rsidP="00BD0B63">
            <w:pPr>
              <w:ind w:left="0"/>
              <w:jc w:val="center"/>
              <w:rPr>
                <w:rFonts w:cs="Lucida Sans Unicode"/>
                <w:b/>
                <w:bCs/>
                <w:szCs w:val="20"/>
              </w:rPr>
            </w:pPr>
            <w:r>
              <w:rPr>
                <w:rFonts w:cs="Lucida Sans Unicode"/>
                <w:b/>
                <w:bCs/>
                <w:szCs w:val="20"/>
              </w:rPr>
              <w:t>Mio. €</w:t>
            </w:r>
          </w:p>
        </w:tc>
        <w:tc>
          <w:tcPr>
            <w:tcW w:w="1125" w:type="dxa"/>
            <w:gridSpan w:val="2"/>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szCs w:val="20"/>
              </w:rPr>
            </w:pPr>
            <w:r>
              <w:rPr>
                <w:rFonts w:cs="Lucida Sans Unicode"/>
                <w:b/>
                <w:bCs/>
                <w:szCs w:val="20"/>
              </w:rPr>
              <w:t>Mio. €</w:t>
            </w:r>
          </w:p>
        </w:tc>
        <w:tc>
          <w:tcPr>
            <w:tcW w:w="1077" w:type="dxa"/>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szCs w:val="20"/>
              </w:rPr>
            </w:pPr>
            <w:r>
              <w:rPr>
                <w:rFonts w:cs="Lucida Sans Unicode"/>
                <w:b/>
                <w:bCs/>
                <w:szCs w:val="20"/>
              </w:rPr>
              <w:t>in %</w:t>
            </w:r>
          </w:p>
        </w:tc>
      </w:tr>
      <w:tr w:rsidR="00665480" w:rsidTr="00665480">
        <w:trPr>
          <w:trHeight w:val="300"/>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Consumer, Health &amp; Nutrition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89736E" w:rsidP="00BD0B63">
            <w:pPr>
              <w:ind w:left="0"/>
              <w:jc w:val="right"/>
              <w:rPr>
                <w:rFonts w:cs="Lucida Sans Unicode"/>
                <w:position w:val="0"/>
                <w:szCs w:val="20"/>
              </w:rPr>
            </w:pPr>
            <w:r>
              <w:rPr>
                <w:rFonts w:cs="Lucida Sans Unicode"/>
                <w:position w:val="0"/>
                <w:szCs w:val="20"/>
              </w:rPr>
              <w:t>1.034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89736E" w:rsidP="00BD0B63">
            <w:pPr>
              <w:ind w:left="0"/>
              <w:jc w:val="right"/>
              <w:rPr>
                <w:rFonts w:cs="Lucida Sans Unicode"/>
                <w:position w:val="0"/>
                <w:szCs w:val="20"/>
              </w:rPr>
            </w:pPr>
            <w:r>
              <w:rPr>
                <w:rFonts w:cs="Lucida Sans Unicode"/>
                <w:position w:val="0"/>
                <w:szCs w:val="20"/>
              </w:rPr>
              <w:t>1.034</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89736E" w:rsidP="00BD0B63">
            <w:pPr>
              <w:ind w:left="0"/>
              <w:jc w:val="right"/>
              <w:rPr>
                <w:rFonts w:cs="Lucida Sans Unicode"/>
                <w:position w:val="0"/>
                <w:szCs w:val="20"/>
              </w:rPr>
            </w:pPr>
            <w:r>
              <w:rPr>
                <w:rFonts w:cs="Lucida Sans Unicode"/>
                <w:position w:val="0"/>
                <w:szCs w:val="20"/>
              </w:rPr>
              <w:t>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89736E" w:rsidP="00BD0B63">
            <w:pPr>
              <w:ind w:left="0"/>
              <w:jc w:val="right"/>
              <w:rPr>
                <w:rFonts w:cs="Lucida Sans Unicode"/>
                <w:position w:val="0"/>
                <w:szCs w:val="20"/>
              </w:rPr>
            </w:pPr>
            <w:r>
              <w:rPr>
                <w:rFonts w:cs="Lucida Sans Unicode"/>
                <w:position w:val="0"/>
                <w:szCs w:val="20"/>
              </w:rPr>
              <w:t>209</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89736E" w:rsidP="00BD0B63">
            <w:pPr>
              <w:ind w:left="0"/>
              <w:jc w:val="right"/>
              <w:rPr>
                <w:rFonts w:cs="Lucida Sans Unicode"/>
                <w:position w:val="0"/>
                <w:szCs w:val="20"/>
              </w:rPr>
            </w:pPr>
            <w:r>
              <w:rPr>
                <w:rFonts w:cs="Lucida Sans Unicode"/>
                <w:position w:val="0"/>
                <w:szCs w:val="20"/>
              </w:rPr>
              <w:t>215</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665480" w:rsidRDefault="0089736E" w:rsidP="00BD0B63">
            <w:pPr>
              <w:ind w:left="0"/>
              <w:jc w:val="right"/>
              <w:rPr>
                <w:rFonts w:cs="Lucida Sans Unicode"/>
                <w:position w:val="0"/>
                <w:szCs w:val="20"/>
              </w:rPr>
            </w:pPr>
            <w:r>
              <w:rPr>
                <w:rFonts w:cs="Lucida Sans Unicode"/>
                <w:position w:val="0"/>
                <w:szCs w:val="20"/>
              </w:rPr>
              <w:t>-3</w:t>
            </w:r>
          </w:p>
        </w:tc>
      </w:tr>
      <w:tr w:rsidR="00665480" w:rsidTr="00665480">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813</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795</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3A7623" w:rsidP="00BD0B63">
            <w:pPr>
              <w:ind w:left="0"/>
              <w:jc w:val="right"/>
              <w:rPr>
                <w:rFonts w:cs="Lucida Sans Unicode"/>
                <w:position w:val="0"/>
                <w:szCs w:val="20"/>
              </w:rPr>
            </w:pPr>
            <w:r>
              <w:rPr>
                <w:rFonts w:cs="Lucida Sans Unicode"/>
                <w:position w:val="0"/>
                <w:szCs w:val="20"/>
              </w:rPr>
              <w:t>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173</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169</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665480" w:rsidRDefault="003A7623" w:rsidP="00BD0B63">
            <w:pPr>
              <w:ind w:left="0"/>
              <w:jc w:val="right"/>
              <w:rPr>
                <w:rFonts w:cs="Lucida Sans Unicode"/>
                <w:position w:val="0"/>
                <w:szCs w:val="20"/>
              </w:rPr>
            </w:pPr>
            <w:r>
              <w:rPr>
                <w:rFonts w:cs="Lucida Sans Unicode"/>
                <w:position w:val="0"/>
                <w:szCs w:val="20"/>
              </w:rPr>
              <w:t>2</w:t>
            </w:r>
          </w:p>
        </w:tc>
      </w:tr>
      <w:tr w:rsidR="00665480" w:rsidTr="00665480">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Specialty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1.160</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1.132</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F66192" w:rsidP="00F66192">
            <w:pPr>
              <w:ind w:left="0"/>
              <w:jc w:val="right"/>
              <w:rPr>
                <w:rFonts w:cs="Lucida Sans Unicode"/>
                <w:position w:val="0"/>
                <w:szCs w:val="20"/>
              </w:rPr>
            </w:pPr>
            <w:r>
              <w:rPr>
                <w:rFonts w:cs="Lucida Sans Unicode"/>
                <w:position w:val="0"/>
                <w:szCs w:val="20"/>
              </w:rPr>
              <w:t>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128</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147</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665480" w:rsidRDefault="003A7623" w:rsidP="006D08E6">
            <w:pPr>
              <w:ind w:left="0"/>
              <w:jc w:val="right"/>
              <w:rPr>
                <w:rFonts w:cs="Lucida Sans Unicode"/>
                <w:position w:val="0"/>
                <w:szCs w:val="20"/>
              </w:rPr>
            </w:pPr>
            <w:r>
              <w:rPr>
                <w:rFonts w:cs="Lucida Sans Unicode"/>
                <w:position w:val="0"/>
                <w:szCs w:val="20"/>
              </w:rPr>
              <w:t>-13</w:t>
            </w:r>
          </w:p>
        </w:tc>
      </w:tr>
      <w:tr w:rsidR="00665480" w:rsidTr="00665480">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214</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219</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3A7623" w:rsidP="00BD0B63">
            <w:pPr>
              <w:ind w:left="0"/>
              <w:jc w:val="right"/>
              <w:rPr>
                <w:rFonts w:cs="Lucida Sans Unicode"/>
                <w:position w:val="0"/>
                <w:szCs w:val="20"/>
              </w:rPr>
            </w:pPr>
            <w:r>
              <w:rPr>
                <w:rFonts w:cs="Lucida Sans Unicode"/>
                <w:position w:val="0"/>
                <w:szCs w:val="20"/>
              </w:rPr>
              <w:t>-2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54</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50</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665480" w:rsidRDefault="003F0444" w:rsidP="00BD0B63">
            <w:pPr>
              <w:ind w:left="0"/>
              <w:jc w:val="right"/>
              <w:rPr>
                <w:rFonts w:cs="Lucida Sans Unicode"/>
                <w:position w:val="0"/>
                <w:szCs w:val="20"/>
              </w:rPr>
            </w:pPr>
            <w:r>
              <w:rPr>
                <w:rFonts w:cs="Lucida Sans Unicode"/>
                <w:position w:val="0"/>
                <w:szCs w:val="20"/>
              </w:rPr>
              <w:t>8</w:t>
            </w:r>
          </w:p>
        </w:tc>
      </w:tr>
      <w:tr w:rsidR="00665480" w:rsidTr="00665480">
        <w:trPr>
          <w:trHeight w:val="300"/>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Sonstige Aktivitäten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Pr="00A03972" w:rsidRDefault="007D4EA6" w:rsidP="00BD0B63">
            <w:pPr>
              <w:ind w:left="0"/>
              <w:jc w:val="right"/>
              <w:rPr>
                <w:rFonts w:cs="Lucida Sans Unicode"/>
                <w:position w:val="0"/>
                <w:szCs w:val="20"/>
              </w:rPr>
            </w:pPr>
            <w:r>
              <w:rPr>
                <w:rFonts w:cs="Lucida Sans Unicode"/>
                <w:position w:val="0"/>
                <w:szCs w:val="20"/>
              </w:rPr>
              <w:t>22</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665480" w:rsidRDefault="007D4EA6" w:rsidP="00BD0B63">
            <w:pPr>
              <w:ind w:left="0"/>
              <w:jc w:val="right"/>
              <w:rPr>
                <w:rFonts w:cs="Lucida Sans Unicode"/>
                <w:position w:val="0"/>
                <w:szCs w:val="20"/>
              </w:rPr>
            </w:pPr>
            <w:r>
              <w:rPr>
                <w:rFonts w:cs="Lucida Sans Unicode"/>
                <w:position w:val="0"/>
                <w:szCs w:val="20"/>
              </w:rPr>
              <w:t>18</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7D4EA6" w:rsidP="00BD0B63">
            <w:pPr>
              <w:ind w:left="0"/>
              <w:jc w:val="right"/>
              <w:rPr>
                <w:rFonts w:cs="Lucida Sans Unicode"/>
                <w:position w:val="0"/>
                <w:szCs w:val="20"/>
              </w:rPr>
            </w:pPr>
            <w:r>
              <w:rPr>
                <w:rFonts w:cs="Lucida Sans Unicode"/>
                <w:position w:val="0"/>
                <w:szCs w:val="20"/>
              </w:rPr>
              <w:t>22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7D4EA6" w:rsidP="00BD0B63">
            <w:pPr>
              <w:ind w:left="0"/>
              <w:jc w:val="right"/>
              <w:rPr>
                <w:rFonts w:cs="Lucida Sans Unicode"/>
                <w:position w:val="0"/>
                <w:szCs w:val="20"/>
              </w:rPr>
            </w:pPr>
            <w:r>
              <w:rPr>
                <w:rFonts w:cs="Lucida Sans Unicode"/>
                <w:position w:val="0"/>
                <w:szCs w:val="20"/>
              </w:rPr>
              <w:t>-63</w:t>
            </w:r>
          </w:p>
        </w:tc>
        <w:tc>
          <w:tcPr>
            <w:tcW w:w="1125" w:type="dxa"/>
            <w:gridSpan w:val="2"/>
            <w:tcBorders>
              <w:top w:val="nil"/>
              <w:left w:val="single" w:sz="4" w:space="0" w:color="auto"/>
              <w:bottom w:val="single" w:sz="4" w:space="0" w:color="auto"/>
              <w:right w:val="single" w:sz="4" w:space="0" w:color="auto"/>
            </w:tcBorders>
            <w:shd w:val="clear" w:color="auto" w:fill="auto"/>
            <w:noWrap/>
            <w:vAlign w:val="center"/>
          </w:tcPr>
          <w:p w:rsidR="00665480" w:rsidRDefault="007D4EA6" w:rsidP="00523F91">
            <w:pPr>
              <w:ind w:left="0"/>
              <w:jc w:val="right"/>
              <w:rPr>
                <w:rFonts w:cs="Lucida Sans Unicode"/>
                <w:position w:val="0"/>
                <w:szCs w:val="20"/>
              </w:rPr>
            </w:pPr>
            <w:r>
              <w:rPr>
                <w:rFonts w:cs="Lucida Sans Unicode"/>
                <w:position w:val="0"/>
                <w:szCs w:val="20"/>
              </w:rPr>
              <w:t>-64</w:t>
            </w: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665480" w:rsidRDefault="00665480" w:rsidP="00BD0B63">
            <w:pPr>
              <w:ind w:left="0"/>
              <w:jc w:val="right"/>
              <w:rPr>
                <w:rFonts w:cs="Lucida Sans Unicode"/>
                <w:position w:val="0"/>
                <w:szCs w:val="20"/>
              </w:rPr>
            </w:pPr>
          </w:p>
        </w:tc>
      </w:tr>
      <w:tr w:rsidR="00665480" w:rsidRPr="00DA2E4E" w:rsidTr="00665480">
        <w:trPr>
          <w:trHeight w:val="300"/>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Pr="00DA2E4E" w:rsidRDefault="00665480" w:rsidP="00BD0B63">
            <w:pPr>
              <w:ind w:left="0"/>
              <w:rPr>
                <w:rFonts w:cs="Lucida Sans Unicode"/>
                <w:b/>
                <w:bCs/>
                <w:position w:val="0"/>
                <w:szCs w:val="20"/>
              </w:rPr>
            </w:pPr>
            <w:r w:rsidRPr="00DA2E4E">
              <w:rPr>
                <w:rFonts w:cs="Lucida Sans Unicode"/>
                <w:b/>
                <w:bCs/>
                <w:position w:val="0"/>
                <w:szCs w:val="20"/>
              </w:rPr>
              <w:t>Konzern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Pr="00AB1DB9" w:rsidRDefault="003A7623" w:rsidP="00BD0B63">
            <w:pPr>
              <w:ind w:left="0"/>
              <w:jc w:val="right"/>
              <w:rPr>
                <w:rFonts w:cs="Lucida Sans Unicode"/>
                <w:bCs/>
                <w:position w:val="0"/>
                <w:szCs w:val="20"/>
              </w:rPr>
            </w:pPr>
            <w:r>
              <w:rPr>
                <w:rFonts w:cs="Lucida Sans Unicode"/>
                <w:position w:val="0"/>
                <w:szCs w:val="20"/>
              </w:rPr>
              <w:t>3.243</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Pr="00AB1DB9" w:rsidRDefault="003A7623" w:rsidP="00BD0B63">
            <w:pPr>
              <w:ind w:left="0"/>
              <w:jc w:val="right"/>
              <w:rPr>
                <w:rFonts w:cs="Lucida Sans Unicode"/>
                <w:bCs/>
                <w:position w:val="0"/>
                <w:szCs w:val="20"/>
              </w:rPr>
            </w:pPr>
            <w:r>
              <w:rPr>
                <w:rFonts w:cs="Lucida Sans Unicode"/>
                <w:position w:val="0"/>
                <w:szCs w:val="20"/>
              </w:rPr>
              <w:t>3.198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AB1DB9" w:rsidRDefault="003A7623" w:rsidP="00BD0B63">
            <w:pPr>
              <w:ind w:left="0"/>
              <w:jc w:val="right"/>
              <w:rPr>
                <w:rFonts w:cs="Lucida Sans Unicode"/>
                <w:bCs/>
                <w:position w:val="0"/>
                <w:szCs w:val="20"/>
              </w:rPr>
            </w:pPr>
            <w:r>
              <w:rPr>
                <w:rFonts w:cs="Lucida Sans Unicode"/>
                <w:bCs/>
                <w:position w:val="0"/>
                <w:szCs w:val="20"/>
              </w:rPr>
              <w:t>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Pr="00AB1DB9" w:rsidRDefault="003A7623" w:rsidP="00BD0B63">
            <w:pPr>
              <w:ind w:left="0"/>
              <w:jc w:val="right"/>
              <w:rPr>
                <w:rFonts w:cs="Lucida Sans Unicode"/>
                <w:bCs/>
                <w:position w:val="0"/>
                <w:szCs w:val="20"/>
              </w:rPr>
            </w:pPr>
            <w:r>
              <w:rPr>
                <w:rFonts w:cs="Lucida Sans Unicode"/>
                <w:position w:val="0"/>
                <w:szCs w:val="20"/>
              </w:rPr>
              <w:t>501</w:t>
            </w:r>
          </w:p>
        </w:tc>
        <w:tc>
          <w:tcPr>
            <w:tcW w:w="11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Pr="00AB1DB9" w:rsidRDefault="003A7623" w:rsidP="00BD0B63">
            <w:pPr>
              <w:ind w:left="0"/>
              <w:jc w:val="right"/>
              <w:rPr>
                <w:rFonts w:cs="Lucida Sans Unicode"/>
                <w:bCs/>
                <w:position w:val="0"/>
                <w:szCs w:val="20"/>
              </w:rPr>
            </w:pPr>
            <w:r>
              <w:rPr>
                <w:rFonts w:cs="Lucida Sans Unicode"/>
                <w:position w:val="0"/>
                <w:szCs w:val="20"/>
              </w:rPr>
              <w:t>517</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AB1DB9" w:rsidRDefault="003A7623" w:rsidP="00BD0B63">
            <w:pPr>
              <w:ind w:left="0"/>
              <w:jc w:val="right"/>
              <w:rPr>
                <w:rFonts w:cs="Lucida Sans Unicode"/>
                <w:bCs/>
                <w:position w:val="0"/>
                <w:szCs w:val="20"/>
              </w:rPr>
            </w:pPr>
            <w:r>
              <w:rPr>
                <w:rFonts w:cs="Lucida Sans Unicode"/>
                <w:bCs/>
                <w:position w:val="0"/>
                <w:szCs w:val="20"/>
              </w:rPr>
              <w:t>-3</w:t>
            </w:r>
          </w:p>
        </w:tc>
      </w:tr>
      <w:tr w:rsidR="00665480" w:rsidTr="00665480">
        <w:trPr>
          <w:trHeight w:val="255"/>
        </w:trPr>
        <w:tc>
          <w:tcPr>
            <w:tcW w:w="3193" w:type="dxa"/>
            <w:tcBorders>
              <w:top w:val="single" w:sz="4" w:space="0" w:color="auto"/>
              <w:left w:val="single" w:sz="4" w:space="0" w:color="auto"/>
              <w:bottom w:val="nil"/>
              <w:right w:val="single" w:sz="4" w:space="0" w:color="auto"/>
            </w:tcBorders>
            <w:shd w:val="clear" w:color="auto" w:fill="auto"/>
            <w:noWrap/>
            <w:vAlign w:val="center"/>
          </w:tcPr>
          <w:p w:rsidR="00665480" w:rsidRDefault="00665480" w:rsidP="00BD0B63">
            <w:pPr>
              <w:ind w:left="0"/>
              <w:jc w:val="right"/>
              <w:rPr>
                <w:rFonts w:cs="Lucida Sans Unicode"/>
                <w:b/>
                <w:bCs/>
                <w:position w:val="0"/>
                <w:szCs w:val="20"/>
              </w:rPr>
            </w:pPr>
            <w:r>
              <w:rPr>
                <w:rFonts w:cs="Lucida Sans Unicode"/>
                <w:b/>
                <w:bCs/>
                <w:position w:val="0"/>
                <w:szCs w:val="20"/>
              </w:rPr>
              <w:t> </w:t>
            </w:r>
          </w:p>
        </w:tc>
        <w:tc>
          <w:tcPr>
            <w:tcW w:w="3375" w:type="dxa"/>
            <w:gridSpan w:val="3"/>
            <w:tcBorders>
              <w:top w:val="single" w:sz="4" w:space="0" w:color="auto"/>
              <w:left w:val="nil"/>
              <w:bottom w:val="single" w:sz="4" w:space="0" w:color="auto"/>
              <w:right w:val="single" w:sz="4" w:space="0" w:color="auto"/>
            </w:tcBorders>
            <w:shd w:val="clear" w:color="auto" w:fill="auto"/>
            <w:noWrap/>
            <w:vAlign w:val="bottom"/>
          </w:tcPr>
          <w:p w:rsidR="00665480" w:rsidRDefault="00665480" w:rsidP="00085C27">
            <w:pPr>
              <w:ind w:left="0"/>
              <w:jc w:val="center"/>
              <w:rPr>
                <w:rFonts w:cs="Lucida Sans Unicode"/>
                <w:b/>
                <w:bCs/>
                <w:position w:val="0"/>
                <w:szCs w:val="20"/>
              </w:rPr>
            </w:pPr>
            <w:r>
              <w:rPr>
                <w:rFonts w:cs="Lucida Sans Unicode"/>
                <w:b/>
                <w:bCs/>
                <w:position w:val="0"/>
                <w:szCs w:val="20"/>
              </w:rPr>
              <w:t xml:space="preserve">Umsatz </w:t>
            </w:r>
            <w:r w:rsidR="00085C27">
              <w:rPr>
                <w:rFonts w:cs="Lucida Sans Unicode"/>
                <w:b/>
                <w:bCs/>
                <w:position w:val="0"/>
                <w:szCs w:val="20"/>
              </w:rPr>
              <w:t>9 Monate</w:t>
            </w:r>
          </w:p>
        </w:tc>
        <w:tc>
          <w:tcPr>
            <w:tcW w:w="331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Default="00665480" w:rsidP="00085C27">
            <w:pPr>
              <w:ind w:left="0"/>
              <w:jc w:val="center"/>
              <w:rPr>
                <w:rFonts w:cs="Lucida Sans Unicode"/>
                <w:b/>
                <w:bCs/>
                <w:position w:val="0"/>
                <w:szCs w:val="20"/>
              </w:rPr>
            </w:pPr>
            <w:r>
              <w:rPr>
                <w:rFonts w:cs="Lucida Sans Unicode"/>
                <w:b/>
                <w:bCs/>
                <w:position w:val="0"/>
                <w:szCs w:val="20"/>
              </w:rPr>
              <w:t xml:space="preserve">Bereinigtes EBITDA </w:t>
            </w:r>
            <w:r w:rsidR="00085C27">
              <w:rPr>
                <w:rFonts w:cs="Lucida Sans Unicode"/>
                <w:b/>
                <w:bCs/>
                <w:position w:val="0"/>
                <w:szCs w:val="20"/>
              </w:rPr>
              <w:t>9 Monate</w:t>
            </w:r>
          </w:p>
        </w:tc>
      </w:tr>
      <w:tr w:rsidR="00665480" w:rsidTr="00665480">
        <w:trPr>
          <w:trHeight w:val="255"/>
        </w:trPr>
        <w:tc>
          <w:tcPr>
            <w:tcW w:w="3193" w:type="dxa"/>
            <w:tcBorders>
              <w:top w:val="nil"/>
              <w:left w:val="single" w:sz="4" w:space="0" w:color="auto"/>
              <w:bottom w:val="nil"/>
              <w:right w:val="single" w:sz="4" w:space="0" w:color="auto"/>
            </w:tcBorders>
            <w:shd w:val="clear" w:color="auto" w:fill="auto"/>
            <w:noWrap/>
            <w:vAlign w:val="center"/>
          </w:tcPr>
          <w:p w:rsidR="00665480" w:rsidRDefault="00665480" w:rsidP="00BD0B63">
            <w:pPr>
              <w:ind w:left="0"/>
              <w:rPr>
                <w:rFonts w:cs="Lucida Sans Unicode"/>
                <w:b/>
                <w:bCs/>
                <w:position w:val="0"/>
                <w:szCs w:val="20"/>
              </w:rPr>
            </w:pPr>
          </w:p>
        </w:tc>
        <w:tc>
          <w:tcPr>
            <w:tcW w:w="1125" w:type="dxa"/>
            <w:tcBorders>
              <w:top w:val="single" w:sz="4" w:space="0" w:color="auto"/>
              <w:left w:val="nil"/>
              <w:right w:val="single" w:sz="4" w:space="0" w:color="auto"/>
            </w:tcBorders>
            <w:shd w:val="clear" w:color="auto" w:fill="CCCCCC"/>
            <w:noWrap/>
            <w:vAlign w:val="bottom"/>
          </w:tcPr>
          <w:p w:rsidR="00665480" w:rsidRDefault="00085C27" w:rsidP="00BD0B63">
            <w:pPr>
              <w:ind w:left="0"/>
              <w:jc w:val="center"/>
              <w:rPr>
                <w:rFonts w:cs="Lucida Sans Unicode"/>
                <w:b/>
                <w:bCs/>
                <w:position w:val="0"/>
                <w:szCs w:val="20"/>
              </w:rPr>
            </w:pPr>
            <w:r>
              <w:rPr>
                <w:rFonts w:cs="Lucida Sans Unicode"/>
                <w:b/>
                <w:bCs/>
                <w:position w:val="0"/>
                <w:szCs w:val="20"/>
              </w:rPr>
              <w:t>9 M</w:t>
            </w:r>
            <w:r w:rsidR="00665480">
              <w:rPr>
                <w:rFonts w:cs="Lucida Sans Unicode"/>
                <w:b/>
                <w:bCs/>
                <w:position w:val="0"/>
                <w:szCs w:val="20"/>
              </w:rPr>
              <w:t xml:space="preserve"> 201</w:t>
            </w:r>
            <w:r w:rsidR="00DA2E4E">
              <w:rPr>
                <w:rFonts w:cs="Lucida Sans Unicode"/>
                <w:b/>
                <w:bCs/>
                <w:position w:val="0"/>
                <w:szCs w:val="20"/>
              </w:rPr>
              <w:t>4</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665480" w:rsidRDefault="00085C27" w:rsidP="00BD0B63">
            <w:pPr>
              <w:ind w:left="0"/>
              <w:jc w:val="center"/>
              <w:rPr>
                <w:rFonts w:cs="Lucida Sans Unicode"/>
                <w:b/>
                <w:bCs/>
                <w:position w:val="0"/>
                <w:szCs w:val="20"/>
              </w:rPr>
            </w:pPr>
            <w:r>
              <w:rPr>
                <w:rFonts w:cs="Lucida Sans Unicode"/>
                <w:b/>
                <w:bCs/>
                <w:position w:val="0"/>
                <w:szCs w:val="20"/>
              </w:rPr>
              <w:t>9 M</w:t>
            </w:r>
            <w:r w:rsidR="00665480">
              <w:rPr>
                <w:rFonts w:cs="Lucida Sans Unicode"/>
                <w:b/>
                <w:bCs/>
                <w:position w:val="0"/>
                <w:szCs w:val="20"/>
              </w:rPr>
              <w:t xml:space="preserve"> 201</w:t>
            </w:r>
            <w:r w:rsidR="00DA2E4E">
              <w:rPr>
                <w:rFonts w:cs="Lucida Sans Unicode"/>
                <w:b/>
                <w:bCs/>
                <w:position w:val="0"/>
                <w:szCs w:val="20"/>
              </w:rPr>
              <w:t>3</w:t>
            </w:r>
          </w:p>
        </w:tc>
        <w:tc>
          <w:tcPr>
            <w:tcW w:w="1125" w:type="dxa"/>
            <w:tcBorders>
              <w:top w:val="single" w:sz="4" w:space="0" w:color="auto"/>
              <w:left w:val="single" w:sz="4" w:space="0" w:color="auto"/>
              <w:bottom w:val="nil"/>
              <w:right w:val="single" w:sz="4" w:space="0" w:color="auto"/>
            </w:tcBorders>
            <w:shd w:val="clear" w:color="auto" w:fill="auto"/>
            <w:noWrap/>
            <w:vAlign w:val="bottom"/>
          </w:tcPr>
          <w:p w:rsidR="00665480" w:rsidRDefault="00665480" w:rsidP="00BD0B63">
            <w:pPr>
              <w:ind w:left="0"/>
              <w:jc w:val="center"/>
              <w:rPr>
                <w:rFonts w:cs="Lucida Sans Unicode"/>
                <w:b/>
                <w:bCs/>
                <w:position w:val="0"/>
                <w:szCs w:val="20"/>
              </w:rPr>
            </w:pPr>
            <w:proofErr w:type="spellStart"/>
            <w:r>
              <w:rPr>
                <w:rFonts w:cs="Lucida Sans Unicode"/>
                <w:b/>
                <w:bCs/>
                <w:position w:val="0"/>
                <w:szCs w:val="20"/>
              </w:rPr>
              <w:t>Veränd</w:t>
            </w:r>
            <w:proofErr w:type="spellEnd"/>
            <w:r>
              <w:rPr>
                <w:rFonts w:cs="Lucida Sans Unicode"/>
                <w:b/>
                <w:bCs/>
                <w:position w:val="0"/>
                <w:szCs w:val="20"/>
              </w:rPr>
              <w:t>.</w:t>
            </w:r>
          </w:p>
        </w:tc>
        <w:tc>
          <w:tcPr>
            <w:tcW w:w="1114" w:type="dxa"/>
            <w:tcBorders>
              <w:top w:val="single" w:sz="4" w:space="0" w:color="auto"/>
              <w:left w:val="nil"/>
              <w:right w:val="single" w:sz="4" w:space="0" w:color="auto"/>
            </w:tcBorders>
            <w:shd w:val="clear" w:color="auto" w:fill="CCCCCC"/>
            <w:noWrap/>
            <w:vAlign w:val="bottom"/>
          </w:tcPr>
          <w:p w:rsidR="00665480" w:rsidRDefault="00085C27" w:rsidP="00BD0B63">
            <w:pPr>
              <w:ind w:left="0"/>
              <w:jc w:val="center"/>
              <w:rPr>
                <w:rFonts w:cs="Lucida Sans Unicode"/>
                <w:b/>
                <w:bCs/>
                <w:position w:val="0"/>
                <w:szCs w:val="20"/>
              </w:rPr>
            </w:pPr>
            <w:r>
              <w:rPr>
                <w:rFonts w:cs="Lucida Sans Unicode"/>
                <w:b/>
                <w:bCs/>
                <w:position w:val="0"/>
                <w:szCs w:val="20"/>
              </w:rPr>
              <w:t>9 M</w:t>
            </w:r>
            <w:r w:rsidR="00665480">
              <w:rPr>
                <w:rFonts w:cs="Lucida Sans Unicode"/>
                <w:b/>
                <w:bCs/>
                <w:position w:val="0"/>
                <w:szCs w:val="20"/>
              </w:rPr>
              <w:t xml:space="preserve"> 201</w:t>
            </w:r>
            <w:r w:rsidR="00DA2E4E">
              <w:rPr>
                <w:rFonts w:cs="Lucida Sans Unicode"/>
                <w:b/>
                <w:bCs/>
                <w:position w:val="0"/>
                <w:szCs w:val="20"/>
              </w:rPr>
              <w:t>4</w:t>
            </w:r>
          </w:p>
        </w:tc>
        <w:tc>
          <w:tcPr>
            <w:tcW w:w="1080" w:type="dxa"/>
            <w:tcBorders>
              <w:top w:val="single" w:sz="4" w:space="0" w:color="auto"/>
              <w:left w:val="single" w:sz="4" w:space="0" w:color="auto"/>
              <w:bottom w:val="nil"/>
              <w:right w:val="single" w:sz="4" w:space="0" w:color="auto"/>
            </w:tcBorders>
            <w:shd w:val="clear" w:color="auto" w:fill="auto"/>
            <w:noWrap/>
            <w:vAlign w:val="bottom"/>
          </w:tcPr>
          <w:p w:rsidR="00665480" w:rsidRDefault="00085C27" w:rsidP="00BD0B63">
            <w:pPr>
              <w:ind w:left="0"/>
              <w:jc w:val="center"/>
              <w:rPr>
                <w:rFonts w:cs="Lucida Sans Unicode"/>
                <w:b/>
                <w:bCs/>
                <w:position w:val="0"/>
                <w:szCs w:val="20"/>
              </w:rPr>
            </w:pPr>
            <w:r>
              <w:rPr>
                <w:rFonts w:cs="Lucida Sans Unicode"/>
                <w:b/>
                <w:bCs/>
                <w:position w:val="0"/>
                <w:szCs w:val="20"/>
              </w:rPr>
              <w:t>9 M</w:t>
            </w:r>
            <w:r w:rsidR="00665480">
              <w:rPr>
                <w:rFonts w:cs="Lucida Sans Unicode"/>
                <w:b/>
                <w:bCs/>
                <w:position w:val="0"/>
                <w:szCs w:val="20"/>
              </w:rPr>
              <w:t xml:space="preserve"> 201</w:t>
            </w:r>
            <w:r w:rsidR="00DA2E4E">
              <w:rPr>
                <w:rFonts w:cs="Lucida Sans Unicode"/>
                <w:b/>
                <w:bCs/>
                <w:position w:val="0"/>
                <w:szCs w:val="20"/>
              </w:rPr>
              <w:t>3</w:t>
            </w:r>
          </w:p>
        </w:tc>
        <w:tc>
          <w:tcPr>
            <w:tcW w:w="1122" w:type="dxa"/>
            <w:gridSpan w:val="2"/>
            <w:tcBorders>
              <w:top w:val="single" w:sz="4" w:space="0" w:color="auto"/>
              <w:left w:val="single" w:sz="4" w:space="0" w:color="auto"/>
              <w:bottom w:val="nil"/>
              <w:right w:val="single" w:sz="4" w:space="0" w:color="auto"/>
            </w:tcBorders>
            <w:shd w:val="clear" w:color="auto" w:fill="auto"/>
            <w:noWrap/>
            <w:vAlign w:val="bottom"/>
          </w:tcPr>
          <w:p w:rsidR="00665480" w:rsidRDefault="00665480" w:rsidP="00BD0B63">
            <w:pPr>
              <w:ind w:left="0"/>
              <w:jc w:val="center"/>
              <w:rPr>
                <w:rFonts w:cs="Lucida Sans Unicode"/>
                <w:b/>
                <w:bCs/>
                <w:position w:val="0"/>
                <w:szCs w:val="20"/>
              </w:rPr>
            </w:pPr>
            <w:proofErr w:type="spellStart"/>
            <w:r>
              <w:rPr>
                <w:rFonts w:cs="Lucida Sans Unicode"/>
                <w:b/>
                <w:bCs/>
                <w:position w:val="0"/>
                <w:szCs w:val="20"/>
              </w:rPr>
              <w:t>Veränd</w:t>
            </w:r>
            <w:proofErr w:type="spellEnd"/>
            <w:r>
              <w:rPr>
                <w:rFonts w:cs="Lucida Sans Unicode"/>
                <w:b/>
                <w:bCs/>
                <w:position w:val="0"/>
                <w:szCs w:val="20"/>
              </w:rPr>
              <w:t>.</w:t>
            </w:r>
          </w:p>
        </w:tc>
      </w:tr>
      <w:tr w:rsidR="00665480" w:rsidTr="00665480">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b/>
                <w:bCs/>
                <w:position w:val="0"/>
                <w:szCs w:val="20"/>
              </w:rPr>
            </w:pPr>
            <w:r>
              <w:rPr>
                <w:rFonts w:cs="Lucida Sans Unicode"/>
                <w:b/>
                <w:bCs/>
                <w:position w:val="0"/>
                <w:szCs w:val="20"/>
              </w:rPr>
              <w:t> </w:t>
            </w:r>
          </w:p>
        </w:tc>
        <w:tc>
          <w:tcPr>
            <w:tcW w:w="1125" w:type="dxa"/>
            <w:tcBorders>
              <w:left w:val="nil"/>
              <w:bottom w:val="single" w:sz="4" w:space="0" w:color="auto"/>
              <w:right w:val="single" w:sz="4" w:space="0" w:color="auto"/>
            </w:tcBorders>
            <w:shd w:val="clear" w:color="auto" w:fill="CCCCCC"/>
            <w:vAlign w:val="center"/>
          </w:tcPr>
          <w:p w:rsidR="00665480" w:rsidRDefault="00665480" w:rsidP="00BD0B63">
            <w:pPr>
              <w:ind w:left="0"/>
              <w:jc w:val="center"/>
              <w:rPr>
                <w:rFonts w:cs="Lucida Sans Unicode"/>
                <w:b/>
                <w:bCs/>
                <w:position w:val="0"/>
                <w:szCs w:val="20"/>
              </w:rPr>
            </w:pPr>
            <w:r>
              <w:rPr>
                <w:rFonts w:cs="Lucida Sans Unicode"/>
                <w:b/>
                <w:bCs/>
                <w:position w:val="0"/>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position w:val="0"/>
                <w:szCs w:val="20"/>
              </w:rPr>
            </w:pPr>
            <w:r>
              <w:rPr>
                <w:rFonts w:cs="Lucida Sans Unicode"/>
                <w:b/>
                <w:bCs/>
                <w:position w:val="0"/>
                <w:szCs w:val="20"/>
              </w:rPr>
              <w:t>Mio. €</w:t>
            </w:r>
          </w:p>
        </w:tc>
        <w:tc>
          <w:tcPr>
            <w:tcW w:w="1125" w:type="dxa"/>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position w:val="0"/>
                <w:szCs w:val="20"/>
              </w:rPr>
            </w:pPr>
            <w:r>
              <w:rPr>
                <w:rFonts w:cs="Lucida Sans Unicode"/>
                <w:b/>
                <w:bCs/>
                <w:position w:val="0"/>
                <w:szCs w:val="20"/>
              </w:rPr>
              <w:t>in %</w:t>
            </w:r>
          </w:p>
        </w:tc>
        <w:tc>
          <w:tcPr>
            <w:tcW w:w="1114" w:type="dxa"/>
            <w:tcBorders>
              <w:left w:val="nil"/>
              <w:bottom w:val="single" w:sz="4" w:space="0" w:color="auto"/>
              <w:right w:val="single" w:sz="4" w:space="0" w:color="auto"/>
            </w:tcBorders>
            <w:shd w:val="clear" w:color="auto" w:fill="CCCCCC"/>
            <w:vAlign w:val="center"/>
          </w:tcPr>
          <w:p w:rsidR="00665480" w:rsidRDefault="00665480" w:rsidP="00BD0B63">
            <w:pPr>
              <w:ind w:left="0"/>
              <w:jc w:val="center"/>
              <w:rPr>
                <w:rFonts w:cs="Lucida Sans Unicode"/>
                <w:b/>
                <w:bCs/>
                <w:position w:val="0"/>
                <w:szCs w:val="20"/>
              </w:rPr>
            </w:pPr>
            <w:r>
              <w:rPr>
                <w:rFonts w:cs="Lucida Sans Unicode"/>
                <w:b/>
                <w:bCs/>
                <w:position w:val="0"/>
                <w:szCs w:val="20"/>
              </w:rPr>
              <w:t>Mio. €</w:t>
            </w:r>
          </w:p>
        </w:tc>
        <w:tc>
          <w:tcPr>
            <w:tcW w:w="1080" w:type="dxa"/>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position w:val="0"/>
                <w:szCs w:val="20"/>
              </w:rPr>
            </w:pPr>
            <w:r>
              <w:rPr>
                <w:rFonts w:cs="Lucida Sans Unicode"/>
                <w:b/>
                <w:bCs/>
                <w:position w:val="0"/>
                <w:szCs w:val="20"/>
              </w:rPr>
              <w:t>Mio. €</w:t>
            </w:r>
          </w:p>
        </w:tc>
        <w:tc>
          <w:tcPr>
            <w:tcW w:w="1122" w:type="dxa"/>
            <w:gridSpan w:val="2"/>
            <w:tcBorders>
              <w:top w:val="nil"/>
              <w:left w:val="single" w:sz="4" w:space="0" w:color="auto"/>
              <w:bottom w:val="single" w:sz="4" w:space="0" w:color="auto"/>
              <w:right w:val="single" w:sz="4" w:space="0" w:color="auto"/>
            </w:tcBorders>
            <w:shd w:val="clear" w:color="auto" w:fill="auto"/>
            <w:vAlign w:val="center"/>
          </w:tcPr>
          <w:p w:rsidR="00665480" w:rsidRDefault="00665480" w:rsidP="00BD0B63">
            <w:pPr>
              <w:ind w:left="0"/>
              <w:jc w:val="center"/>
              <w:rPr>
                <w:rFonts w:cs="Lucida Sans Unicode"/>
                <w:b/>
                <w:bCs/>
                <w:position w:val="0"/>
                <w:szCs w:val="20"/>
              </w:rPr>
            </w:pPr>
            <w:r>
              <w:rPr>
                <w:rFonts w:cs="Lucida Sans Unicode"/>
                <w:b/>
                <w:bCs/>
                <w:position w:val="0"/>
                <w:szCs w:val="20"/>
              </w:rPr>
              <w:t>in %</w:t>
            </w:r>
          </w:p>
        </w:tc>
      </w:tr>
      <w:tr w:rsidR="00665480" w:rsidTr="00665480">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Consumer, Health &amp; Nutrition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89736E" w:rsidP="00BD0B63">
            <w:pPr>
              <w:ind w:left="0"/>
              <w:jc w:val="right"/>
              <w:rPr>
                <w:rFonts w:cs="Lucida Sans Unicode"/>
                <w:position w:val="0"/>
                <w:szCs w:val="20"/>
              </w:rPr>
            </w:pPr>
            <w:r>
              <w:rPr>
                <w:rFonts w:cs="Lucida Sans Unicode"/>
                <w:position w:val="0"/>
                <w:szCs w:val="20"/>
              </w:rPr>
              <w:t>3.015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89736E" w:rsidP="00BD0B63">
            <w:pPr>
              <w:ind w:left="0"/>
              <w:jc w:val="right"/>
              <w:rPr>
                <w:rFonts w:cs="Lucida Sans Unicode"/>
                <w:position w:val="0"/>
                <w:szCs w:val="20"/>
              </w:rPr>
            </w:pPr>
            <w:r>
              <w:rPr>
                <w:rFonts w:cs="Lucida Sans Unicode"/>
                <w:position w:val="0"/>
                <w:szCs w:val="20"/>
              </w:rPr>
              <w:t>3.110</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89736E" w:rsidP="00BD0B63">
            <w:pPr>
              <w:ind w:left="0"/>
              <w:jc w:val="right"/>
              <w:rPr>
                <w:rFonts w:cs="Lucida Sans Unicode"/>
                <w:position w:val="0"/>
                <w:szCs w:val="20"/>
              </w:rPr>
            </w:pPr>
            <w:r>
              <w:rPr>
                <w:rFonts w:cs="Lucida Sans Unicode"/>
                <w:position w:val="0"/>
                <w:szCs w:val="20"/>
              </w:rPr>
              <w:t>-3</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585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723</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665480" w:rsidRDefault="003A7623" w:rsidP="00BD0B63">
            <w:pPr>
              <w:ind w:left="0"/>
              <w:jc w:val="right"/>
              <w:rPr>
                <w:rFonts w:cs="Lucida Sans Unicode"/>
                <w:position w:val="0"/>
                <w:szCs w:val="20"/>
              </w:rPr>
            </w:pPr>
            <w:r>
              <w:rPr>
                <w:rFonts w:cs="Lucida Sans Unicode"/>
                <w:position w:val="0"/>
                <w:szCs w:val="20"/>
              </w:rPr>
              <w:t>-19</w:t>
            </w:r>
          </w:p>
        </w:tc>
      </w:tr>
      <w:tr w:rsidR="00665480" w:rsidTr="00665480">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Resource Efficiency</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2.448</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2.367</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3A7623" w:rsidP="00BD0B63">
            <w:pPr>
              <w:ind w:left="0"/>
              <w:jc w:val="right"/>
              <w:rPr>
                <w:rFonts w:cs="Lucida Sans Unicode"/>
                <w:position w:val="0"/>
                <w:szCs w:val="20"/>
              </w:rPr>
            </w:pPr>
            <w:r>
              <w:rPr>
                <w:rFonts w:cs="Lucida Sans Unicode"/>
                <w:position w:val="0"/>
                <w:szCs w:val="20"/>
              </w:rPr>
              <w:t>3</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553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515</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665480" w:rsidRDefault="003A7623" w:rsidP="00BD0B63">
            <w:pPr>
              <w:ind w:left="0"/>
              <w:jc w:val="right"/>
              <w:rPr>
                <w:rFonts w:cs="Lucida Sans Unicode"/>
                <w:position w:val="0"/>
                <w:szCs w:val="20"/>
              </w:rPr>
            </w:pPr>
            <w:r>
              <w:rPr>
                <w:rFonts w:cs="Lucida Sans Unicode"/>
                <w:position w:val="0"/>
                <w:szCs w:val="20"/>
              </w:rPr>
              <w:t>7</w:t>
            </w:r>
          </w:p>
        </w:tc>
      </w:tr>
      <w:tr w:rsidR="00665480" w:rsidTr="00665480">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Specialty Materials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3.510</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3.431</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3A7623" w:rsidP="00BD0B63">
            <w:pPr>
              <w:ind w:left="0"/>
              <w:jc w:val="right"/>
              <w:rPr>
                <w:rFonts w:cs="Lucida Sans Unicode"/>
                <w:position w:val="0"/>
                <w:szCs w:val="20"/>
              </w:rPr>
            </w:pPr>
            <w:r>
              <w:rPr>
                <w:rFonts w:cs="Lucida Sans Unicode"/>
                <w:position w:val="0"/>
                <w:szCs w:val="20"/>
              </w:rPr>
              <w:t>2</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352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457</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665480" w:rsidRDefault="003A7623" w:rsidP="00BD0B63">
            <w:pPr>
              <w:ind w:left="0"/>
              <w:jc w:val="right"/>
              <w:rPr>
                <w:rFonts w:cs="Lucida Sans Unicode"/>
                <w:position w:val="0"/>
                <w:szCs w:val="20"/>
              </w:rPr>
            </w:pPr>
            <w:r>
              <w:rPr>
                <w:rFonts w:cs="Lucida Sans Unicode"/>
                <w:position w:val="0"/>
                <w:szCs w:val="20"/>
              </w:rPr>
              <w:t>-23</w:t>
            </w:r>
          </w:p>
        </w:tc>
      </w:tr>
      <w:tr w:rsidR="00665480" w:rsidTr="00665480">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Services</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663</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656</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3A7623" w:rsidP="00BD0B63">
            <w:pPr>
              <w:ind w:left="0"/>
              <w:jc w:val="right"/>
              <w:rPr>
                <w:rFonts w:cs="Lucida Sans Unicode"/>
                <w:position w:val="0"/>
                <w:szCs w:val="20"/>
              </w:rPr>
            </w:pPr>
            <w:r>
              <w:rPr>
                <w:rFonts w:cs="Lucida Sans Unicode"/>
                <w:position w:val="0"/>
                <w:szCs w:val="20"/>
              </w:rPr>
              <w:t>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3A7623" w:rsidP="00BD0B63">
            <w:pPr>
              <w:ind w:left="0"/>
              <w:jc w:val="right"/>
              <w:rPr>
                <w:rFonts w:cs="Lucida Sans Unicode"/>
                <w:position w:val="0"/>
                <w:szCs w:val="20"/>
              </w:rPr>
            </w:pPr>
            <w:r>
              <w:rPr>
                <w:rFonts w:cs="Lucida Sans Unicode"/>
                <w:position w:val="0"/>
                <w:szCs w:val="20"/>
              </w:rPr>
              <w:t>158</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665480" w:rsidRDefault="003A7623" w:rsidP="00BD0B63">
            <w:pPr>
              <w:ind w:left="0"/>
              <w:jc w:val="right"/>
              <w:rPr>
                <w:rFonts w:cs="Lucida Sans Unicode"/>
                <w:position w:val="0"/>
                <w:szCs w:val="20"/>
              </w:rPr>
            </w:pPr>
            <w:r>
              <w:rPr>
                <w:rFonts w:cs="Lucida Sans Unicode"/>
                <w:position w:val="0"/>
                <w:szCs w:val="20"/>
              </w:rPr>
              <w:t>157</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665480" w:rsidRDefault="003A7623" w:rsidP="00BD0B63">
            <w:pPr>
              <w:ind w:left="0"/>
              <w:jc w:val="right"/>
              <w:rPr>
                <w:rFonts w:cs="Lucida Sans Unicode"/>
                <w:position w:val="0"/>
                <w:szCs w:val="20"/>
              </w:rPr>
            </w:pPr>
            <w:r>
              <w:rPr>
                <w:rFonts w:cs="Lucida Sans Unicode"/>
                <w:position w:val="0"/>
                <w:szCs w:val="20"/>
              </w:rPr>
              <w:t>1</w:t>
            </w:r>
          </w:p>
        </w:tc>
      </w:tr>
      <w:tr w:rsidR="00665480" w:rsidTr="00665480">
        <w:trPr>
          <w:trHeight w:val="255"/>
        </w:trPr>
        <w:tc>
          <w:tcPr>
            <w:tcW w:w="3193" w:type="dxa"/>
            <w:tcBorders>
              <w:top w:val="nil"/>
              <w:left w:val="single" w:sz="4" w:space="0" w:color="auto"/>
              <w:bottom w:val="single" w:sz="4" w:space="0" w:color="auto"/>
              <w:right w:val="single" w:sz="4" w:space="0" w:color="auto"/>
            </w:tcBorders>
            <w:shd w:val="clear" w:color="auto" w:fill="auto"/>
            <w:noWrap/>
            <w:vAlign w:val="center"/>
          </w:tcPr>
          <w:p w:rsidR="00665480" w:rsidRDefault="00665480" w:rsidP="00BD0B63">
            <w:pPr>
              <w:ind w:left="0"/>
              <w:rPr>
                <w:rFonts w:cs="Lucida Sans Unicode"/>
                <w:position w:val="0"/>
                <w:szCs w:val="20"/>
              </w:rPr>
            </w:pPr>
            <w:r>
              <w:rPr>
                <w:rFonts w:cs="Lucida Sans Unicode"/>
                <w:position w:val="0"/>
                <w:szCs w:val="20"/>
              </w:rPr>
              <w:t>Sonstige Aktivitäten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Default="007D4EA6" w:rsidP="00BD0B63">
            <w:pPr>
              <w:ind w:left="0"/>
              <w:jc w:val="right"/>
              <w:rPr>
                <w:rFonts w:cs="Lucida Sans Unicode"/>
                <w:position w:val="0"/>
                <w:szCs w:val="20"/>
              </w:rPr>
            </w:pPr>
            <w:r>
              <w:rPr>
                <w:rFonts w:cs="Lucida Sans Unicode"/>
                <w:position w:val="0"/>
                <w:szCs w:val="20"/>
              </w:rPr>
              <w:t>55</w:t>
            </w:r>
          </w:p>
        </w:tc>
        <w:tc>
          <w:tcPr>
            <w:tcW w:w="1125" w:type="dxa"/>
            <w:tcBorders>
              <w:top w:val="nil"/>
              <w:left w:val="single" w:sz="4" w:space="0" w:color="auto"/>
              <w:bottom w:val="single" w:sz="4" w:space="0" w:color="auto"/>
              <w:right w:val="single" w:sz="4" w:space="0" w:color="auto"/>
            </w:tcBorders>
            <w:shd w:val="clear" w:color="auto" w:fill="auto"/>
            <w:noWrap/>
            <w:vAlign w:val="center"/>
          </w:tcPr>
          <w:p w:rsidR="00665480" w:rsidRDefault="007D4EA6" w:rsidP="00BD0B63">
            <w:pPr>
              <w:ind w:left="0"/>
              <w:jc w:val="right"/>
              <w:rPr>
                <w:rFonts w:cs="Lucida Sans Unicode"/>
                <w:position w:val="0"/>
                <w:szCs w:val="20"/>
              </w:rPr>
            </w:pPr>
            <w:r>
              <w:rPr>
                <w:rFonts w:cs="Lucida Sans Unicode"/>
                <w:position w:val="0"/>
                <w:szCs w:val="20"/>
              </w:rPr>
              <w:t>55</w:t>
            </w:r>
          </w:p>
        </w:tc>
        <w:tc>
          <w:tcPr>
            <w:tcW w:w="1125" w:type="dxa"/>
            <w:tcBorders>
              <w:top w:val="nil"/>
              <w:left w:val="single" w:sz="4" w:space="0" w:color="auto"/>
              <w:bottom w:val="single" w:sz="4" w:space="0" w:color="auto"/>
              <w:right w:val="single" w:sz="4" w:space="0" w:color="auto"/>
            </w:tcBorders>
            <w:shd w:val="clear" w:color="auto" w:fill="auto"/>
            <w:noWrap/>
            <w:vAlign w:val="bottom"/>
          </w:tcPr>
          <w:p w:rsidR="00665480" w:rsidRDefault="007D4EA6" w:rsidP="00BD0B63">
            <w:pPr>
              <w:ind w:left="0"/>
              <w:jc w:val="right"/>
              <w:rPr>
                <w:rFonts w:cs="Lucida Sans Unicode"/>
                <w:position w:val="0"/>
                <w:szCs w:val="20"/>
              </w:rPr>
            </w:pPr>
            <w:r>
              <w:rPr>
                <w:rFonts w:cs="Lucida Sans Unicode"/>
                <w:position w:val="0"/>
                <w:szCs w:val="20"/>
              </w:rPr>
              <w:t>0</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Default="007D4EA6" w:rsidP="00BD0B63">
            <w:pPr>
              <w:ind w:left="0"/>
              <w:jc w:val="right"/>
              <w:rPr>
                <w:rFonts w:cs="Lucida Sans Unicode"/>
                <w:position w:val="0"/>
                <w:szCs w:val="20"/>
              </w:rPr>
            </w:pPr>
            <w:r>
              <w:rPr>
                <w:rFonts w:cs="Lucida Sans Unicode"/>
                <w:position w:val="0"/>
                <w:szCs w:val="20"/>
              </w:rPr>
              <w:t>-223</w:t>
            </w:r>
          </w:p>
        </w:tc>
        <w:tc>
          <w:tcPr>
            <w:tcW w:w="1080" w:type="dxa"/>
            <w:tcBorders>
              <w:top w:val="nil"/>
              <w:left w:val="single" w:sz="4" w:space="0" w:color="auto"/>
              <w:bottom w:val="single" w:sz="4" w:space="0" w:color="auto"/>
              <w:right w:val="single" w:sz="4" w:space="0" w:color="auto"/>
            </w:tcBorders>
            <w:shd w:val="clear" w:color="auto" w:fill="auto"/>
            <w:noWrap/>
            <w:vAlign w:val="center"/>
          </w:tcPr>
          <w:p w:rsidR="00665480" w:rsidRDefault="007D4EA6" w:rsidP="00BD0B63">
            <w:pPr>
              <w:ind w:left="0"/>
              <w:jc w:val="right"/>
              <w:rPr>
                <w:rFonts w:cs="Lucida Sans Unicode"/>
                <w:position w:val="0"/>
                <w:szCs w:val="20"/>
              </w:rPr>
            </w:pPr>
            <w:r>
              <w:rPr>
                <w:rFonts w:cs="Lucida Sans Unicode"/>
                <w:position w:val="0"/>
                <w:szCs w:val="20"/>
              </w:rPr>
              <w:t>-232</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tcPr>
          <w:p w:rsidR="00665480" w:rsidRDefault="00665480" w:rsidP="00BD0B63">
            <w:pPr>
              <w:ind w:left="0"/>
              <w:jc w:val="right"/>
              <w:rPr>
                <w:rFonts w:cs="Lucida Sans Unicode"/>
                <w:position w:val="0"/>
                <w:szCs w:val="20"/>
              </w:rPr>
            </w:pPr>
          </w:p>
        </w:tc>
      </w:tr>
      <w:tr w:rsidR="00665480" w:rsidRPr="00DA2E4E" w:rsidTr="00665480">
        <w:trPr>
          <w:trHeight w:val="255"/>
        </w:trPr>
        <w:tc>
          <w:tcPr>
            <w:tcW w:w="31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Pr="00DA2E4E" w:rsidRDefault="00665480" w:rsidP="00BD0B63">
            <w:pPr>
              <w:ind w:left="0"/>
              <w:rPr>
                <w:rFonts w:cs="Lucida Sans Unicode"/>
                <w:b/>
                <w:bCs/>
                <w:position w:val="0"/>
                <w:szCs w:val="20"/>
              </w:rPr>
            </w:pPr>
            <w:r w:rsidRPr="00DA2E4E">
              <w:rPr>
                <w:rFonts w:cs="Lucida Sans Unicode"/>
                <w:b/>
                <w:bCs/>
                <w:position w:val="0"/>
                <w:szCs w:val="20"/>
              </w:rPr>
              <w:t>Konzern</w:t>
            </w:r>
          </w:p>
        </w:tc>
        <w:tc>
          <w:tcPr>
            <w:tcW w:w="1125" w:type="dxa"/>
            <w:tcBorders>
              <w:top w:val="single" w:sz="4" w:space="0" w:color="auto"/>
              <w:left w:val="nil"/>
              <w:bottom w:val="single" w:sz="4" w:space="0" w:color="auto"/>
              <w:right w:val="single" w:sz="4" w:space="0" w:color="auto"/>
            </w:tcBorders>
            <w:shd w:val="clear" w:color="auto" w:fill="CCCCCC"/>
            <w:noWrap/>
            <w:vAlign w:val="center"/>
          </w:tcPr>
          <w:p w:rsidR="00665480" w:rsidRPr="00AB1DB9" w:rsidRDefault="00CD0628" w:rsidP="00BD0B63">
            <w:pPr>
              <w:ind w:left="0"/>
              <w:jc w:val="right"/>
              <w:rPr>
                <w:rFonts w:cs="Lucida Sans Unicode"/>
                <w:bCs/>
                <w:position w:val="0"/>
                <w:szCs w:val="20"/>
              </w:rPr>
            </w:pPr>
            <w:r>
              <w:rPr>
                <w:rFonts w:cs="Lucida Sans Unicode"/>
                <w:position w:val="0"/>
                <w:szCs w:val="20"/>
              </w:rPr>
              <w:t>9.691</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Pr="00AB1DB9" w:rsidRDefault="00CD0628" w:rsidP="007D4EA6">
            <w:pPr>
              <w:ind w:left="0"/>
              <w:jc w:val="right"/>
              <w:rPr>
                <w:rFonts w:cs="Lucida Sans Unicode"/>
                <w:bCs/>
                <w:position w:val="0"/>
                <w:szCs w:val="20"/>
              </w:rPr>
            </w:pPr>
            <w:r>
              <w:rPr>
                <w:rFonts w:cs="Lucida Sans Unicode"/>
                <w:position w:val="0"/>
                <w:szCs w:val="20"/>
              </w:rPr>
              <w:t>9.6</w:t>
            </w:r>
            <w:r w:rsidR="007D4EA6">
              <w:rPr>
                <w:rFonts w:cs="Lucida Sans Unicode"/>
                <w:position w:val="0"/>
                <w:szCs w:val="20"/>
              </w:rPr>
              <w:t>19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AB1DB9" w:rsidRDefault="00CD0628" w:rsidP="00BD0B63">
            <w:pPr>
              <w:ind w:left="0"/>
              <w:jc w:val="right"/>
              <w:rPr>
                <w:rFonts w:cs="Lucida Sans Unicode"/>
                <w:bCs/>
                <w:position w:val="0"/>
                <w:szCs w:val="20"/>
              </w:rPr>
            </w:pPr>
            <w:r>
              <w:rPr>
                <w:rFonts w:cs="Lucida Sans Unicode"/>
                <w:bCs/>
                <w:position w:val="0"/>
                <w:szCs w:val="20"/>
              </w:rPr>
              <w:t>1</w:t>
            </w:r>
          </w:p>
        </w:tc>
        <w:tc>
          <w:tcPr>
            <w:tcW w:w="1114" w:type="dxa"/>
            <w:tcBorders>
              <w:top w:val="single" w:sz="4" w:space="0" w:color="auto"/>
              <w:left w:val="nil"/>
              <w:bottom w:val="single" w:sz="4" w:space="0" w:color="auto"/>
              <w:right w:val="single" w:sz="4" w:space="0" w:color="auto"/>
            </w:tcBorders>
            <w:shd w:val="clear" w:color="auto" w:fill="CCCCCC"/>
            <w:noWrap/>
            <w:vAlign w:val="center"/>
          </w:tcPr>
          <w:p w:rsidR="00665480" w:rsidRPr="00AB1DB9" w:rsidRDefault="00CD0628" w:rsidP="00BD0B63">
            <w:pPr>
              <w:ind w:left="0"/>
              <w:jc w:val="right"/>
              <w:rPr>
                <w:rFonts w:cs="Lucida Sans Unicode"/>
                <w:bCs/>
                <w:position w:val="0"/>
                <w:szCs w:val="20"/>
              </w:rPr>
            </w:pPr>
            <w:r>
              <w:rPr>
                <w:rFonts w:cs="Lucida Sans Unicode"/>
                <w:position w:val="0"/>
                <w:szCs w:val="20"/>
              </w:rPr>
              <w:t>1.425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480" w:rsidRPr="00AB1DB9" w:rsidRDefault="00CD0628" w:rsidP="00BD0B63">
            <w:pPr>
              <w:ind w:left="0"/>
              <w:jc w:val="right"/>
              <w:rPr>
                <w:rFonts w:cs="Lucida Sans Unicode"/>
                <w:bCs/>
                <w:position w:val="0"/>
                <w:szCs w:val="20"/>
              </w:rPr>
            </w:pPr>
            <w:r>
              <w:rPr>
                <w:rFonts w:cs="Lucida Sans Unicode"/>
                <w:position w:val="0"/>
                <w:szCs w:val="20"/>
              </w:rPr>
              <w:t>1.620</w:t>
            </w: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665480" w:rsidRPr="00AB1DB9" w:rsidRDefault="00CD0628" w:rsidP="00BD0B63">
            <w:pPr>
              <w:ind w:left="0"/>
              <w:jc w:val="right"/>
              <w:rPr>
                <w:rFonts w:cs="Lucida Sans Unicode"/>
                <w:bCs/>
                <w:position w:val="0"/>
                <w:szCs w:val="20"/>
              </w:rPr>
            </w:pPr>
            <w:r>
              <w:rPr>
                <w:rFonts w:cs="Lucida Sans Unicode"/>
                <w:bCs/>
                <w:position w:val="0"/>
                <w:szCs w:val="20"/>
              </w:rPr>
              <w:t>-12</w:t>
            </w:r>
          </w:p>
        </w:tc>
      </w:tr>
    </w:tbl>
    <w:p w:rsidR="00665480" w:rsidRPr="00A03972" w:rsidRDefault="00665480" w:rsidP="00BD0B63">
      <w:pPr>
        <w:spacing w:line="240" w:lineRule="auto"/>
        <w:ind w:left="0" w:right="0"/>
        <w:rPr>
          <w:bCs/>
          <w:sz w:val="16"/>
          <w:szCs w:val="16"/>
        </w:rPr>
      </w:pPr>
      <w:r>
        <w:rPr>
          <w:bCs/>
          <w:sz w:val="16"/>
          <w:szCs w:val="16"/>
        </w:rPr>
        <w:t>Vorjahreszahlen angepasst</w:t>
      </w:r>
    </w:p>
    <w:p w:rsidR="00665480" w:rsidRPr="00A03972" w:rsidRDefault="00665480" w:rsidP="00BD0B63">
      <w:pPr>
        <w:spacing w:line="240" w:lineRule="auto"/>
        <w:ind w:left="0" w:right="0"/>
        <w:rPr>
          <w:bCs/>
          <w:sz w:val="16"/>
          <w:szCs w:val="16"/>
        </w:rPr>
      </w:pPr>
    </w:p>
    <w:p w:rsidR="002641D9" w:rsidRDefault="002641D9" w:rsidP="00BE5DBC">
      <w:pPr>
        <w:spacing w:after="120"/>
        <w:rPr>
          <w:b/>
          <w:bCs/>
        </w:rPr>
      </w:pPr>
    </w:p>
    <w:p w:rsidR="00A02C86" w:rsidRPr="00D941D1" w:rsidRDefault="00A02C86" w:rsidP="00BD0B63">
      <w:pPr>
        <w:spacing w:after="120"/>
        <w:rPr>
          <w:b/>
          <w:bCs/>
        </w:rPr>
      </w:pPr>
      <w:r w:rsidRPr="00D941D1">
        <w:rPr>
          <w:b/>
          <w:bCs/>
        </w:rPr>
        <w:lastRenderedPageBreak/>
        <w:t>Mitarbeiter nach Segmenten</w:t>
      </w:r>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A02C86" w:rsidRPr="00085C27" w:rsidTr="00617B2D">
        <w:tc>
          <w:tcPr>
            <w:tcW w:w="4122" w:type="dxa"/>
            <w:shd w:val="clear" w:color="auto" w:fill="auto"/>
          </w:tcPr>
          <w:p w:rsidR="00A02C86" w:rsidRPr="00B13E9A" w:rsidRDefault="00A02C86" w:rsidP="00BD0B63">
            <w:pPr>
              <w:ind w:left="0"/>
              <w:rPr>
                <w:bCs/>
              </w:rPr>
            </w:pPr>
          </w:p>
        </w:tc>
        <w:tc>
          <w:tcPr>
            <w:tcW w:w="2172" w:type="dxa"/>
            <w:shd w:val="clear" w:color="auto" w:fill="auto"/>
          </w:tcPr>
          <w:p w:rsidR="00A02C86" w:rsidRPr="00BE5DBC" w:rsidRDefault="00085C27" w:rsidP="00BD0B63">
            <w:pPr>
              <w:ind w:left="0"/>
              <w:jc w:val="center"/>
              <w:rPr>
                <w:b/>
                <w:bCs/>
              </w:rPr>
            </w:pPr>
            <w:r>
              <w:rPr>
                <w:b/>
                <w:bCs/>
              </w:rPr>
              <w:t>30.09</w:t>
            </w:r>
            <w:r w:rsidR="00DA2E4E">
              <w:rPr>
                <w:b/>
                <w:bCs/>
              </w:rPr>
              <w:t>.2014</w:t>
            </w:r>
          </w:p>
        </w:tc>
        <w:tc>
          <w:tcPr>
            <w:tcW w:w="2173" w:type="dxa"/>
            <w:shd w:val="clear" w:color="auto" w:fill="auto"/>
          </w:tcPr>
          <w:p w:rsidR="00A02C86" w:rsidRPr="00085C27" w:rsidRDefault="00085C27" w:rsidP="00827897">
            <w:pPr>
              <w:ind w:left="0"/>
              <w:jc w:val="center"/>
              <w:rPr>
                <w:b/>
                <w:bCs/>
                <w:lang w:val="en-US"/>
              </w:rPr>
            </w:pPr>
            <w:r w:rsidRPr="00085C27">
              <w:rPr>
                <w:b/>
                <w:bCs/>
                <w:lang w:val="en-US"/>
              </w:rPr>
              <w:t>3</w:t>
            </w:r>
            <w:r w:rsidR="00827897">
              <w:rPr>
                <w:b/>
                <w:bCs/>
                <w:lang w:val="en-US"/>
              </w:rPr>
              <w:t>1</w:t>
            </w:r>
            <w:r w:rsidRPr="00085C27">
              <w:rPr>
                <w:b/>
                <w:bCs/>
                <w:lang w:val="en-US"/>
              </w:rPr>
              <w:t>.</w:t>
            </w:r>
            <w:r w:rsidR="00827897">
              <w:rPr>
                <w:b/>
                <w:bCs/>
                <w:lang w:val="en-US"/>
              </w:rPr>
              <w:t>12</w:t>
            </w:r>
            <w:r w:rsidR="00A02C86" w:rsidRPr="00085C27">
              <w:rPr>
                <w:b/>
                <w:bCs/>
                <w:lang w:val="en-US"/>
              </w:rPr>
              <w:t>.201</w:t>
            </w:r>
            <w:r w:rsidR="00AF2A30" w:rsidRPr="00085C27">
              <w:rPr>
                <w:b/>
                <w:bCs/>
                <w:lang w:val="en-US"/>
              </w:rPr>
              <w:t>3</w:t>
            </w:r>
          </w:p>
        </w:tc>
      </w:tr>
      <w:tr w:rsidR="00A02C86" w:rsidRPr="00085C27" w:rsidTr="00617B2D">
        <w:tc>
          <w:tcPr>
            <w:tcW w:w="4122" w:type="dxa"/>
            <w:shd w:val="clear" w:color="auto" w:fill="auto"/>
          </w:tcPr>
          <w:p w:rsidR="00A02C86" w:rsidRPr="00085C27" w:rsidRDefault="00A02C86" w:rsidP="00BD0B63">
            <w:pPr>
              <w:ind w:left="0"/>
              <w:rPr>
                <w:bCs/>
                <w:lang w:val="en-US"/>
              </w:rPr>
            </w:pPr>
            <w:r w:rsidRPr="00085C27">
              <w:rPr>
                <w:bCs/>
                <w:lang w:val="en-US"/>
              </w:rPr>
              <w:t>Consumer, Health &amp; Nutrition</w:t>
            </w:r>
          </w:p>
        </w:tc>
        <w:tc>
          <w:tcPr>
            <w:tcW w:w="2172" w:type="dxa"/>
            <w:shd w:val="clear" w:color="auto" w:fill="auto"/>
          </w:tcPr>
          <w:p w:rsidR="00A02C86" w:rsidRPr="00A14C8B" w:rsidRDefault="00827897" w:rsidP="00BD0B63">
            <w:pPr>
              <w:ind w:left="0"/>
              <w:jc w:val="right"/>
              <w:rPr>
                <w:bCs/>
                <w:lang w:val="en-US"/>
              </w:rPr>
            </w:pPr>
            <w:r>
              <w:rPr>
                <w:bCs/>
                <w:lang w:val="en-US"/>
              </w:rPr>
              <w:t>7.081</w:t>
            </w:r>
          </w:p>
        </w:tc>
        <w:tc>
          <w:tcPr>
            <w:tcW w:w="2173" w:type="dxa"/>
            <w:shd w:val="clear" w:color="auto" w:fill="auto"/>
          </w:tcPr>
          <w:p w:rsidR="00A02C86" w:rsidRPr="00A14C8B" w:rsidRDefault="00827897" w:rsidP="00BD0B63">
            <w:pPr>
              <w:ind w:left="0"/>
              <w:jc w:val="right"/>
              <w:rPr>
                <w:bCs/>
                <w:lang w:val="en-US"/>
              </w:rPr>
            </w:pPr>
            <w:r>
              <w:rPr>
                <w:bCs/>
                <w:lang w:val="en-US"/>
              </w:rPr>
              <w:t>7.150</w:t>
            </w:r>
          </w:p>
        </w:tc>
      </w:tr>
      <w:tr w:rsidR="00A02C86" w:rsidRPr="00085C27" w:rsidTr="00617B2D">
        <w:tc>
          <w:tcPr>
            <w:tcW w:w="4122" w:type="dxa"/>
            <w:shd w:val="clear" w:color="auto" w:fill="auto"/>
          </w:tcPr>
          <w:p w:rsidR="00A02C86" w:rsidRPr="00A14C8B" w:rsidRDefault="00A02C86" w:rsidP="00BD0B63">
            <w:pPr>
              <w:ind w:left="0"/>
              <w:rPr>
                <w:bCs/>
                <w:lang w:val="en-US"/>
              </w:rPr>
            </w:pPr>
            <w:r w:rsidRPr="00A14C8B">
              <w:rPr>
                <w:bCs/>
                <w:lang w:val="en-US"/>
              </w:rPr>
              <w:t>Resource Efficiency</w:t>
            </w:r>
          </w:p>
        </w:tc>
        <w:tc>
          <w:tcPr>
            <w:tcW w:w="2172" w:type="dxa"/>
            <w:shd w:val="clear" w:color="auto" w:fill="auto"/>
          </w:tcPr>
          <w:p w:rsidR="00A02C86" w:rsidRPr="00A14C8B" w:rsidRDefault="00827897" w:rsidP="00BD0B63">
            <w:pPr>
              <w:ind w:left="0"/>
              <w:jc w:val="right"/>
              <w:rPr>
                <w:bCs/>
                <w:lang w:val="en-US"/>
              </w:rPr>
            </w:pPr>
            <w:r>
              <w:rPr>
                <w:bCs/>
                <w:lang w:val="en-US"/>
              </w:rPr>
              <w:t>5.875</w:t>
            </w:r>
          </w:p>
        </w:tc>
        <w:tc>
          <w:tcPr>
            <w:tcW w:w="2173" w:type="dxa"/>
            <w:shd w:val="clear" w:color="auto" w:fill="auto"/>
          </w:tcPr>
          <w:p w:rsidR="00A02C86" w:rsidRPr="00A14C8B" w:rsidRDefault="00827897" w:rsidP="00BD0B63">
            <w:pPr>
              <w:ind w:left="0"/>
              <w:jc w:val="right"/>
              <w:rPr>
                <w:bCs/>
                <w:lang w:val="en-US"/>
              </w:rPr>
            </w:pPr>
            <w:r>
              <w:rPr>
                <w:bCs/>
                <w:lang w:val="en-US"/>
              </w:rPr>
              <w:t>5.854</w:t>
            </w:r>
          </w:p>
        </w:tc>
      </w:tr>
      <w:tr w:rsidR="00A02C86" w:rsidRPr="00085C27" w:rsidTr="00617B2D">
        <w:tc>
          <w:tcPr>
            <w:tcW w:w="4122" w:type="dxa"/>
            <w:shd w:val="clear" w:color="auto" w:fill="auto"/>
          </w:tcPr>
          <w:p w:rsidR="00A02C86" w:rsidRPr="00A14C8B" w:rsidRDefault="00A02C86" w:rsidP="00BD0B63">
            <w:pPr>
              <w:ind w:left="0"/>
              <w:rPr>
                <w:bCs/>
                <w:lang w:val="en-US"/>
              </w:rPr>
            </w:pPr>
            <w:r w:rsidRPr="00A14C8B">
              <w:rPr>
                <w:bCs/>
                <w:lang w:val="en-US"/>
              </w:rPr>
              <w:t>Specialty Materials</w:t>
            </w:r>
          </w:p>
        </w:tc>
        <w:tc>
          <w:tcPr>
            <w:tcW w:w="2172" w:type="dxa"/>
            <w:shd w:val="clear" w:color="auto" w:fill="auto"/>
          </w:tcPr>
          <w:p w:rsidR="00A02C86" w:rsidRPr="00A14C8B" w:rsidRDefault="00827897" w:rsidP="00BD0B63">
            <w:pPr>
              <w:ind w:left="0"/>
              <w:jc w:val="right"/>
              <w:rPr>
                <w:bCs/>
                <w:lang w:val="en-US"/>
              </w:rPr>
            </w:pPr>
            <w:r>
              <w:rPr>
                <w:bCs/>
                <w:lang w:val="en-US"/>
              </w:rPr>
              <w:t>6.278</w:t>
            </w:r>
          </w:p>
        </w:tc>
        <w:tc>
          <w:tcPr>
            <w:tcW w:w="2173" w:type="dxa"/>
            <w:shd w:val="clear" w:color="auto" w:fill="auto"/>
          </w:tcPr>
          <w:p w:rsidR="00A02C86" w:rsidRPr="00A14C8B" w:rsidRDefault="00827897" w:rsidP="00BD0B63">
            <w:pPr>
              <w:ind w:left="0"/>
              <w:jc w:val="right"/>
              <w:rPr>
                <w:bCs/>
                <w:lang w:val="en-US"/>
              </w:rPr>
            </w:pPr>
            <w:r>
              <w:rPr>
                <w:bCs/>
                <w:lang w:val="en-US"/>
              </w:rPr>
              <w:t>6.268</w:t>
            </w:r>
          </w:p>
        </w:tc>
      </w:tr>
      <w:tr w:rsidR="00A02C86" w:rsidRPr="00A14C8B" w:rsidTr="00617B2D">
        <w:tc>
          <w:tcPr>
            <w:tcW w:w="4122" w:type="dxa"/>
            <w:shd w:val="clear" w:color="auto" w:fill="auto"/>
          </w:tcPr>
          <w:p w:rsidR="00A02C86" w:rsidRPr="00A14C8B" w:rsidRDefault="00A02C86" w:rsidP="00BD0B63">
            <w:pPr>
              <w:ind w:left="0"/>
              <w:rPr>
                <w:bCs/>
                <w:lang w:val="en-US"/>
              </w:rPr>
            </w:pPr>
            <w:r w:rsidRPr="00A14C8B">
              <w:rPr>
                <w:bCs/>
                <w:lang w:val="en-US"/>
              </w:rPr>
              <w:t>Services</w:t>
            </w:r>
          </w:p>
        </w:tc>
        <w:tc>
          <w:tcPr>
            <w:tcW w:w="2172" w:type="dxa"/>
            <w:shd w:val="clear" w:color="auto" w:fill="auto"/>
          </w:tcPr>
          <w:p w:rsidR="00A02C86" w:rsidRPr="00A14C8B" w:rsidRDefault="00827897" w:rsidP="00BD0B63">
            <w:pPr>
              <w:ind w:left="0"/>
              <w:jc w:val="right"/>
              <w:rPr>
                <w:bCs/>
                <w:lang w:val="en-US"/>
              </w:rPr>
            </w:pPr>
            <w:r>
              <w:rPr>
                <w:bCs/>
                <w:lang w:val="en-US"/>
              </w:rPr>
              <w:t>12.654</w:t>
            </w:r>
          </w:p>
        </w:tc>
        <w:tc>
          <w:tcPr>
            <w:tcW w:w="2173" w:type="dxa"/>
            <w:shd w:val="clear" w:color="auto" w:fill="auto"/>
          </w:tcPr>
          <w:p w:rsidR="00A02C86" w:rsidRPr="00A14C8B" w:rsidRDefault="00827897" w:rsidP="00BD0B63">
            <w:pPr>
              <w:ind w:left="0"/>
              <w:jc w:val="right"/>
              <w:rPr>
                <w:bCs/>
                <w:lang w:val="en-US"/>
              </w:rPr>
            </w:pPr>
            <w:r>
              <w:rPr>
                <w:bCs/>
                <w:lang w:val="en-US"/>
              </w:rPr>
              <w:t>12.192</w:t>
            </w:r>
          </w:p>
        </w:tc>
      </w:tr>
      <w:tr w:rsidR="00A02C86" w:rsidRPr="00B13E9A" w:rsidTr="00617B2D">
        <w:tc>
          <w:tcPr>
            <w:tcW w:w="4122" w:type="dxa"/>
            <w:shd w:val="clear" w:color="auto" w:fill="auto"/>
          </w:tcPr>
          <w:p w:rsidR="00A02C86" w:rsidRPr="00A14C8B" w:rsidRDefault="00A02C86" w:rsidP="00BD0B63">
            <w:pPr>
              <w:ind w:left="0"/>
              <w:rPr>
                <w:bCs/>
                <w:lang w:val="en-US"/>
              </w:rPr>
            </w:pPr>
            <w:proofErr w:type="spellStart"/>
            <w:r w:rsidRPr="00A14C8B">
              <w:rPr>
                <w:bCs/>
                <w:lang w:val="en-US"/>
              </w:rPr>
              <w:t>Sonstige</w:t>
            </w:r>
            <w:proofErr w:type="spellEnd"/>
            <w:r w:rsidRPr="00A14C8B">
              <w:rPr>
                <w:bCs/>
                <w:lang w:val="en-US"/>
              </w:rPr>
              <w:t xml:space="preserve"> </w:t>
            </w:r>
            <w:proofErr w:type="spellStart"/>
            <w:r w:rsidRPr="00A14C8B">
              <w:rPr>
                <w:bCs/>
                <w:lang w:val="en-US"/>
              </w:rPr>
              <w:t>Aktivitäten</w:t>
            </w:r>
            <w:proofErr w:type="spellEnd"/>
          </w:p>
        </w:tc>
        <w:tc>
          <w:tcPr>
            <w:tcW w:w="2172" w:type="dxa"/>
            <w:shd w:val="clear" w:color="auto" w:fill="auto"/>
          </w:tcPr>
          <w:p w:rsidR="00A02C86" w:rsidRPr="00A14C8B" w:rsidRDefault="00827897" w:rsidP="00BD0B63">
            <w:pPr>
              <w:ind w:left="0"/>
              <w:jc w:val="right"/>
              <w:rPr>
                <w:bCs/>
                <w:lang w:val="en-US"/>
              </w:rPr>
            </w:pPr>
            <w:r>
              <w:rPr>
                <w:bCs/>
                <w:lang w:val="en-US"/>
              </w:rPr>
              <w:t>1.408</w:t>
            </w:r>
          </w:p>
        </w:tc>
        <w:tc>
          <w:tcPr>
            <w:tcW w:w="2173" w:type="dxa"/>
            <w:shd w:val="clear" w:color="auto" w:fill="auto"/>
          </w:tcPr>
          <w:p w:rsidR="00A02C86" w:rsidRPr="00B13E9A" w:rsidRDefault="00827897" w:rsidP="00BD0B63">
            <w:pPr>
              <w:ind w:left="0"/>
              <w:jc w:val="right"/>
              <w:rPr>
                <w:bCs/>
              </w:rPr>
            </w:pPr>
            <w:r>
              <w:rPr>
                <w:bCs/>
              </w:rPr>
              <w:t>1.531</w:t>
            </w:r>
          </w:p>
        </w:tc>
      </w:tr>
      <w:tr w:rsidR="00A02C86" w:rsidRPr="00B13E9A" w:rsidTr="00617B2D">
        <w:tc>
          <w:tcPr>
            <w:tcW w:w="4122" w:type="dxa"/>
            <w:shd w:val="clear" w:color="auto" w:fill="auto"/>
          </w:tcPr>
          <w:p w:rsidR="00A02C86" w:rsidRPr="00B13E9A" w:rsidRDefault="00A02C86" w:rsidP="00BD0B63">
            <w:pPr>
              <w:ind w:left="0"/>
              <w:rPr>
                <w:bCs/>
              </w:rPr>
            </w:pPr>
            <w:r w:rsidRPr="00B13E9A">
              <w:rPr>
                <w:bCs/>
              </w:rPr>
              <w:t>Fortgeführte Aktivitäten</w:t>
            </w:r>
          </w:p>
        </w:tc>
        <w:tc>
          <w:tcPr>
            <w:tcW w:w="2172" w:type="dxa"/>
            <w:shd w:val="clear" w:color="auto" w:fill="auto"/>
          </w:tcPr>
          <w:p w:rsidR="00A02C86" w:rsidRPr="00B13E9A" w:rsidRDefault="00827897" w:rsidP="00BD0B63">
            <w:pPr>
              <w:ind w:left="0"/>
              <w:jc w:val="right"/>
              <w:rPr>
                <w:bCs/>
              </w:rPr>
            </w:pPr>
            <w:r>
              <w:rPr>
                <w:bCs/>
              </w:rPr>
              <w:t>33.296</w:t>
            </w:r>
          </w:p>
        </w:tc>
        <w:tc>
          <w:tcPr>
            <w:tcW w:w="2173" w:type="dxa"/>
            <w:shd w:val="clear" w:color="auto" w:fill="auto"/>
          </w:tcPr>
          <w:p w:rsidR="00A02C86" w:rsidRPr="00B13E9A" w:rsidRDefault="00827897" w:rsidP="00BD0B63">
            <w:pPr>
              <w:ind w:left="0"/>
              <w:jc w:val="right"/>
              <w:rPr>
                <w:bCs/>
              </w:rPr>
            </w:pPr>
            <w:r>
              <w:rPr>
                <w:bCs/>
              </w:rPr>
              <w:t>32.995</w:t>
            </w:r>
          </w:p>
        </w:tc>
      </w:tr>
      <w:tr w:rsidR="00A02C86" w:rsidRPr="00B13E9A" w:rsidTr="00617B2D">
        <w:tc>
          <w:tcPr>
            <w:tcW w:w="4122" w:type="dxa"/>
            <w:shd w:val="clear" w:color="auto" w:fill="auto"/>
          </w:tcPr>
          <w:p w:rsidR="00A02C86" w:rsidRPr="00B13E9A" w:rsidRDefault="00A02C86" w:rsidP="00BD0B63">
            <w:pPr>
              <w:ind w:left="0"/>
              <w:rPr>
                <w:bCs/>
              </w:rPr>
            </w:pPr>
            <w:r w:rsidRPr="00B13E9A">
              <w:rPr>
                <w:bCs/>
              </w:rPr>
              <w:t xml:space="preserve">Nicht fortgeführte Aktivitäten </w:t>
            </w:r>
          </w:p>
        </w:tc>
        <w:tc>
          <w:tcPr>
            <w:tcW w:w="2172" w:type="dxa"/>
            <w:shd w:val="clear" w:color="auto" w:fill="auto"/>
          </w:tcPr>
          <w:p w:rsidR="00A02C86" w:rsidRPr="00B13E9A" w:rsidRDefault="00827897" w:rsidP="00BD0B63">
            <w:pPr>
              <w:ind w:left="0"/>
              <w:jc w:val="right"/>
              <w:rPr>
                <w:bCs/>
              </w:rPr>
            </w:pPr>
            <w:r>
              <w:rPr>
                <w:bCs/>
              </w:rPr>
              <w:t>176</w:t>
            </w:r>
          </w:p>
        </w:tc>
        <w:tc>
          <w:tcPr>
            <w:tcW w:w="2173" w:type="dxa"/>
            <w:shd w:val="clear" w:color="auto" w:fill="auto"/>
          </w:tcPr>
          <w:p w:rsidR="00A02C86" w:rsidRPr="00B13E9A" w:rsidRDefault="00827897" w:rsidP="00BD0B63">
            <w:pPr>
              <w:ind w:left="0"/>
              <w:jc w:val="right"/>
              <w:rPr>
                <w:bCs/>
              </w:rPr>
            </w:pPr>
            <w:r>
              <w:rPr>
                <w:bCs/>
              </w:rPr>
              <w:t>655</w:t>
            </w:r>
          </w:p>
        </w:tc>
      </w:tr>
      <w:tr w:rsidR="00A02C86" w:rsidRPr="00BE5DBC" w:rsidTr="00617B2D">
        <w:tc>
          <w:tcPr>
            <w:tcW w:w="4122" w:type="dxa"/>
            <w:shd w:val="clear" w:color="auto" w:fill="auto"/>
          </w:tcPr>
          <w:p w:rsidR="00A02C86" w:rsidRPr="00BE5DBC" w:rsidRDefault="00AF2A30" w:rsidP="00BD0B63">
            <w:pPr>
              <w:ind w:left="0"/>
              <w:rPr>
                <w:b/>
                <w:bCs/>
              </w:rPr>
            </w:pPr>
            <w:r>
              <w:rPr>
                <w:b/>
                <w:bCs/>
              </w:rPr>
              <w:t>Konzern</w:t>
            </w:r>
          </w:p>
        </w:tc>
        <w:tc>
          <w:tcPr>
            <w:tcW w:w="2172" w:type="dxa"/>
            <w:shd w:val="clear" w:color="auto" w:fill="auto"/>
          </w:tcPr>
          <w:p w:rsidR="00A02C86" w:rsidRPr="00BE5DBC" w:rsidRDefault="00827897" w:rsidP="00BD0B63">
            <w:pPr>
              <w:ind w:left="0"/>
              <w:jc w:val="right"/>
              <w:rPr>
                <w:b/>
                <w:bCs/>
              </w:rPr>
            </w:pPr>
            <w:r>
              <w:rPr>
                <w:b/>
                <w:bCs/>
              </w:rPr>
              <w:t>33.472</w:t>
            </w:r>
          </w:p>
        </w:tc>
        <w:tc>
          <w:tcPr>
            <w:tcW w:w="2173" w:type="dxa"/>
            <w:shd w:val="clear" w:color="auto" w:fill="auto"/>
          </w:tcPr>
          <w:p w:rsidR="00A02C86" w:rsidRPr="00BE5DBC" w:rsidRDefault="00827897" w:rsidP="00BD0B63">
            <w:pPr>
              <w:ind w:left="0"/>
              <w:jc w:val="right"/>
              <w:rPr>
                <w:b/>
                <w:bCs/>
              </w:rPr>
            </w:pPr>
            <w:r>
              <w:rPr>
                <w:b/>
                <w:bCs/>
              </w:rPr>
              <w:t>33.650</w:t>
            </w:r>
          </w:p>
        </w:tc>
      </w:tr>
    </w:tbl>
    <w:p w:rsidR="00A02C86" w:rsidRPr="00B13E9A" w:rsidRDefault="00A02C86" w:rsidP="0037497A">
      <w:pPr>
        <w:rPr>
          <w:bCs/>
          <w:lang w:eastAsia="en-US"/>
        </w:rPr>
      </w:pPr>
    </w:p>
    <w:p w:rsidR="00A02C86" w:rsidRDefault="00A02C86">
      <w:pPr>
        <w:spacing w:line="240" w:lineRule="auto"/>
        <w:ind w:left="0" w:right="0"/>
        <w:rPr>
          <w:b/>
          <w:bCs/>
          <w:sz w:val="22"/>
          <w:szCs w:val="22"/>
        </w:rPr>
      </w:pPr>
    </w:p>
    <w:p w:rsidR="00BE5DBC" w:rsidRDefault="00BE5DBC">
      <w:pPr>
        <w:spacing w:line="240" w:lineRule="auto"/>
        <w:ind w:left="0" w:right="0"/>
        <w:rPr>
          <w:rFonts w:cs="Lucida Sans Unicode"/>
          <w:b/>
          <w:bCs/>
          <w:szCs w:val="18"/>
        </w:rPr>
      </w:pPr>
    </w:p>
    <w:p w:rsidR="009D734A" w:rsidRDefault="009D734A" w:rsidP="0037497A">
      <w:pPr>
        <w:autoSpaceDE w:val="0"/>
        <w:autoSpaceDN w:val="0"/>
        <w:adjustRightInd w:val="0"/>
        <w:spacing w:line="220" w:lineRule="exact"/>
        <w:rPr>
          <w:rFonts w:cs="Lucida Sans Unicode"/>
          <w:b/>
          <w:bCs/>
          <w:szCs w:val="18"/>
        </w:rPr>
      </w:pPr>
      <w:r>
        <w:rPr>
          <w:rFonts w:cs="Lucida Sans Unicode"/>
          <w:b/>
          <w:bCs/>
          <w:szCs w:val="18"/>
        </w:rPr>
        <w:t xml:space="preserve">Informationen zum Konzern </w:t>
      </w:r>
    </w:p>
    <w:p w:rsidR="009D734A" w:rsidRPr="009D734A" w:rsidRDefault="009D734A" w:rsidP="0037497A">
      <w:pPr>
        <w:autoSpaceDE w:val="0"/>
        <w:autoSpaceDN w:val="0"/>
        <w:adjustRightInd w:val="0"/>
        <w:spacing w:line="220" w:lineRule="exact"/>
        <w:ind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9D734A" w:rsidRPr="009D734A" w:rsidRDefault="009D734A" w:rsidP="0037497A">
      <w:pPr>
        <w:autoSpaceDE w:val="0"/>
        <w:autoSpaceDN w:val="0"/>
        <w:adjustRightInd w:val="0"/>
        <w:spacing w:line="220" w:lineRule="exact"/>
        <w:ind w:right="0"/>
        <w:rPr>
          <w:rFonts w:cs="Lucida Sans Unicode"/>
          <w:position w:val="0"/>
          <w:szCs w:val="18"/>
        </w:rPr>
      </w:pPr>
    </w:p>
    <w:p w:rsidR="009D734A" w:rsidRDefault="009D734A" w:rsidP="0037497A">
      <w:pPr>
        <w:autoSpaceDE w:val="0"/>
        <w:autoSpaceDN w:val="0"/>
        <w:adjustRightInd w:val="0"/>
        <w:spacing w:line="220" w:lineRule="exact"/>
        <w:ind w:right="0"/>
        <w:rPr>
          <w:rFonts w:cs="Lucida Sans Unicode"/>
          <w:position w:val="0"/>
          <w:szCs w:val="18"/>
        </w:rPr>
      </w:pPr>
      <w:r w:rsidRPr="009D734A">
        <w:rPr>
          <w:rFonts w:cs="Lucida Sans Unicode"/>
          <w:position w:val="0"/>
          <w:szCs w:val="18"/>
        </w:rPr>
        <w:t>Evonik ist in mehr als 100 Ländern der Welt aktiv. Über 33.</w:t>
      </w:r>
      <w:r w:rsidR="005844AC">
        <w:rPr>
          <w:rFonts w:cs="Lucida Sans Unicode"/>
          <w:position w:val="0"/>
          <w:szCs w:val="18"/>
        </w:rPr>
        <w:t>500</w:t>
      </w:r>
      <w:r w:rsidRPr="009D734A">
        <w:rPr>
          <w:rFonts w:cs="Lucida Sans Unicode"/>
          <w:position w:val="0"/>
          <w:szCs w:val="18"/>
        </w:rPr>
        <w:t xml:space="preserve"> Mitarbeiter erwirtschafteten im Geschäftsjahr 201</w:t>
      </w:r>
      <w:r w:rsidR="005844AC">
        <w:rPr>
          <w:rFonts w:cs="Lucida Sans Unicode"/>
          <w:position w:val="0"/>
          <w:szCs w:val="18"/>
        </w:rPr>
        <w:t>3</w:t>
      </w:r>
      <w:r w:rsidRPr="009D734A">
        <w:rPr>
          <w:rFonts w:cs="Lucida Sans Unicode"/>
          <w:position w:val="0"/>
          <w:szCs w:val="18"/>
        </w:rPr>
        <w:t xml:space="preserve"> einen Umsatz von rund 1</w:t>
      </w:r>
      <w:r w:rsidR="005844AC">
        <w:rPr>
          <w:rFonts w:cs="Lucida Sans Unicode"/>
          <w:position w:val="0"/>
          <w:szCs w:val="18"/>
        </w:rPr>
        <w:t>2,</w:t>
      </w:r>
      <w:r w:rsidR="00824C27">
        <w:rPr>
          <w:rFonts w:cs="Lucida Sans Unicode"/>
          <w:position w:val="0"/>
          <w:szCs w:val="18"/>
        </w:rPr>
        <w:t>7</w:t>
      </w:r>
      <w:r w:rsidRPr="009D734A">
        <w:rPr>
          <w:rFonts w:cs="Lucida Sans Unicode"/>
          <w:position w:val="0"/>
          <w:szCs w:val="18"/>
        </w:rPr>
        <w:t xml:space="preserve"> Milliarden € und ein operatives Ergebnis (bereinigtes EBITDA) von rund 2</w:t>
      </w:r>
      <w:r w:rsidR="005844AC">
        <w:rPr>
          <w:rFonts w:cs="Lucida Sans Unicode"/>
          <w:position w:val="0"/>
          <w:szCs w:val="18"/>
        </w:rPr>
        <w:t>,0</w:t>
      </w:r>
      <w:r w:rsidRPr="009D734A">
        <w:rPr>
          <w:rFonts w:cs="Lucida Sans Unicode"/>
          <w:position w:val="0"/>
          <w:szCs w:val="18"/>
        </w:rPr>
        <w:t xml:space="preserve"> Milliarden €.</w:t>
      </w:r>
    </w:p>
    <w:p w:rsidR="00AF2A30" w:rsidRDefault="00AF2A30" w:rsidP="0037497A">
      <w:pPr>
        <w:autoSpaceDE w:val="0"/>
        <w:autoSpaceDN w:val="0"/>
        <w:adjustRightInd w:val="0"/>
        <w:spacing w:line="220" w:lineRule="exact"/>
        <w:ind w:right="0"/>
        <w:rPr>
          <w:rFonts w:cs="Lucida Sans Unicode"/>
          <w:position w:val="0"/>
          <w:szCs w:val="18"/>
        </w:rPr>
      </w:pPr>
    </w:p>
    <w:p w:rsidR="00751151" w:rsidRDefault="00751151" w:rsidP="0037497A">
      <w:pPr>
        <w:autoSpaceDE w:val="0"/>
        <w:autoSpaceDN w:val="0"/>
        <w:adjustRightInd w:val="0"/>
        <w:spacing w:line="220" w:lineRule="exact"/>
        <w:ind w:right="0"/>
        <w:rPr>
          <w:rFonts w:cs="Lucida Sans Unicode"/>
          <w:position w:val="0"/>
          <w:szCs w:val="18"/>
        </w:rPr>
      </w:pPr>
    </w:p>
    <w:p w:rsidR="00AF2A30" w:rsidRPr="005844AC" w:rsidRDefault="00AF2A30" w:rsidP="0037497A">
      <w:pPr>
        <w:autoSpaceDE w:val="0"/>
        <w:autoSpaceDN w:val="0"/>
        <w:adjustRightInd w:val="0"/>
        <w:spacing w:line="220" w:lineRule="exact"/>
        <w:ind w:right="0"/>
        <w:rPr>
          <w:rFonts w:cs="Lucida Sans Unicode"/>
          <w:b/>
          <w:position w:val="0"/>
          <w:szCs w:val="18"/>
        </w:rPr>
      </w:pPr>
      <w:r w:rsidRPr="005844AC">
        <w:rPr>
          <w:rFonts w:cs="Lucida Sans Unicode"/>
          <w:b/>
          <w:position w:val="0"/>
          <w:szCs w:val="18"/>
        </w:rPr>
        <w:t xml:space="preserve">Rechtlicher Hinweis </w:t>
      </w:r>
    </w:p>
    <w:p w:rsidR="00AF2A30" w:rsidRPr="009D734A" w:rsidRDefault="005844AC" w:rsidP="0037497A">
      <w:pPr>
        <w:autoSpaceDE w:val="0"/>
        <w:autoSpaceDN w:val="0"/>
        <w:adjustRightInd w:val="0"/>
        <w:spacing w:line="220" w:lineRule="exact"/>
        <w:ind w:right="0"/>
        <w:rPr>
          <w:rFonts w:cs="Lucida Sans Unicode"/>
          <w:position w:val="0"/>
          <w:szCs w:val="18"/>
        </w:rPr>
      </w:pPr>
      <w:r>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Ungewissheiten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AF2A30" w:rsidRPr="009D734A" w:rsidSect="00407B10">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836" w:rsidRDefault="008D6836">
      <w:r>
        <w:separator/>
      </w:r>
    </w:p>
    <w:p w:rsidR="008D6836" w:rsidRDefault="008D6836"/>
  </w:endnote>
  <w:endnote w:type="continuationSeparator" w:id="0">
    <w:p w:rsidR="008D6836" w:rsidRDefault="008D6836">
      <w:r>
        <w:continuationSeparator/>
      </w:r>
    </w:p>
    <w:p w:rsidR="008D6836" w:rsidRDefault="008D6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A6" w:rsidRDefault="007D4EA6">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54DF5">
      <w:rPr>
        <w:rStyle w:val="Seitenzahl"/>
        <w:noProof/>
      </w:rPr>
      <w:t>11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54DF5">
      <w:rPr>
        <w:rStyle w:val="Seitenzahl"/>
        <w:noProof/>
      </w:rPr>
      <w:t>11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A6" w:rsidRDefault="007D4EA6">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54DF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54DF5">
      <w:rPr>
        <w:rStyle w:val="Seitenzahl"/>
        <w:noProof/>
      </w:rPr>
      <w:t>11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836" w:rsidRDefault="008D6836">
      <w:r>
        <w:separator/>
      </w:r>
    </w:p>
    <w:p w:rsidR="008D6836" w:rsidRDefault="008D6836"/>
  </w:footnote>
  <w:footnote w:type="continuationSeparator" w:id="0">
    <w:p w:rsidR="008D6836" w:rsidRDefault="008D6836">
      <w:r>
        <w:continuationSeparator/>
      </w:r>
    </w:p>
    <w:p w:rsidR="008D6836" w:rsidRDefault="008D68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A6" w:rsidRDefault="007D4EA6">
    <w:pPr>
      <w:pStyle w:val="Kopfzeile"/>
      <w:ind w:left="0"/>
    </w:pPr>
  </w:p>
  <w:p w:rsidR="007D4EA6" w:rsidRDefault="007D4EA6">
    <w:pPr>
      <w:pStyle w:val="Kopfzeile"/>
      <w:ind w:left="0"/>
    </w:pPr>
  </w:p>
  <w:p w:rsidR="007D4EA6" w:rsidRDefault="007D4EA6">
    <w:pPr>
      <w:pStyle w:val="Kopfzeile"/>
      <w:ind w:left="0"/>
    </w:pPr>
  </w:p>
  <w:p w:rsidR="007D4EA6" w:rsidRDefault="007D4EA6">
    <w:pPr>
      <w:pStyle w:val="Kopfzeile"/>
      <w:ind w:left="0"/>
    </w:pPr>
  </w:p>
  <w:p w:rsidR="007D4EA6" w:rsidRPr="00067DAF" w:rsidRDefault="007D4EA6" w:rsidP="00067DAF">
    <w:pPr>
      <w:pStyle w:val="Kopfzeile"/>
      <w:ind w:left="0" w:right="-3"/>
    </w:pPr>
    <w:r>
      <w:rPr>
        <w:noProof/>
      </w:rPr>
      <w:drawing>
        <wp:anchor distT="0" distB="0" distL="114300" distR="114300" simplePos="0" relativeHeight="251659264" behindDoc="0" locked="0" layoutInCell="1" allowOverlap="1" wp14:anchorId="5D81341F" wp14:editId="40B97037">
          <wp:simplePos x="0" y="0"/>
          <wp:positionH relativeFrom="page">
            <wp:posOffset>864235</wp:posOffset>
          </wp:positionH>
          <wp:positionV relativeFrom="page">
            <wp:posOffset>615950</wp:posOffset>
          </wp:positionV>
          <wp:extent cx="1278890" cy="181610"/>
          <wp:effectExtent l="0" t="0" r="0" b="8890"/>
          <wp:wrapNone/>
          <wp:docPr id="9"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512B77D" wp14:editId="5A15F12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A6" w:rsidRDefault="007D4EA6">
    <w:pPr>
      <w:pStyle w:val="Kopfzeile"/>
      <w:ind w:left="0"/>
    </w:pPr>
  </w:p>
  <w:p w:rsidR="007D4EA6" w:rsidRDefault="007D4EA6">
    <w:pPr>
      <w:pStyle w:val="Kopfzeile"/>
      <w:ind w:left="0"/>
    </w:pPr>
  </w:p>
  <w:p w:rsidR="007D4EA6" w:rsidRDefault="007D4EA6">
    <w:pPr>
      <w:pStyle w:val="Kopfzeile"/>
      <w:ind w:left="0"/>
    </w:pPr>
  </w:p>
  <w:p w:rsidR="007D4EA6" w:rsidRPr="009D5463" w:rsidRDefault="007D4EA6">
    <w:pPr>
      <w:pStyle w:val="Kopfzeile"/>
      <w:ind w:left="0"/>
      <w:rPr>
        <w:u w:val="single"/>
      </w:rPr>
    </w:pPr>
    <w:r>
      <w:rPr>
        <w:b/>
        <w:u w:val="single"/>
      </w:rPr>
      <w:br/>
    </w:r>
    <w:r w:rsidRPr="009D5463">
      <w:rPr>
        <w:noProof/>
        <w:u w:val="single"/>
      </w:rPr>
      <w:drawing>
        <wp:anchor distT="0" distB="0" distL="114300" distR="114300" simplePos="0" relativeHeight="251658240" behindDoc="0" locked="0" layoutInCell="1" allowOverlap="1" wp14:anchorId="0AD07991" wp14:editId="7AD462A0">
          <wp:simplePos x="0" y="0"/>
          <wp:positionH relativeFrom="page">
            <wp:posOffset>864235</wp:posOffset>
          </wp:positionH>
          <wp:positionV relativeFrom="page">
            <wp:posOffset>615950</wp:posOffset>
          </wp:positionV>
          <wp:extent cx="1278890" cy="181610"/>
          <wp:effectExtent l="0" t="0" r="0" b="8890"/>
          <wp:wrapNone/>
          <wp:docPr id="10"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rPr>
      <mc:AlternateContent>
        <mc:Choice Requires="wpg">
          <w:drawing>
            <wp:anchor distT="0" distB="0" distL="114300" distR="114300" simplePos="0" relativeHeight="251656192" behindDoc="1" locked="0" layoutInCell="1" allowOverlap="1" wp14:anchorId="40D881BF" wp14:editId="4CF64C5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EA6" w:rsidRDefault="007D4E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AF4FB2"/>
    <w:multiLevelType w:val="hybridMultilevel"/>
    <w:tmpl w:val="2A542D8C"/>
    <w:lvl w:ilvl="0" w:tplc="A31861E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2353CE"/>
    <w:multiLevelType w:val="hybridMultilevel"/>
    <w:tmpl w:val="7E20087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4">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A1E0738"/>
    <w:multiLevelType w:val="hybridMultilevel"/>
    <w:tmpl w:val="44443640"/>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7">
    <w:nsid w:val="2F697F91"/>
    <w:multiLevelType w:val="hybridMultilevel"/>
    <w:tmpl w:val="5CFA452E"/>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8">
    <w:nsid w:val="2FFB671D"/>
    <w:multiLevelType w:val="hybridMultilevel"/>
    <w:tmpl w:val="2C38AE5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9">
    <w:nsid w:val="373242B9"/>
    <w:multiLevelType w:val="hybridMultilevel"/>
    <w:tmpl w:val="D18C851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20">
    <w:nsid w:val="3BFE47DC"/>
    <w:multiLevelType w:val="hybridMultilevel"/>
    <w:tmpl w:val="2D50BCE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21">
    <w:nsid w:val="54115FD0"/>
    <w:multiLevelType w:val="hybridMultilevel"/>
    <w:tmpl w:val="F23A3ACA"/>
    <w:lvl w:ilvl="0" w:tplc="5BF66010">
      <w:start w:val="1"/>
      <w:numFmt w:val="bullet"/>
      <w:lvlText w:val="•"/>
      <w:lvlJc w:val="left"/>
      <w:pPr>
        <w:tabs>
          <w:tab w:val="num" w:pos="1397"/>
        </w:tabs>
        <w:ind w:left="1397" w:hanging="360"/>
      </w:pPr>
      <w:rPr>
        <w:rFonts w:ascii="Lucida Sans Unicode" w:hAnsi="Lucida Sans Unicode" w:hint="default"/>
        <w:sz w:val="24"/>
      </w:rPr>
    </w:lvl>
    <w:lvl w:ilvl="1" w:tplc="04070003">
      <w:start w:val="1"/>
      <w:numFmt w:val="bullet"/>
      <w:lvlText w:val="o"/>
      <w:lvlJc w:val="left"/>
      <w:pPr>
        <w:tabs>
          <w:tab w:val="num" w:pos="1412"/>
        </w:tabs>
        <w:ind w:left="1412" w:hanging="360"/>
      </w:pPr>
      <w:rPr>
        <w:rFonts w:ascii="Courier New" w:hAnsi="Courier New" w:cs="Courier New" w:hint="default"/>
      </w:rPr>
    </w:lvl>
    <w:lvl w:ilvl="2" w:tplc="04070005" w:tentative="1">
      <w:start w:val="1"/>
      <w:numFmt w:val="bullet"/>
      <w:lvlText w:val=""/>
      <w:lvlJc w:val="left"/>
      <w:pPr>
        <w:tabs>
          <w:tab w:val="num" w:pos="2132"/>
        </w:tabs>
        <w:ind w:left="2132" w:hanging="360"/>
      </w:pPr>
      <w:rPr>
        <w:rFonts w:ascii="Wingdings" w:hAnsi="Wingdings" w:hint="default"/>
      </w:rPr>
    </w:lvl>
    <w:lvl w:ilvl="3" w:tplc="04070001" w:tentative="1">
      <w:start w:val="1"/>
      <w:numFmt w:val="bullet"/>
      <w:lvlText w:val=""/>
      <w:lvlJc w:val="left"/>
      <w:pPr>
        <w:tabs>
          <w:tab w:val="num" w:pos="2852"/>
        </w:tabs>
        <w:ind w:left="2852" w:hanging="360"/>
      </w:pPr>
      <w:rPr>
        <w:rFonts w:ascii="Symbol" w:hAnsi="Symbol" w:hint="default"/>
      </w:rPr>
    </w:lvl>
    <w:lvl w:ilvl="4" w:tplc="04070003" w:tentative="1">
      <w:start w:val="1"/>
      <w:numFmt w:val="bullet"/>
      <w:lvlText w:val="o"/>
      <w:lvlJc w:val="left"/>
      <w:pPr>
        <w:tabs>
          <w:tab w:val="num" w:pos="3572"/>
        </w:tabs>
        <w:ind w:left="3572" w:hanging="360"/>
      </w:pPr>
      <w:rPr>
        <w:rFonts w:ascii="Courier New" w:hAnsi="Courier New" w:cs="Courier New" w:hint="default"/>
      </w:rPr>
    </w:lvl>
    <w:lvl w:ilvl="5" w:tplc="04070005" w:tentative="1">
      <w:start w:val="1"/>
      <w:numFmt w:val="bullet"/>
      <w:lvlText w:val=""/>
      <w:lvlJc w:val="left"/>
      <w:pPr>
        <w:tabs>
          <w:tab w:val="num" w:pos="4292"/>
        </w:tabs>
        <w:ind w:left="4292" w:hanging="360"/>
      </w:pPr>
      <w:rPr>
        <w:rFonts w:ascii="Wingdings" w:hAnsi="Wingdings" w:hint="default"/>
      </w:rPr>
    </w:lvl>
    <w:lvl w:ilvl="6" w:tplc="04070001" w:tentative="1">
      <w:start w:val="1"/>
      <w:numFmt w:val="bullet"/>
      <w:lvlText w:val=""/>
      <w:lvlJc w:val="left"/>
      <w:pPr>
        <w:tabs>
          <w:tab w:val="num" w:pos="5012"/>
        </w:tabs>
        <w:ind w:left="5012" w:hanging="360"/>
      </w:pPr>
      <w:rPr>
        <w:rFonts w:ascii="Symbol" w:hAnsi="Symbol" w:hint="default"/>
      </w:rPr>
    </w:lvl>
    <w:lvl w:ilvl="7" w:tplc="04070003" w:tentative="1">
      <w:start w:val="1"/>
      <w:numFmt w:val="bullet"/>
      <w:lvlText w:val="o"/>
      <w:lvlJc w:val="left"/>
      <w:pPr>
        <w:tabs>
          <w:tab w:val="num" w:pos="5732"/>
        </w:tabs>
        <w:ind w:left="5732" w:hanging="360"/>
      </w:pPr>
      <w:rPr>
        <w:rFonts w:ascii="Courier New" w:hAnsi="Courier New" w:cs="Courier New" w:hint="default"/>
      </w:rPr>
    </w:lvl>
    <w:lvl w:ilvl="8" w:tplc="04070005" w:tentative="1">
      <w:start w:val="1"/>
      <w:numFmt w:val="bullet"/>
      <w:lvlText w:val=""/>
      <w:lvlJc w:val="left"/>
      <w:pPr>
        <w:tabs>
          <w:tab w:val="num" w:pos="6452"/>
        </w:tabs>
        <w:ind w:left="6452" w:hanging="360"/>
      </w:pPr>
      <w:rPr>
        <w:rFonts w:ascii="Wingdings" w:hAnsi="Wingdings" w:hint="default"/>
      </w:rPr>
    </w:lvl>
  </w:abstractNum>
  <w:num w:numId="1">
    <w:abstractNumId w:val="15"/>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0"/>
  </w:num>
  <w:num w:numId="16">
    <w:abstractNumId w:val="11"/>
  </w:num>
  <w:num w:numId="17">
    <w:abstractNumId w:val="18"/>
  </w:num>
  <w:num w:numId="18">
    <w:abstractNumId w:val="19"/>
  </w:num>
  <w:num w:numId="19">
    <w:abstractNumId w:val="13"/>
  </w:num>
  <w:num w:numId="20">
    <w:abstractNumId w:val="16"/>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657"/>
    <w:rsid w:val="00002084"/>
    <w:rsid w:val="000038F7"/>
    <w:rsid w:val="00003DAF"/>
    <w:rsid w:val="000137E8"/>
    <w:rsid w:val="0002053E"/>
    <w:rsid w:val="000258CE"/>
    <w:rsid w:val="000259C1"/>
    <w:rsid w:val="0003249C"/>
    <w:rsid w:val="00035B82"/>
    <w:rsid w:val="000425D4"/>
    <w:rsid w:val="000426A4"/>
    <w:rsid w:val="000429A4"/>
    <w:rsid w:val="0005083E"/>
    <w:rsid w:val="00050BF1"/>
    <w:rsid w:val="00052450"/>
    <w:rsid w:val="00052DAA"/>
    <w:rsid w:val="00061C0A"/>
    <w:rsid w:val="00067DAF"/>
    <w:rsid w:val="00067EC1"/>
    <w:rsid w:val="00072C2F"/>
    <w:rsid w:val="00081BEA"/>
    <w:rsid w:val="00085C27"/>
    <w:rsid w:val="00094CA0"/>
    <w:rsid w:val="00097FDD"/>
    <w:rsid w:val="000A0B5A"/>
    <w:rsid w:val="000A0CA9"/>
    <w:rsid w:val="000A4DCE"/>
    <w:rsid w:val="000A5EE0"/>
    <w:rsid w:val="000B1542"/>
    <w:rsid w:val="000B507C"/>
    <w:rsid w:val="000C6B2F"/>
    <w:rsid w:val="000D4BBD"/>
    <w:rsid w:val="000D4E92"/>
    <w:rsid w:val="000F7737"/>
    <w:rsid w:val="000F7F40"/>
    <w:rsid w:val="00101FF2"/>
    <w:rsid w:val="00114650"/>
    <w:rsid w:val="00132F96"/>
    <w:rsid w:val="00132FB1"/>
    <w:rsid w:val="00133359"/>
    <w:rsid w:val="00137B85"/>
    <w:rsid w:val="00141D4F"/>
    <w:rsid w:val="00141D6E"/>
    <w:rsid w:val="001457FC"/>
    <w:rsid w:val="001477FE"/>
    <w:rsid w:val="00151B1D"/>
    <w:rsid w:val="00156471"/>
    <w:rsid w:val="00157016"/>
    <w:rsid w:val="00160533"/>
    <w:rsid w:val="0016486A"/>
    <w:rsid w:val="00166657"/>
    <w:rsid w:val="00172FDB"/>
    <w:rsid w:val="001752E2"/>
    <w:rsid w:val="00182A5C"/>
    <w:rsid w:val="00182FD6"/>
    <w:rsid w:val="00183DCE"/>
    <w:rsid w:val="00184DE8"/>
    <w:rsid w:val="001858DC"/>
    <w:rsid w:val="00186D38"/>
    <w:rsid w:val="00190903"/>
    <w:rsid w:val="00191DDD"/>
    <w:rsid w:val="00194398"/>
    <w:rsid w:val="0019529A"/>
    <w:rsid w:val="00195DC9"/>
    <w:rsid w:val="001967BC"/>
    <w:rsid w:val="0019749B"/>
    <w:rsid w:val="001A246B"/>
    <w:rsid w:val="001A75AE"/>
    <w:rsid w:val="001B34B7"/>
    <w:rsid w:val="001B482F"/>
    <w:rsid w:val="001B53E4"/>
    <w:rsid w:val="001B6E55"/>
    <w:rsid w:val="001C541D"/>
    <w:rsid w:val="001C719C"/>
    <w:rsid w:val="001D2C68"/>
    <w:rsid w:val="001D7120"/>
    <w:rsid w:val="001F09D2"/>
    <w:rsid w:val="001F513B"/>
    <w:rsid w:val="001F6653"/>
    <w:rsid w:val="00202478"/>
    <w:rsid w:val="00204CFD"/>
    <w:rsid w:val="002166B6"/>
    <w:rsid w:val="0021703D"/>
    <w:rsid w:val="002217E4"/>
    <w:rsid w:val="00235692"/>
    <w:rsid w:val="00235D46"/>
    <w:rsid w:val="00260048"/>
    <w:rsid w:val="002641D9"/>
    <w:rsid w:val="00264610"/>
    <w:rsid w:val="002717DA"/>
    <w:rsid w:val="00272444"/>
    <w:rsid w:val="0027541D"/>
    <w:rsid w:val="00276356"/>
    <w:rsid w:val="00285454"/>
    <w:rsid w:val="00285A01"/>
    <w:rsid w:val="00296F5A"/>
    <w:rsid w:val="002A3BED"/>
    <w:rsid w:val="002A492F"/>
    <w:rsid w:val="002A551A"/>
    <w:rsid w:val="002A6E5D"/>
    <w:rsid w:val="002B4861"/>
    <w:rsid w:val="002C4E44"/>
    <w:rsid w:val="002C7D6A"/>
    <w:rsid w:val="002D2281"/>
    <w:rsid w:val="002E00B4"/>
    <w:rsid w:val="002F11F9"/>
    <w:rsid w:val="002F36A2"/>
    <w:rsid w:val="002F5039"/>
    <w:rsid w:val="00307B51"/>
    <w:rsid w:val="00312CFB"/>
    <w:rsid w:val="003202D9"/>
    <w:rsid w:val="003274B7"/>
    <w:rsid w:val="0033355C"/>
    <w:rsid w:val="00333C07"/>
    <w:rsid w:val="003378EF"/>
    <w:rsid w:val="00340790"/>
    <w:rsid w:val="003415B3"/>
    <w:rsid w:val="00341896"/>
    <w:rsid w:val="00345197"/>
    <w:rsid w:val="0034548D"/>
    <w:rsid w:val="00352726"/>
    <w:rsid w:val="0035496E"/>
    <w:rsid w:val="00355BDF"/>
    <w:rsid w:val="0035637E"/>
    <w:rsid w:val="00357B72"/>
    <w:rsid w:val="00362FE2"/>
    <w:rsid w:val="00367767"/>
    <w:rsid w:val="00370C23"/>
    <w:rsid w:val="00370EA1"/>
    <w:rsid w:val="0037497A"/>
    <w:rsid w:val="003753DA"/>
    <w:rsid w:val="00385AAA"/>
    <w:rsid w:val="00392875"/>
    <w:rsid w:val="00392FBF"/>
    <w:rsid w:val="0039323B"/>
    <w:rsid w:val="00395AF0"/>
    <w:rsid w:val="00397A38"/>
    <w:rsid w:val="003A2A8E"/>
    <w:rsid w:val="003A2DF7"/>
    <w:rsid w:val="003A7623"/>
    <w:rsid w:val="003B04AA"/>
    <w:rsid w:val="003C6BED"/>
    <w:rsid w:val="003D0294"/>
    <w:rsid w:val="003E1B59"/>
    <w:rsid w:val="003E628A"/>
    <w:rsid w:val="003E73C0"/>
    <w:rsid w:val="003F0444"/>
    <w:rsid w:val="003F1A97"/>
    <w:rsid w:val="004046AF"/>
    <w:rsid w:val="00404841"/>
    <w:rsid w:val="00407B10"/>
    <w:rsid w:val="00434649"/>
    <w:rsid w:val="0043521F"/>
    <w:rsid w:val="004374EC"/>
    <w:rsid w:val="00443657"/>
    <w:rsid w:val="00444979"/>
    <w:rsid w:val="00450326"/>
    <w:rsid w:val="004650B7"/>
    <w:rsid w:val="00474E9F"/>
    <w:rsid w:val="00481E50"/>
    <w:rsid w:val="004938BD"/>
    <w:rsid w:val="0049546C"/>
    <w:rsid w:val="004A269A"/>
    <w:rsid w:val="004A72EF"/>
    <w:rsid w:val="004A7835"/>
    <w:rsid w:val="004B325C"/>
    <w:rsid w:val="004C793D"/>
    <w:rsid w:val="004C7992"/>
    <w:rsid w:val="004D7210"/>
    <w:rsid w:val="004E53B8"/>
    <w:rsid w:val="004E6F2F"/>
    <w:rsid w:val="00500E2A"/>
    <w:rsid w:val="0050394D"/>
    <w:rsid w:val="005047EE"/>
    <w:rsid w:val="00505982"/>
    <w:rsid w:val="00510B78"/>
    <w:rsid w:val="00512B71"/>
    <w:rsid w:val="00523F91"/>
    <w:rsid w:val="00525354"/>
    <w:rsid w:val="00526097"/>
    <w:rsid w:val="005451C4"/>
    <w:rsid w:val="0055005E"/>
    <w:rsid w:val="00551DA9"/>
    <w:rsid w:val="00552CF9"/>
    <w:rsid w:val="00553212"/>
    <w:rsid w:val="00553791"/>
    <w:rsid w:val="00554955"/>
    <w:rsid w:val="00555C3D"/>
    <w:rsid w:val="00556B76"/>
    <w:rsid w:val="005579B6"/>
    <w:rsid w:val="00564077"/>
    <w:rsid w:val="00567E15"/>
    <w:rsid w:val="0057042A"/>
    <w:rsid w:val="00577116"/>
    <w:rsid w:val="005844AC"/>
    <w:rsid w:val="005854F5"/>
    <w:rsid w:val="0058629B"/>
    <w:rsid w:val="005879A5"/>
    <w:rsid w:val="00590E93"/>
    <w:rsid w:val="00592BFD"/>
    <w:rsid w:val="00595086"/>
    <w:rsid w:val="00595F61"/>
    <w:rsid w:val="005A1BE4"/>
    <w:rsid w:val="005A383C"/>
    <w:rsid w:val="005B0C41"/>
    <w:rsid w:val="005B2EE8"/>
    <w:rsid w:val="005B5054"/>
    <w:rsid w:val="005C52CA"/>
    <w:rsid w:val="005D543A"/>
    <w:rsid w:val="005E0237"/>
    <w:rsid w:val="005E4B75"/>
    <w:rsid w:val="005E57D0"/>
    <w:rsid w:val="005F066A"/>
    <w:rsid w:val="005F4E6A"/>
    <w:rsid w:val="005F594A"/>
    <w:rsid w:val="005F7782"/>
    <w:rsid w:val="0060190C"/>
    <w:rsid w:val="00612C76"/>
    <w:rsid w:val="00616FEE"/>
    <w:rsid w:val="00617B2D"/>
    <w:rsid w:val="0062241E"/>
    <w:rsid w:val="00625378"/>
    <w:rsid w:val="0062777A"/>
    <w:rsid w:val="006279B2"/>
    <w:rsid w:val="00634C2E"/>
    <w:rsid w:val="00635809"/>
    <w:rsid w:val="006435A6"/>
    <w:rsid w:val="0064376B"/>
    <w:rsid w:val="00644B25"/>
    <w:rsid w:val="00646713"/>
    <w:rsid w:val="0064778C"/>
    <w:rsid w:val="00653192"/>
    <w:rsid w:val="00654DF5"/>
    <w:rsid w:val="00655EA5"/>
    <w:rsid w:val="0066288B"/>
    <w:rsid w:val="00665480"/>
    <w:rsid w:val="0067243F"/>
    <w:rsid w:val="006769E9"/>
    <w:rsid w:val="00690FBF"/>
    <w:rsid w:val="0069303F"/>
    <w:rsid w:val="006A285B"/>
    <w:rsid w:val="006A4BD0"/>
    <w:rsid w:val="006A68D1"/>
    <w:rsid w:val="006B08C8"/>
    <w:rsid w:val="006B09FE"/>
    <w:rsid w:val="006B34B3"/>
    <w:rsid w:val="006B5309"/>
    <w:rsid w:val="006B7055"/>
    <w:rsid w:val="006C038D"/>
    <w:rsid w:val="006C5A48"/>
    <w:rsid w:val="006C5F81"/>
    <w:rsid w:val="006C6152"/>
    <w:rsid w:val="006C6174"/>
    <w:rsid w:val="006C712A"/>
    <w:rsid w:val="006D08E6"/>
    <w:rsid w:val="006D5289"/>
    <w:rsid w:val="006E1D4C"/>
    <w:rsid w:val="006E6BA0"/>
    <w:rsid w:val="006E71B7"/>
    <w:rsid w:val="006F05E7"/>
    <w:rsid w:val="006F1AAC"/>
    <w:rsid w:val="006F450F"/>
    <w:rsid w:val="006F4B11"/>
    <w:rsid w:val="006F6B94"/>
    <w:rsid w:val="0070156E"/>
    <w:rsid w:val="00702AA0"/>
    <w:rsid w:val="007049A3"/>
    <w:rsid w:val="00711A16"/>
    <w:rsid w:val="00714F04"/>
    <w:rsid w:val="0072268A"/>
    <w:rsid w:val="00724DCF"/>
    <w:rsid w:val="00731DA2"/>
    <w:rsid w:val="007352B7"/>
    <w:rsid w:val="00735CA8"/>
    <w:rsid w:val="0073706E"/>
    <w:rsid w:val="00751151"/>
    <w:rsid w:val="00752B24"/>
    <w:rsid w:val="00754119"/>
    <w:rsid w:val="0076024A"/>
    <w:rsid w:val="007602A0"/>
    <w:rsid w:val="00760D28"/>
    <w:rsid w:val="00762FA7"/>
    <w:rsid w:val="00767A60"/>
    <w:rsid w:val="007774AB"/>
    <w:rsid w:val="007936D9"/>
    <w:rsid w:val="007A24D6"/>
    <w:rsid w:val="007A3B7D"/>
    <w:rsid w:val="007A4497"/>
    <w:rsid w:val="007B1EC9"/>
    <w:rsid w:val="007B327D"/>
    <w:rsid w:val="007B6C55"/>
    <w:rsid w:val="007C085C"/>
    <w:rsid w:val="007C4037"/>
    <w:rsid w:val="007C6BE9"/>
    <w:rsid w:val="007D1423"/>
    <w:rsid w:val="007D4EA6"/>
    <w:rsid w:val="007D60EF"/>
    <w:rsid w:val="007E617D"/>
    <w:rsid w:val="007F0D79"/>
    <w:rsid w:val="007F22BB"/>
    <w:rsid w:val="007F411B"/>
    <w:rsid w:val="008017B0"/>
    <w:rsid w:val="00801C4B"/>
    <w:rsid w:val="00802609"/>
    <w:rsid w:val="008136C4"/>
    <w:rsid w:val="00817A00"/>
    <w:rsid w:val="0082195C"/>
    <w:rsid w:val="008224A5"/>
    <w:rsid w:val="00822D0E"/>
    <w:rsid w:val="00824C27"/>
    <w:rsid w:val="00827897"/>
    <w:rsid w:val="00830A10"/>
    <w:rsid w:val="00841C5E"/>
    <w:rsid w:val="00844359"/>
    <w:rsid w:val="00856061"/>
    <w:rsid w:val="008577D8"/>
    <w:rsid w:val="00860375"/>
    <w:rsid w:val="00861431"/>
    <w:rsid w:val="0086409A"/>
    <w:rsid w:val="00867DAE"/>
    <w:rsid w:val="00873A7F"/>
    <w:rsid w:val="00880FBE"/>
    <w:rsid w:val="0088145A"/>
    <w:rsid w:val="008860F3"/>
    <w:rsid w:val="00886A4B"/>
    <w:rsid w:val="00893D46"/>
    <w:rsid w:val="00893DC3"/>
    <w:rsid w:val="008965F9"/>
    <w:rsid w:val="0089736E"/>
    <w:rsid w:val="008A6624"/>
    <w:rsid w:val="008A7FB7"/>
    <w:rsid w:val="008B30ED"/>
    <w:rsid w:val="008C15B4"/>
    <w:rsid w:val="008C170E"/>
    <w:rsid w:val="008C1921"/>
    <w:rsid w:val="008C56FB"/>
    <w:rsid w:val="008C5F12"/>
    <w:rsid w:val="008D3098"/>
    <w:rsid w:val="008D6836"/>
    <w:rsid w:val="008D7D13"/>
    <w:rsid w:val="008F14CF"/>
    <w:rsid w:val="008F2A70"/>
    <w:rsid w:val="00901ED4"/>
    <w:rsid w:val="009032CD"/>
    <w:rsid w:val="00911072"/>
    <w:rsid w:val="00917998"/>
    <w:rsid w:val="0092166D"/>
    <w:rsid w:val="00923E7C"/>
    <w:rsid w:val="0092443E"/>
    <w:rsid w:val="00927677"/>
    <w:rsid w:val="0092771E"/>
    <w:rsid w:val="0093475A"/>
    <w:rsid w:val="00934D1A"/>
    <w:rsid w:val="009366C0"/>
    <w:rsid w:val="00945CC3"/>
    <w:rsid w:val="00946403"/>
    <w:rsid w:val="0094792E"/>
    <w:rsid w:val="0095118D"/>
    <w:rsid w:val="00956354"/>
    <w:rsid w:val="009628B4"/>
    <w:rsid w:val="0097132E"/>
    <w:rsid w:val="00971F61"/>
    <w:rsid w:val="00975CB4"/>
    <w:rsid w:val="00980AD5"/>
    <w:rsid w:val="00985458"/>
    <w:rsid w:val="0098570A"/>
    <w:rsid w:val="009870F7"/>
    <w:rsid w:val="00992F79"/>
    <w:rsid w:val="009945AD"/>
    <w:rsid w:val="009A18CA"/>
    <w:rsid w:val="009A258F"/>
    <w:rsid w:val="009A4749"/>
    <w:rsid w:val="009A5B4B"/>
    <w:rsid w:val="009A7FFC"/>
    <w:rsid w:val="009B058A"/>
    <w:rsid w:val="009B1718"/>
    <w:rsid w:val="009B1A4A"/>
    <w:rsid w:val="009B26C1"/>
    <w:rsid w:val="009B4878"/>
    <w:rsid w:val="009B6B5E"/>
    <w:rsid w:val="009C4599"/>
    <w:rsid w:val="009D21BA"/>
    <w:rsid w:val="009D4D03"/>
    <w:rsid w:val="009D5463"/>
    <w:rsid w:val="009D6A73"/>
    <w:rsid w:val="009D734A"/>
    <w:rsid w:val="009E687A"/>
    <w:rsid w:val="009E699E"/>
    <w:rsid w:val="009F04EC"/>
    <w:rsid w:val="009F25C2"/>
    <w:rsid w:val="009F2D0D"/>
    <w:rsid w:val="009F2F8B"/>
    <w:rsid w:val="009F5B3D"/>
    <w:rsid w:val="00A02C86"/>
    <w:rsid w:val="00A14C8B"/>
    <w:rsid w:val="00A16CE0"/>
    <w:rsid w:val="00A200B5"/>
    <w:rsid w:val="00A2489F"/>
    <w:rsid w:val="00A24F51"/>
    <w:rsid w:val="00A26820"/>
    <w:rsid w:val="00A27482"/>
    <w:rsid w:val="00A306E3"/>
    <w:rsid w:val="00A310B9"/>
    <w:rsid w:val="00A362D1"/>
    <w:rsid w:val="00A37BF2"/>
    <w:rsid w:val="00A42FAE"/>
    <w:rsid w:val="00A6020C"/>
    <w:rsid w:val="00A64D60"/>
    <w:rsid w:val="00A7033D"/>
    <w:rsid w:val="00A72C03"/>
    <w:rsid w:val="00A73B2A"/>
    <w:rsid w:val="00A768BC"/>
    <w:rsid w:val="00A76B0B"/>
    <w:rsid w:val="00A827FD"/>
    <w:rsid w:val="00A910EA"/>
    <w:rsid w:val="00A94697"/>
    <w:rsid w:val="00AA19E0"/>
    <w:rsid w:val="00AA6907"/>
    <w:rsid w:val="00AB1DB9"/>
    <w:rsid w:val="00AB72CE"/>
    <w:rsid w:val="00AC627F"/>
    <w:rsid w:val="00AC66B8"/>
    <w:rsid w:val="00AD26C5"/>
    <w:rsid w:val="00AD4725"/>
    <w:rsid w:val="00AD7F34"/>
    <w:rsid w:val="00AE035E"/>
    <w:rsid w:val="00AE3AB1"/>
    <w:rsid w:val="00AE79A1"/>
    <w:rsid w:val="00AF02D0"/>
    <w:rsid w:val="00AF044A"/>
    <w:rsid w:val="00AF28A6"/>
    <w:rsid w:val="00AF2A30"/>
    <w:rsid w:val="00AF3080"/>
    <w:rsid w:val="00AF5F12"/>
    <w:rsid w:val="00AF71D8"/>
    <w:rsid w:val="00B028E8"/>
    <w:rsid w:val="00B10502"/>
    <w:rsid w:val="00B10C25"/>
    <w:rsid w:val="00B14022"/>
    <w:rsid w:val="00B17BA2"/>
    <w:rsid w:val="00B17C17"/>
    <w:rsid w:val="00B23C23"/>
    <w:rsid w:val="00B24731"/>
    <w:rsid w:val="00B25975"/>
    <w:rsid w:val="00B2662A"/>
    <w:rsid w:val="00B3211E"/>
    <w:rsid w:val="00B32D2F"/>
    <w:rsid w:val="00B36286"/>
    <w:rsid w:val="00B36A42"/>
    <w:rsid w:val="00B377BA"/>
    <w:rsid w:val="00B42788"/>
    <w:rsid w:val="00B44CDF"/>
    <w:rsid w:val="00B520ED"/>
    <w:rsid w:val="00B55369"/>
    <w:rsid w:val="00B6136F"/>
    <w:rsid w:val="00B6701A"/>
    <w:rsid w:val="00B70CCD"/>
    <w:rsid w:val="00B879F7"/>
    <w:rsid w:val="00B87A32"/>
    <w:rsid w:val="00B9723B"/>
    <w:rsid w:val="00B9771F"/>
    <w:rsid w:val="00BA55A7"/>
    <w:rsid w:val="00BA5C2F"/>
    <w:rsid w:val="00BA5EE7"/>
    <w:rsid w:val="00BB24CA"/>
    <w:rsid w:val="00BB4FB6"/>
    <w:rsid w:val="00BC2480"/>
    <w:rsid w:val="00BC4B83"/>
    <w:rsid w:val="00BC52F2"/>
    <w:rsid w:val="00BC777B"/>
    <w:rsid w:val="00BD0B63"/>
    <w:rsid w:val="00BD2066"/>
    <w:rsid w:val="00BD285A"/>
    <w:rsid w:val="00BD691D"/>
    <w:rsid w:val="00BD6DFC"/>
    <w:rsid w:val="00BE5DBC"/>
    <w:rsid w:val="00BF4B27"/>
    <w:rsid w:val="00BF4D75"/>
    <w:rsid w:val="00BF7B5D"/>
    <w:rsid w:val="00C044DA"/>
    <w:rsid w:val="00C054EC"/>
    <w:rsid w:val="00C165E7"/>
    <w:rsid w:val="00C21158"/>
    <w:rsid w:val="00C34125"/>
    <w:rsid w:val="00C37AE1"/>
    <w:rsid w:val="00C423C1"/>
    <w:rsid w:val="00C427F3"/>
    <w:rsid w:val="00C44BB9"/>
    <w:rsid w:val="00C45C37"/>
    <w:rsid w:val="00C4618E"/>
    <w:rsid w:val="00C4797A"/>
    <w:rsid w:val="00C53CFC"/>
    <w:rsid w:val="00C56D35"/>
    <w:rsid w:val="00C611B4"/>
    <w:rsid w:val="00C66326"/>
    <w:rsid w:val="00C7252F"/>
    <w:rsid w:val="00C8214F"/>
    <w:rsid w:val="00C85435"/>
    <w:rsid w:val="00C8549E"/>
    <w:rsid w:val="00C860AC"/>
    <w:rsid w:val="00CA1DE9"/>
    <w:rsid w:val="00CA77CF"/>
    <w:rsid w:val="00CB0641"/>
    <w:rsid w:val="00CB17B7"/>
    <w:rsid w:val="00CB4FEA"/>
    <w:rsid w:val="00CB798A"/>
    <w:rsid w:val="00CB7AB1"/>
    <w:rsid w:val="00CC4D7F"/>
    <w:rsid w:val="00CC58A0"/>
    <w:rsid w:val="00CC673A"/>
    <w:rsid w:val="00CD01FA"/>
    <w:rsid w:val="00CD0628"/>
    <w:rsid w:val="00CD3567"/>
    <w:rsid w:val="00CD3953"/>
    <w:rsid w:val="00CD7372"/>
    <w:rsid w:val="00CE0207"/>
    <w:rsid w:val="00CE1A8C"/>
    <w:rsid w:val="00CE2D50"/>
    <w:rsid w:val="00CE577E"/>
    <w:rsid w:val="00CE6E4C"/>
    <w:rsid w:val="00CF0BA2"/>
    <w:rsid w:val="00CF78F3"/>
    <w:rsid w:val="00D04E14"/>
    <w:rsid w:val="00D050C5"/>
    <w:rsid w:val="00D10647"/>
    <w:rsid w:val="00D12544"/>
    <w:rsid w:val="00D174CB"/>
    <w:rsid w:val="00D17EC7"/>
    <w:rsid w:val="00D26C39"/>
    <w:rsid w:val="00D303D2"/>
    <w:rsid w:val="00D30FE0"/>
    <w:rsid w:val="00D3248A"/>
    <w:rsid w:val="00D33188"/>
    <w:rsid w:val="00D33485"/>
    <w:rsid w:val="00D40A0E"/>
    <w:rsid w:val="00D448DC"/>
    <w:rsid w:val="00D454E0"/>
    <w:rsid w:val="00D45696"/>
    <w:rsid w:val="00D509E1"/>
    <w:rsid w:val="00D60B9A"/>
    <w:rsid w:val="00D638AE"/>
    <w:rsid w:val="00D65D31"/>
    <w:rsid w:val="00D65FC7"/>
    <w:rsid w:val="00D6794F"/>
    <w:rsid w:val="00D708E9"/>
    <w:rsid w:val="00D7728A"/>
    <w:rsid w:val="00D87C75"/>
    <w:rsid w:val="00D929DE"/>
    <w:rsid w:val="00D9306C"/>
    <w:rsid w:val="00D941D1"/>
    <w:rsid w:val="00D94230"/>
    <w:rsid w:val="00DA2E4E"/>
    <w:rsid w:val="00DA3F59"/>
    <w:rsid w:val="00DA6D56"/>
    <w:rsid w:val="00DB16AB"/>
    <w:rsid w:val="00DC0B24"/>
    <w:rsid w:val="00DC0BC4"/>
    <w:rsid w:val="00DC5F05"/>
    <w:rsid w:val="00DD4A84"/>
    <w:rsid w:val="00DE12A5"/>
    <w:rsid w:val="00DE5952"/>
    <w:rsid w:val="00DE5F7D"/>
    <w:rsid w:val="00DF14E9"/>
    <w:rsid w:val="00DF3986"/>
    <w:rsid w:val="00DF7AEA"/>
    <w:rsid w:val="00E00766"/>
    <w:rsid w:val="00E020B0"/>
    <w:rsid w:val="00E06FEB"/>
    <w:rsid w:val="00E12F40"/>
    <w:rsid w:val="00E1760D"/>
    <w:rsid w:val="00E202C1"/>
    <w:rsid w:val="00E20D99"/>
    <w:rsid w:val="00E2338D"/>
    <w:rsid w:val="00E32DF4"/>
    <w:rsid w:val="00E421C8"/>
    <w:rsid w:val="00E43946"/>
    <w:rsid w:val="00E43D02"/>
    <w:rsid w:val="00E4785B"/>
    <w:rsid w:val="00E51C84"/>
    <w:rsid w:val="00E52B15"/>
    <w:rsid w:val="00E54EC0"/>
    <w:rsid w:val="00E57EE9"/>
    <w:rsid w:val="00E60B2B"/>
    <w:rsid w:val="00E65001"/>
    <w:rsid w:val="00E7060B"/>
    <w:rsid w:val="00E7262D"/>
    <w:rsid w:val="00E73B40"/>
    <w:rsid w:val="00E924EB"/>
    <w:rsid w:val="00E94E68"/>
    <w:rsid w:val="00E9676A"/>
    <w:rsid w:val="00EA2123"/>
    <w:rsid w:val="00EA2F77"/>
    <w:rsid w:val="00EB0AA8"/>
    <w:rsid w:val="00EB1ACE"/>
    <w:rsid w:val="00EB51B0"/>
    <w:rsid w:val="00EC4401"/>
    <w:rsid w:val="00EC79B7"/>
    <w:rsid w:val="00ED42EE"/>
    <w:rsid w:val="00EE2579"/>
    <w:rsid w:val="00EE2AA0"/>
    <w:rsid w:val="00EF33CC"/>
    <w:rsid w:val="00EF3512"/>
    <w:rsid w:val="00EF4558"/>
    <w:rsid w:val="00EF611C"/>
    <w:rsid w:val="00EF7FBD"/>
    <w:rsid w:val="00F00585"/>
    <w:rsid w:val="00F00F5D"/>
    <w:rsid w:val="00F03F8F"/>
    <w:rsid w:val="00F06AEA"/>
    <w:rsid w:val="00F1231F"/>
    <w:rsid w:val="00F12360"/>
    <w:rsid w:val="00F171FA"/>
    <w:rsid w:val="00F30BF5"/>
    <w:rsid w:val="00F36C6A"/>
    <w:rsid w:val="00F411D7"/>
    <w:rsid w:val="00F47B54"/>
    <w:rsid w:val="00F50193"/>
    <w:rsid w:val="00F53917"/>
    <w:rsid w:val="00F60883"/>
    <w:rsid w:val="00F66192"/>
    <w:rsid w:val="00F670E5"/>
    <w:rsid w:val="00F72D2E"/>
    <w:rsid w:val="00F73E17"/>
    <w:rsid w:val="00F76ABA"/>
    <w:rsid w:val="00F859D2"/>
    <w:rsid w:val="00F869E4"/>
    <w:rsid w:val="00F86F92"/>
    <w:rsid w:val="00F96663"/>
    <w:rsid w:val="00F9714C"/>
    <w:rsid w:val="00FB1C60"/>
    <w:rsid w:val="00FB35AF"/>
    <w:rsid w:val="00FB7B2B"/>
    <w:rsid w:val="00FD3EC4"/>
    <w:rsid w:val="00FD6102"/>
    <w:rsid w:val="00FE07FA"/>
    <w:rsid w:val="00FE30EF"/>
    <w:rsid w:val="00FE3EA2"/>
    <w:rsid w:val="00FF1F6E"/>
    <w:rsid w:val="00FF4443"/>
    <w:rsid w:val="00FF49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21703D"/>
    <w:pPr>
      <w:ind w:left="720"/>
      <w:contextualSpacing/>
    </w:pPr>
  </w:style>
  <w:style w:type="paragraph" w:styleId="Funotentext">
    <w:name w:val="footnote text"/>
    <w:basedOn w:val="Standard"/>
    <w:link w:val="FunotentextZchn"/>
    <w:rsid w:val="00355BDF"/>
    <w:pPr>
      <w:spacing w:line="240" w:lineRule="auto"/>
    </w:pPr>
    <w:rPr>
      <w:sz w:val="20"/>
      <w:szCs w:val="20"/>
    </w:rPr>
  </w:style>
  <w:style w:type="character" w:customStyle="1" w:styleId="FunotentextZchn">
    <w:name w:val="Fußnotentext Zchn"/>
    <w:basedOn w:val="Absatz-Standardschriftart"/>
    <w:link w:val="Funotentext"/>
    <w:rsid w:val="00355BDF"/>
    <w:rPr>
      <w:rFonts w:ascii="Lucida Sans Unicode" w:hAnsi="Lucida Sans Unicode"/>
      <w:position w:val="-2"/>
    </w:rPr>
  </w:style>
  <w:style w:type="character" w:styleId="Funotenzeichen">
    <w:name w:val="footnote reference"/>
    <w:basedOn w:val="Absatz-Standardschriftart"/>
    <w:rsid w:val="00355B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21703D"/>
    <w:pPr>
      <w:ind w:left="720"/>
      <w:contextualSpacing/>
    </w:pPr>
  </w:style>
  <w:style w:type="paragraph" w:styleId="Funotentext">
    <w:name w:val="footnote text"/>
    <w:basedOn w:val="Standard"/>
    <w:link w:val="FunotentextZchn"/>
    <w:rsid w:val="00355BDF"/>
    <w:pPr>
      <w:spacing w:line="240" w:lineRule="auto"/>
    </w:pPr>
    <w:rPr>
      <w:sz w:val="20"/>
      <w:szCs w:val="20"/>
    </w:rPr>
  </w:style>
  <w:style w:type="character" w:customStyle="1" w:styleId="FunotentextZchn">
    <w:name w:val="Fußnotentext Zchn"/>
    <w:basedOn w:val="Absatz-Standardschriftart"/>
    <w:link w:val="Funotentext"/>
    <w:rsid w:val="00355BDF"/>
    <w:rPr>
      <w:rFonts w:ascii="Lucida Sans Unicode" w:hAnsi="Lucida Sans Unicode"/>
      <w:position w:val="-2"/>
    </w:rPr>
  </w:style>
  <w:style w:type="character" w:styleId="Funotenzeichen">
    <w:name w:val="footnote reference"/>
    <w:basedOn w:val="Absatz-Standardschriftart"/>
    <w:rsid w:val="00355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36DE1-44C6-4FC2-9E6E-E1E54735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9D4ADBDE</Template>
  <TotalTime>0</TotalTime>
  <Pages>11</Pages>
  <Words>2670</Words>
  <Characters>18035</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Mueller, Barbara</dc:creator>
  <cp:lastModifiedBy>Hesterkamp, Anja</cp:lastModifiedBy>
  <cp:revision>3</cp:revision>
  <cp:lastPrinted>2014-10-29T14:17:00Z</cp:lastPrinted>
  <dcterms:created xsi:type="dcterms:W3CDTF">2014-10-29T14:17:00Z</dcterms:created>
  <dcterms:modified xsi:type="dcterms:W3CDTF">2014-10-29T14:17:00Z</dcterms:modified>
</cp:coreProperties>
</file>