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407B10" w:rsidRDefault="00F00F5D">
      <w:pPr>
        <w:spacing w:line="300" w:lineRule="exact"/>
        <w:ind w:left="0"/>
        <w:rPr>
          <w:szCs w:val="18"/>
          <w:u w:val="single"/>
        </w:rPr>
      </w:pPr>
      <w:bookmarkStart w:id="0" w:name="_GoBack"/>
      <w:bookmarkEnd w:id="0"/>
      <w:r w:rsidRPr="00407B10">
        <w:rPr>
          <w:szCs w:val="18"/>
          <w:u w:val="single"/>
        </w:rPr>
        <w:t xml:space="preserve">Sendesperrfrist: </w:t>
      </w:r>
      <w:r w:rsidR="00230A71">
        <w:rPr>
          <w:szCs w:val="18"/>
          <w:u w:val="single"/>
        </w:rPr>
        <w:t>3</w:t>
      </w:r>
      <w:r w:rsidRPr="00407B10">
        <w:rPr>
          <w:szCs w:val="18"/>
          <w:u w:val="single"/>
        </w:rPr>
        <w:t>. März 201</w:t>
      </w:r>
      <w:r w:rsidR="00230A71">
        <w:rPr>
          <w:szCs w:val="18"/>
          <w:u w:val="single"/>
        </w:rPr>
        <w:t>5</w:t>
      </w:r>
      <w:r w:rsidRPr="00407B10">
        <w:rPr>
          <w:szCs w:val="18"/>
          <w:u w:val="single"/>
        </w:rPr>
        <w:t xml:space="preserve">, </w:t>
      </w:r>
      <w:r w:rsidR="005B100E">
        <w:rPr>
          <w:szCs w:val="18"/>
          <w:u w:val="single"/>
        </w:rPr>
        <w:t>7</w:t>
      </w:r>
      <w:r w:rsidRPr="00407B10">
        <w:rPr>
          <w:szCs w:val="18"/>
          <w:u w:val="single"/>
        </w:rPr>
        <w:t>.</w:t>
      </w:r>
      <w:r w:rsidR="008A097C">
        <w:rPr>
          <w:szCs w:val="18"/>
          <w:u w:val="single"/>
        </w:rPr>
        <w:t>0</w:t>
      </w:r>
      <w:r w:rsidRPr="00407B10">
        <w:rPr>
          <w:szCs w:val="18"/>
          <w:u w:val="single"/>
        </w:rPr>
        <w:t>0 Uhr</w:t>
      </w:r>
    </w:p>
    <w:p w:rsidR="00B6136F" w:rsidRPr="00F00F5D" w:rsidRDefault="00B6136F">
      <w:pPr>
        <w:spacing w:line="300" w:lineRule="exact"/>
        <w:ind w:left="0"/>
        <w:rPr>
          <w:sz w:val="20"/>
          <w:szCs w:val="20"/>
          <w:u w:val="single"/>
        </w:rPr>
        <w:sectPr w:rsidR="00B6136F" w:rsidRPr="00F00F5D">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230A71" w:rsidP="005B100E">
            <w:pPr>
              <w:pStyle w:val="E-Datum"/>
              <w:framePr w:wrap="auto" w:vAnchor="margin" w:hAnchor="text" w:xAlign="left" w:yAlign="inline"/>
              <w:suppressOverlap w:val="0"/>
            </w:pPr>
            <w:r>
              <w:t>3</w:t>
            </w:r>
            <w:r w:rsidR="005B100E">
              <w:t>.</w:t>
            </w:r>
            <w:r w:rsidR="009D5463">
              <w:t xml:space="preserve"> März 201</w:t>
            </w:r>
            <w:r>
              <w:t>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230A71" w:rsidTr="00B14022">
        <w:trPr>
          <w:trHeight w:hRule="exact" w:val="1222"/>
        </w:trPr>
        <w:tc>
          <w:tcPr>
            <w:tcW w:w="2271" w:type="dxa"/>
            <w:shd w:val="clear" w:color="auto" w:fill="auto"/>
          </w:tcPr>
          <w:p w:rsidR="00B6136F" w:rsidRDefault="00125F13">
            <w:pPr>
              <w:pStyle w:val="M7"/>
              <w:framePr w:wrap="auto" w:vAnchor="margin" w:hAnchor="text" w:xAlign="left" w:yAlign="inline"/>
              <w:suppressOverlap w:val="0"/>
            </w:pPr>
            <w:r>
              <w:t>H</w:t>
            </w:r>
            <w:r w:rsidR="00230A71">
              <w:t>ans-Jörg Heims</w:t>
            </w:r>
          </w:p>
          <w:p w:rsidR="00B6136F" w:rsidRDefault="00230A71">
            <w:pPr>
              <w:pStyle w:val="M8"/>
              <w:framePr w:wrap="auto" w:vAnchor="margin" w:hAnchor="text" w:xAlign="left" w:yAlign="inline"/>
              <w:suppressOverlap w:val="0"/>
            </w:pPr>
            <w:r>
              <w:t>Leiter</w:t>
            </w:r>
            <w:r w:rsidR="00AD7F34">
              <w:t xml:space="preserve"> </w:t>
            </w:r>
            <w:r w:rsidR="00B14022">
              <w:t xml:space="preserve">Konzernpresse </w:t>
            </w:r>
          </w:p>
          <w:p w:rsidR="00B6136F" w:rsidRDefault="00230A71">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230A71"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846F61">
            <w:pPr>
              <w:pStyle w:val="M12"/>
              <w:framePr w:wrap="auto" w:vAnchor="margin" w:hAnchor="text" w:xAlign="left" w:yAlign="inline"/>
              <w:suppressOverlap w:val="0"/>
            </w:pPr>
            <w:r w:rsidRPr="00080CD7">
              <w:rPr>
                <w:b/>
              </w:rPr>
              <w:t>Alexandra Boy</w:t>
            </w:r>
            <w:r w:rsidRPr="00080CD7">
              <w:t xml:space="preserve"> </w:t>
            </w:r>
            <w:r w:rsidR="00C156F6" w:rsidRPr="00080CD7">
              <w:br/>
            </w:r>
            <w:proofErr w:type="spellStart"/>
            <w:r w:rsidR="00C156F6" w:rsidRPr="00080CD7">
              <w:t>Stellvertr</w:t>
            </w:r>
            <w:proofErr w:type="spellEnd"/>
            <w:r w:rsidR="00C156F6" w:rsidRPr="00080CD7">
              <w:t>. Leiterin Konzernpresse</w:t>
            </w:r>
            <w:r w:rsidR="00C156F6" w:rsidRPr="00080CD7">
              <w:br/>
              <w:t>Telefon +49</w:t>
            </w:r>
            <w:r w:rsidR="006167D7">
              <w:t xml:space="preserve"> </w:t>
            </w:r>
            <w:r w:rsidR="00C156F6" w:rsidRPr="00080CD7">
              <w:t>201 177-3167</w:t>
            </w:r>
            <w:r w:rsidR="00C156F6" w:rsidRPr="00080CD7">
              <w:br/>
              <w:t>Telefax +49</w:t>
            </w:r>
            <w:r w:rsidR="006167D7">
              <w:t xml:space="preserve"> </w:t>
            </w:r>
            <w:r w:rsidR="00C156F6" w:rsidRPr="00080CD7">
              <w:t>201 177-3030</w:t>
            </w:r>
            <w:r w:rsidR="00C156F6" w:rsidRPr="00080CD7">
              <w:br/>
              <w:t>alexandra.boy@evonik.com</w:t>
            </w:r>
          </w:p>
          <w:p w:rsidR="00B6136F" w:rsidRDefault="00B14022" w:rsidP="009D5463">
            <w:pPr>
              <w:pStyle w:val="M1"/>
              <w:framePr w:wrap="auto" w:vAnchor="margin" w:hAnchor="text" w:xAlign="left" w:yAlign="inline"/>
              <w:suppressOverlap w:val="0"/>
            </w:pPr>
            <w:r>
              <w:br/>
            </w: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E4A7D">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E4A7D">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E4A7D">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E4A7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E4A7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E4A7D">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E4A7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E4A7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E4A7D">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E4A7D">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E4A7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E4A7D">
              <w:rPr>
                <w:noProof/>
              </w:rPr>
              <w:t>Vorsitzender</w:t>
            </w:r>
            <w:r>
              <w:fldChar w:fldCharType="end"/>
            </w:r>
          </w:p>
          <w:p w:rsidR="00230A71" w:rsidRDefault="00230A71">
            <w:pPr>
              <w:pStyle w:val="V10"/>
              <w:framePr w:wrap="auto" w:vAnchor="margin" w:hAnchor="text" w:xAlign="left" w:yAlign="inline"/>
              <w:suppressOverlap w:val="0"/>
            </w:pPr>
            <w:r>
              <w:t>Christian Kullmann</w:t>
            </w:r>
          </w:p>
          <w:p w:rsidR="007C4237" w:rsidRDefault="00E15F00" w:rsidP="007C4237">
            <w:pPr>
              <w:pStyle w:val="V11"/>
              <w:framePr w:wrap="auto" w:vAnchor="margin" w:hAnchor="text" w:xAlign="left" w:yAlign="inline"/>
              <w:suppressOverlap w:val="0"/>
            </w:pPr>
            <w:r>
              <w:t>Thomas Wessel</w:t>
            </w:r>
            <w:r w:rsidR="000B1542">
              <w:t xml:space="preserve"> </w:t>
            </w:r>
            <w:r w:rsidR="002B50C0">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2E4A7D">
              <w:rPr>
                <w:noProof/>
              </w:rPr>
              <w:t>Patrik Wohlhauser</w:t>
            </w:r>
            <w:r w:rsidR="00B14022">
              <w:fldChar w:fldCharType="end"/>
            </w:r>
            <w:r w:rsidR="002B50C0">
              <w:br/>
              <w:t>Ute Wolf</w:t>
            </w:r>
            <w:r w:rsidR="002B50C0">
              <w:br/>
            </w:r>
          </w:p>
          <w:p w:rsidR="00B6136F" w:rsidRDefault="00B14022" w:rsidP="007C4237">
            <w:pPr>
              <w:pStyle w:val="V11"/>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E4A7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E4A7D">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E4A7D">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E4A7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E4A7D">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E4A7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E4A7D">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9D5463">
      <w:pPr>
        <w:ind w:left="0"/>
        <w:rPr>
          <w:u w:val="single"/>
        </w:rPr>
      </w:pPr>
    </w:p>
    <w:p w:rsidR="00395AF0" w:rsidRDefault="00395AF0" w:rsidP="009D5463">
      <w:pPr>
        <w:ind w:left="0"/>
        <w:rPr>
          <w:u w:val="single"/>
        </w:rPr>
      </w:pPr>
    </w:p>
    <w:p w:rsidR="009D734A" w:rsidRPr="00080CD7" w:rsidRDefault="009D734A" w:rsidP="00125F13">
      <w:pPr>
        <w:ind w:left="0"/>
        <w:rPr>
          <w:u w:val="single"/>
        </w:rPr>
      </w:pPr>
      <w:r w:rsidRPr="00080CD7">
        <w:rPr>
          <w:u w:val="single"/>
        </w:rPr>
        <w:t>Wirtschaftliche Eckdaten:</w:t>
      </w:r>
    </w:p>
    <w:p w:rsidR="009D734A" w:rsidRPr="00080CD7" w:rsidRDefault="009D734A" w:rsidP="00125F13">
      <w:pPr>
        <w:ind w:left="0"/>
        <w:rPr>
          <w:u w:val="single"/>
        </w:rPr>
      </w:pPr>
      <w:r w:rsidRPr="00080CD7">
        <w:rPr>
          <w:u w:val="single"/>
        </w:rPr>
        <w:t>1. Januar – 31. Dezember 201</w:t>
      </w:r>
      <w:r w:rsidR="00230A71">
        <w:rPr>
          <w:u w:val="single"/>
        </w:rPr>
        <w:t>4</w:t>
      </w:r>
      <w:r w:rsidRPr="00080CD7">
        <w:rPr>
          <w:u w:val="single"/>
        </w:rPr>
        <w:t xml:space="preserve"> / </w:t>
      </w:r>
      <w:r w:rsidR="00BF2904">
        <w:rPr>
          <w:u w:val="single"/>
        </w:rPr>
        <w:t>Ausblick</w:t>
      </w:r>
      <w:r w:rsidRPr="00080CD7">
        <w:rPr>
          <w:u w:val="single"/>
        </w:rPr>
        <w:t xml:space="preserve"> 201</w:t>
      </w:r>
      <w:r w:rsidR="00BF2904">
        <w:rPr>
          <w:u w:val="single"/>
        </w:rPr>
        <w:t>5</w:t>
      </w:r>
    </w:p>
    <w:p w:rsidR="009D734A" w:rsidRDefault="009D734A" w:rsidP="009D734A">
      <w:pPr>
        <w:spacing w:line="300" w:lineRule="exact"/>
        <w:rPr>
          <w:u w:val="single"/>
        </w:rPr>
      </w:pPr>
    </w:p>
    <w:p w:rsidR="00044C1C" w:rsidRPr="00080CD7" w:rsidRDefault="00044C1C" w:rsidP="009D734A">
      <w:pPr>
        <w:spacing w:line="300" w:lineRule="exact"/>
        <w:rPr>
          <w:u w:val="single"/>
        </w:rPr>
      </w:pPr>
    </w:p>
    <w:p w:rsidR="004B01C8" w:rsidRPr="004B01C8" w:rsidRDefault="00BF2904" w:rsidP="00125F13">
      <w:pPr>
        <w:spacing w:line="300" w:lineRule="exact"/>
        <w:ind w:left="0"/>
        <w:rPr>
          <w:b/>
          <w:bCs/>
          <w:sz w:val="22"/>
          <w:szCs w:val="22"/>
        </w:rPr>
      </w:pPr>
      <w:r w:rsidRPr="004B01C8">
        <w:rPr>
          <w:b/>
          <w:bCs/>
          <w:sz w:val="22"/>
          <w:szCs w:val="22"/>
        </w:rPr>
        <w:t>Erfolgreich in schwierigem Marktumfeld</w:t>
      </w:r>
    </w:p>
    <w:p w:rsidR="00424167" w:rsidRPr="004B01C8" w:rsidRDefault="00D17D70" w:rsidP="00125F13">
      <w:pPr>
        <w:spacing w:line="300" w:lineRule="exact"/>
        <w:ind w:left="0"/>
        <w:rPr>
          <w:b/>
          <w:bCs/>
          <w:sz w:val="22"/>
          <w:szCs w:val="22"/>
        </w:rPr>
      </w:pPr>
      <w:r w:rsidRPr="004B01C8">
        <w:rPr>
          <w:b/>
          <w:bCs/>
          <w:sz w:val="22"/>
          <w:szCs w:val="22"/>
        </w:rPr>
        <w:t xml:space="preserve">Trendwende im </w:t>
      </w:r>
      <w:r w:rsidR="006F465A" w:rsidRPr="004B01C8">
        <w:rPr>
          <w:b/>
          <w:bCs/>
          <w:sz w:val="22"/>
          <w:szCs w:val="22"/>
        </w:rPr>
        <w:t xml:space="preserve">4. Quartal </w:t>
      </w:r>
      <w:r w:rsidRPr="004B01C8">
        <w:rPr>
          <w:b/>
          <w:bCs/>
          <w:sz w:val="22"/>
          <w:szCs w:val="22"/>
        </w:rPr>
        <w:t>2014</w:t>
      </w:r>
    </w:p>
    <w:p w:rsidR="00D17D70" w:rsidRPr="00080CD7" w:rsidRDefault="00D17D70" w:rsidP="00424167">
      <w:pPr>
        <w:spacing w:line="300" w:lineRule="exact"/>
        <w:rPr>
          <w:b/>
          <w:bCs/>
          <w:sz w:val="22"/>
          <w:szCs w:val="22"/>
        </w:rPr>
      </w:pPr>
    </w:p>
    <w:p w:rsidR="007D5EEA" w:rsidRDefault="00D17D70" w:rsidP="0033717D">
      <w:pPr>
        <w:numPr>
          <w:ilvl w:val="0"/>
          <w:numId w:val="14"/>
        </w:numPr>
        <w:tabs>
          <w:tab w:val="clear" w:pos="1425"/>
          <w:tab w:val="num" w:pos="426"/>
        </w:tabs>
        <w:spacing w:line="300" w:lineRule="exact"/>
        <w:ind w:left="426" w:hanging="426"/>
        <w:rPr>
          <w:rFonts w:cs="Lucida Sans Unicode"/>
          <w:b/>
          <w:bCs/>
          <w:position w:val="0"/>
          <w:sz w:val="20"/>
          <w:szCs w:val="20"/>
        </w:rPr>
      </w:pPr>
      <w:r>
        <w:rPr>
          <w:rFonts w:cs="Lucida Sans Unicode"/>
          <w:b/>
          <w:bCs/>
          <w:position w:val="0"/>
          <w:sz w:val="20"/>
          <w:szCs w:val="20"/>
        </w:rPr>
        <w:t>Ergebnis</w:t>
      </w:r>
      <w:r w:rsidR="007D5EEA">
        <w:rPr>
          <w:rFonts w:cs="Lucida Sans Unicode"/>
          <w:b/>
          <w:bCs/>
          <w:position w:val="0"/>
          <w:sz w:val="20"/>
          <w:szCs w:val="20"/>
        </w:rPr>
        <w:t xml:space="preserve"> </w:t>
      </w:r>
      <w:r>
        <w:rPr>
          <w:rFonts w:cs="Lucida Sans Unicode"/>
          <w:b/>
          <w:bCs/>
          <w:position w:val="0"/>
          <w:sz w:val="20"/>
          <w:szCs w:val="20"/>
        </w:rPr>
        <w:t xml:space="preserve">für </w:t>
      </w:r>
      <w:r w:rsidR="007D5EEA">
        <w:rPr>
          <w:rFonts w:cs="Lucida Sans Unicode"/>
          <w:b/>
          <w:bCs/>
          <w:position w:val="0"/>
          <w:sz w:val="20"/>
          <w:szCs w:val="20"/>
        </w:rPr>
        <w:t xml:space="preserve">2014 </w:t>
      </w:r>
      <w:r>
        <w:rPr>
          <w:rFonts w:cs="Lucida Sans Unicode"/>
          <w:b/>
          <w:bCs/>
          <w:position w:val="0"/>
          <w:sz w:val="20"/>
          <w:szCs w:val="20"/>
        </w:rPr>
        <w:t xml:space="preserve">im prognostizierten Zielkorridor </w:t>
      </w:r>
    </w:p>
    <w:p w:rsidR="00BF2904" w:rsidRDefault="00BF2904" w:rsidP="0033717D">
      <w:pPr>
        <w:numPr>
          <w:ilvl w:val="0"/>
          <w:numId w:val="14"/>
        </w:numPr>
        <w:tabs>
          <w:tab w:val="clear" w:pos="1425"/>
          <w:tab w:val="num" w:pos="426"/>
        </w:tabs>
        <w:spacing w:line="300" w:lineRule="exact"/>
        <w:ind w:left="426" w:hanging="426"/>
        <w:rPr>
          <w:rFonts w:cs="Lucida Sans Unicode"/>
          <w:b/>
          <w:bCs/>
          <w:position w:val="0"/>
          <w:sz w:val="20"/>
          <w:szCs w:val="20"/>
        </w:rPr>
      </w:pPr>
      <w:r w:rsidRPr="00BF2904">
        <w:rPr>
          <w:rFonts w:cs="Lucida Sans Unicode"/>
          <w:b/>
          <w:bCs/>
          <w:position w:val="0"/>
          <w:sz w:val="20"/>
          <w:szCs w:val="20"/>
        </w:rPr>
        <w:t>Vorstandsvorsitzender Klaus Engel: „Wir haben viel Kraft für Neues bewiesen</w:t>
      </w:r>
      <w:r w:rsidR="008F6A10">
        <w:rPr>
          <w:rFonts w:cs="Lucida Sans Unicode"/>
          <w:b/>
          <w:bCs/>
          <w:position w:val="0"/>
          <w:sz w:val="20"/>
          <w:szCs w:val="20"/>
        </w:rPr>
        <w:t>.“</w:t>
      </w:r>
      <w:r w:rsidR="00D17D70">
        <w:rPr>
          <w:rFonts w:cs="Lucida Sans Unicode"/>
          <w:b/>
          <w:bCs/>
          <w:position w:val="0"/>
          <w:sz w:val="20"/>
          <w:szCs w:val="20"/>
        </w:rPr>
        <w:t xml:space="preserve"> </w:t>
      </w:r>
    </w:p>
    <w:p w:rsidR="002D3681" w:rsidRDefault="002D3681" w:rsidP="002D3681">
      <w:pPr>
        <w:numPr>
          <w:ilvl w:val="0"/>
          <w:numId w:val="14"/>
        </w:numPr>
        <w:tabs>
          <w:tab w:val="clear" w:pos="1425"/>
          <w:tab w:val="num" w:pos="426"/>
        </w:tabs>
        <w:spacing w:line="300" w:lineRule="exact"/>
        <w:ind w:left="426" w:hanging="426"/>
        <w:rPr>
          <w:rFonts w:cs="Lucida Sans Unicode"/>
          <w:b/>
          <w:bCs/>
          <w:position w:val="0"/>
          <w:sz w:val="20"/>
          <w:szCs w:val="20"/>
        </w:rPr>
      </w:pPr>
      <w:r w:rsidRPr="00BF2904">
        <w:rPr>
          <w:rFonts w:cs="Lucida Sans Unicode"/>
          <w:b/>
          <w:bCs/>
          <w:position w:val="0"/>
          <w:sz w:val="20"/>
          <w:szCs w:val="20"/>
        </w:rPr>
        <w:t xml:space="preserve">Aktionäre sollen </w:t>
      </w:r>
      <w:r>
        <w:rPr>
          <w:rFonts w:cs="Lucida Sans Unicode"/>
          <w:b/>
          <w:bCs/>
          <w:position w:val="0"/>
          <w:sz w:val="20"/>
          <w:szCs w:val="20"/>
        </w:rPr>
        <w:t xml:space="preserve">stabile </w:t>
      </w:r>
      <w:r w:rsidRPr="00BF2904">
        <w:rPr>
          <w:rFonts w:cs="Lucida Sans Unicode"/>
          <w:b/>
          <w:bCs/>
          <w:position w:val="0"/>
          <w:sz w:val="20"/>
          <w:szCs w:val="20"/>
        </w:rPr>
        <w:t>Dividende in Höhe von 1,00 Euro erhalten</w:t>
      </w:r>
    </w:p>
    <w:p w:rsidR="00D17D70" w:rsidRPr="00D17D70" w:rsidRDefault="00D17D70" w:rsidP="0033717D">
      <w:pPr>
        <w:pStyle w:val="Listenabsatz"/>
        <w:numPr>
          <w:ilvl w:val="0"/>
          <w:numId w:val="14"/>
        </w:numPr>
        <w:tabs>
          <w:tab w:val="clear" w:pos="1425"/>
          <w:tab w:val="num" w:pos="426"/>
        </w:tabs>
        <w:spacing w:line="300" w:lineRule="exact"/>
        <w:ind w:left="426" w:hanging="426"/>
        <w:rPr>
          <w:rFonts w:cs="Lucida Sans Unicode"/>
          <w:b/>
          <w:bCs/>
          <w:position w:val="0"/>
          <w:sz w:val="20"/>
          <w:szCs w:val="20"/>
        </w:rPr>
      </w:pPr>
      <w:r w:rsidRPr="00D17D70">
        <w:rPr>
          <w:rFonts w:cs="Lucida Sans Unicode"/>
          <w:b/>
          <w:bCs/>
          <w:position w:val="0"/>
          <w:sz w:val="20"/>
          <w:szCs w:val="20"/>
        </w:rPr>
        <w:t>Nach erfolgreichem Start optimistisch für 2015:</w:t>
      </w:r>
      <w:r w:rsidR="004A4613">
        <w:rPr>
          <w:rFonts w:cs="Lucida Sans Unicode"/>
          <w:b/>
          <w:bCs/>
          <w:position w:val="0"/>
          <w:sz w:val="20"/>
          <w:szCs w:val="20"/>
        </w:rPr>
        <w:t xml:space="preserve"> </w:t>
      </w:r>
      <w:r w:rsidRPr="00D17D70">
        <w:rPr>
          <w:rFonts w:cs="Lucida Sans Unicode"/>
          <w:b/>
          <w:bCs/>
          <w:position w:val="0"/>
          <w:sz w:val="20"/>
          <w:szCs w:val="20"/>
        </w:rPr>
        <w:t>Operatives Ergebnis leicht über Vorjahr erwartet</w:t>
      </w:r>
    </w:p>
    <w:p w:rsidR="00BF2904" w:rsidRDefault="00BF2904" w:rsidP="00BF2904">
      <w:pPr>
        <w:spacing w:line="300" w:lineRule="exact"/>
        <w:ind w:left="1425"/>
        <w:rPr>
          <w:rFonts w:cs="Lucida Sans Unicode"/>
          <w:b/>
          <w:bCs/>
          <w:position w:val="0"/>
          <w:sz w:val="20"/>
          <w:szCs w:val="20"/>
        </w:rPr>
      </w:pPr>
    </w:p>
    <w:p w:rsidR="00BF2904" w:rsidRPr="00080CD7" w:rsidRDefault="00BF2904" w:rsidP="00BF2904">
      <w:pPr>
        <w:spacing w:line="300" w:lineRule="exact"/>
        <w:ind w:left="1425"/>
        <w:rPr>
          <w:rFonts w:cs="Lucida Sans Unicode"/>
          <w:b/>
          <w:bCs/>
          <w:position w:val="0"/>
          <w:sz w:val="20"/>
          <w:szCs w:val="20"/>
        </w:rPr>
      </w:pPr>
    </w:p>
    <w:p w:rsidR="00B9727E" w:rsidRDefault="00BF2904" w:rsidP="00125F13">
      <w:pPr>
        <w:spacing w:line="300" w:lineRule="exact"/>
        <w:ind w:left="0"/>
        <w:rPr>
          <w:sz w:val="20"/>
          <w:szCs w:val="20"/>
        </w:rPr>
      </w:pPr>
      <w:r w:rsidRPr="00125F13">
        <w:rPr>
          <w:b/>
          <w:sz w:val="20"/>
          <w:szCs w:val="20"/>
        </w:rPr>
        <w:t>Essen</w:t>
      </w:r>
      <w:r w:rsidRPr="00125F13">
        <w:rPr>
          <w:sz w:val="20"/>
          <w:szCs w:val="20"/>
        </w:rPr>
        <w:t xml:space="preserve">. Evonik Industries </w:t>
      </w:r>
      <w:r w:rsidR="006F465A" w:rsidRPr="00125F13">
        <w:rPr>
          <w:sz w:val="20"/>
          <w:szCs w:val="20"/>
        </w:rPr>
        <w:t>hat das</w:t>
      </w:r>
      <w:r w:rsidRPr="00125F13">
        <w:rPr>
          <w:sz w:val="20"/>
          <w:szCs w:val="20"/>
        </w:rPr>
        <w:t xml:space="preserve"> vergangene Jahr in einem schwierigen Marktumfeld </w:t>
      </w:r>
      <w:r w:rsidR="0048710C" w:rsidRPr="00125F13">
        <w:rPr>
          <w:sz w:val="20"/>
          <w:szCs w:val="20"/>
        </w:rPr>
        <w:t>erfolgreich</w:t>
      </w:r>
      <w:r w:rsidRPr="00125F13">
        <w:rPr>
          <w:sz w:val="20"/>
          <w:szCs w:val="20"/>
        </w:rPr>
        <w:t xml:space="preserve"> </w:t>
      </w:r>
      <w:r w:rsidR="006F465A" w:rsidRPr="00125F13">
        <w:rPr>
          <w:sz w:val="20"/>
          <w:szCs w:val="20"/>
        </w:rPr>
        <w:t xml:space="preserve">abgeschlossen </w:t>
      </w:r>
      <w:r w:rsidRPr="00125F13">
        <w:rPr>
          <w:sz w:val="20"/>
          <w:szCs w:val="20"/>
        </w:rPr>
        <w:t xml:space="preserve">und </w:t>
      </w:r>
      <w:r w:rsidR="006F465A" w:rsidRPr="00125F13">
        <w:rPr>
          <w:sz w:val="20"/>
          <w:szCs w:val="20"/>
        </w:rPr>
        <w:t>die</w:t>
      </w:r>
      <w:r w:rsidRPr="00125F13">
        <w:rPr>
          <w:sz w:val="20"/>
          <w:szCs w:val="20"/>
        </w:rPr>
        <w:t xml:space="preserve"> prognostizierten Ziele erreicht. „Wir haben viel Kraft für Neues </w:t>
      </w:r>
      <w:r w:rsidR="004B01C8" w:rsidRPr="00125F13">
        <w:rPr>
          <w:sz w:val="20"/>
          <w:szCs w:val="20"/>
        </w:rPr>
        <w:t xml:space="preserve">investiert und </w:t>
      </w:r>
      <w:r w:rsidRPr="00125F13">
        <w:rPr>
          <w:sz w:val="20"/>
          <w:szCs w:val="20"/>
        </w:rPr>
        <w:t>bewiesen</w:t>
      </w:r>
      <w:r w:rsidR="00A00E30" w:rsidRPr="00125F13">
        <w:rPr>
          <w:sz w:val="20"/>
          <w:szCs w:val="20"/>
        </w:rPr>
        <w:t>“</w:t>
      </w:r>
      <w:r w:rsidR="007B59C5" w:rsidRPr="00125F13">
        <w:rPr>
          <w:sz w:val="20"/>
          <w:szCs w:val="20"/>
        </w:rPr>
        <w:t>,</w:t>
      </w:r>
      <w:r w:rsidRPr="00125F13">
        <w:rPr>
          <w:sz w:val="20"/>
          <w:szCs w:val="20"/>
        </w:rPr>
        <w:t xml:space="preserve"> </w:t>
      </w:r>
      <w:r w:rsidRPr="00B9727E">
        <w:rPr>
          <w:sz w:val="20"/>
          <w:szCs w:val="20"/>
        </w:rPr>
        <w:t>erklärte</w:t>
      </w:r>
      <w:r w:rsidRPr="00125F13">
        <w:rPr>
          <w:b/>
          <w:sz w:val="20"/>
          <w:szCs w:val="20"/>
        </w:rPr>
        <w:t xml:space="preserve"> Klaus Engel, Vorsitzender des Vorstand</w:t>
      </w:r>
      <w:r w:rsidR="00572B3A" w:rsidRPr="00125F13">
        <w:rPr>
          <w:b/>
          <w:sz w:val="20"/>
          <w:szCs w:val="20"/>
        </w:rPr>
        <w:t>e</w:t>
      </w:r>
      <w:r w:rsidRPr="00125F13">
        <w:rPr>
          <w:b/>
          <w:sz w:val="20"/>
          <w:szCs w:val="20"/>
        </w:rPr>
        <w:t>s der Evonik Industries AG</w:t>
      </w:r>
      <w:r w:rsidRPr="00125F13">
        <w:rPr>
          <w:sz w:val="20"/>
          <w:szCs w:val="20"/>
        </w:rPr>
        <w:t>, heute anlässlich der Bilanzpressekonferenz des Unternehmens in Essen.</w:t>
      </w:r>
      <w:r w:rsidR="00151462" w:rsidRPr="00125F13">
        <w:rPr>
          <w:sz w:val="20"/>
          <w:szCs w:val="20"/>
        </w:rPr>
        <w:t xml:space="preserve"> </w:t>
      </w:r>
    </w:p>
    <w:p w:rsidR="00C43E07" w:rsidRPr="00125F13" w:rsidRDefault="00151462" w:rsidP="00125F13">
      <w:pPr>
        <w:spacing w:line="300" w:lineRule="exact"/>
        <w:ind w:left="0"/>
        <w:rPr>
          <w:sz w:val="20"/>
          <w:szCs w:val="20"/>
        </w:rPr>
      </w:pPr>
      <w:r w:rsidRPr="00125F13">
        <w:rPr>
          <w:sz w:val="20"/>
          <w:szCs w:val="20"/>
        </w:rPr>
        <w:t xml:space="preserve">„Wir </w:t>
      </w:r>
      <w:r w:rsidR="005757B0" w:rsidRPr="00125F13">
        <w:rPr>
          <w:sz w:val="20"/>
          <w:szCs w:val="20"/>
        </w:rPr>
        <w:t>haben unsere Hausaufgaben gemacht und sind nun in der Lage, in eine neue Phase profitablen Wachstums aufzubrechen.“</w:t>
      </w:r>
      <w:r w:rsidR="00BF2904" w:rsidRPr="00125F13">
        <w:rPr>
          <w:sz w:val="20"/>
          <w:szCs w:val="20"/>
        </w:rPr>
        <w:t xml:space="preserve"> </w:t>
      </w:r>
      <w:r w:rsidR="00D17D70" w:rsidRPr="00125F13">
        <w:rPr>
          <w:sz w:val="20"/>
          <w:szCs w:val="20"/>
        </w:rPr>
        <w:t>E</w:t>
      </w:r>
      <w:r w:rsidR="00BF2904" w:rsidRPr="00125F13">
        <w:rPr>
          <w:sz w:val="20"/>
          <w:szCs w:val="20"/>
        </w:rPr>
        <w:t xml:space="preserve">vonik habe </w:t>
      </w:r>
      <w:r w:rsidR="004B01C8" w:rsidRPr="00125F13">
        <w:rPr>
          <w:sz w:val="20"/>
          <w:szCs w:val="20"/>
        </w:rPr>
        <w:t xml:space="preserve">im vergangenen Jahr </w:t>
      </w:r>
      <w:r w:rsidR="00BF2904" w:rsidRPr="00125F13">
        <w:rPr>
          <w:sz w:val="20"/>
          <w:szCs w:val="20"/>
        </w:rPr>
        <w:t xml:space="preserve">weltweit in neue Produktionskapazitäten, in Innovationen und in seine Mitarbeiter investiert, die </w:t>
      </w:r>
      <w:r w:rsidR="004B01C8" w:rsidRPr="00125F13">
        <w:rPr>
          <w:sz w:val="20"/>
          <w:szCs w:val="20"/>
        </w:rPr>
        <w:t xml:space="preserve">Verwaltungs- und </w:t>
      </w:r>
      <w:r w:rsidR="002D3681" w:rsidRPr="00125F13">
        <w:rPr>
          <w:sz w:val="20"/>
          <w:szCs w:val="20"/>
        </w:rPr>
        <w:t>Kosten</w:t>
      </w:r>
      <w:r w:rsidR="004B01C8" w:rsidRPr="00125F13">
        <w:rPr>
          <w:sz w:val="20"/>
          <w:szCs w:val="20"/>
        </w:rPr>
        <w:t>struktur</w:t>
      </w:r>
      <w:r w:rsidR="002D3681" w:rsidRPr="00125F13">
        <w:rPr>
          <w:sz w:val="20"/>
          <w:szCs w:val="20"/>
        </w:rPr>
        <w:t xml:space="preserve"> </w:t>
      </w:r>
      <w:r w:rsidR="004B01C8" w:rsidRPr="00125F13">
        <w:rPr>
          <w:sz w:val="20"/>
          <w:szCs w:val="20"/>
        </w:rPr>
        <w:t xml:space="preserve">weiter </w:t>
      </w:r>
      <w:r w:rsidR="00BF2904" w:rsidRPr="00125F13">
        <w:rPr>
          <w:sz w:val="20"/>
          <w:szCs w:val="20"/>
        </w:rPr>
        <w:t xml:space="preserve">optimiert und sein </w:t>
      </w:r>
      <w:r w:rsidR="004B01C8" w:rsidRPr="00125F13">
        <w:rPr>
          <w:sz w:val="20"/>
          <w:szCs w:val="20"/>
        </w:rPr>
        <w:t xml:space="preserve">solides Finanzprofil </w:t>
      </w:r>
      <w:r w:rsidR="002D3681" w:rsidRPr="00125F13">
        <w:rPr>
          <w:sz w:val="20"/>
          <w:szCs w:val="20"/>
        </w:rPr>
        <w:t xml:space="preserve">weiter </w:t>
      </w:r>
      <w:r w:rsidR="00BF2904" w:rsidRPr="00125F13">
        <w:rPr>
          <w:sz w:val="20"/>
          <w:szCs w:val="20"/>
        </w:rPr>
        <w:t xml:space="preserve">gefestigt, erklärte </w:t>
      </w:r>
      <w:r w:rsidR="00B33393" w:rsidRPr="00125F13">
        <w:rPr>
          <w:sz w:val="20"/>
          <w:szCs w:val="20"/>
        </w:rPr>
        <w:t>er</w:t>
      </w:r>
      <w:r w:rsidR="00BF2904" w:rsidRPr="00125F13">
        <w:rPr>
          <w:sz w:val="20"/>
          <w:szCs w:val="20"/>
        </w:rPr>
        <w:t xml:space="preserve">. </w:t>
      </w:r>
      <w:r w:rsidR="005D3B51" w:rsidRPr="00125F13">
        <w:rPr>
          <w:sz w:val="20"/>
          <w:szCs w:val="20"/>
        </w:rPr>
        <w:t>„</w:t>
      </w:r>
      <w:r w:rsidR="00A00E30" w:rsidRPr="00125F13">
        <w:rPr>
          <w:sz w:val="20"/>
          <w:szCs w:val="20"/>
        </w:rPr>
        <w:t>Unsere neue Konzernstruktur ermöglicht</w:t>
      </w:r>
      <w:r w:rsidR="005757B0" w:rsidRPr="00125F13">
        <w:rPr>
          <w:sz w:val="20"/>
          <w:szCs w:val="20"/>
        </w:rPr>
        <w:t xml:space="preserve"> zudem</w:t>
      </w:r>
      <w:r w:rsidR="00A00E30" w:rsidRPr="00125F13">
        <w:rPr>
          <w:sz w:val="20"/>
          <w:szCs w:val="20"/>
        </w:rPr>
        <w:t>, die unterschiedlichen Geschäfte deutlich differenzierter zu steuern und gezielter weiterzuentwickeln</w:t>
      </w:r>
      <w:r w:rsidR="00BF2904" w:rsidRPr="00125F13">
        <w:rPr>
          <w:sz w:val="20"/>
          <w:szCs w:val="20"/>
        </w:rPr>
        <w:t>“</w:t>
      </w:r>
      <w:r w:rsidR="00DA3EC1" w:rsidRPr="00125F13">
        <w:rPr>
          <w:sz w:val="20"/>
          <w:szCs w:val="20"/>
        </w:rPr>
        <w:t>,</w:t>
      </w:r>
      <w:r w:rsidR="00BF2904" w:rsidRPr="00125F13">
        <w:rPr>
          <w:sz w:val="20"/>
          <w:szCs w:val="20"/>
        </w:rPr>
        <w:t xml:space="preserve"> </w:t>
      </w:r>
      <w:r w:rsidR="00493AB7" w:rsidRPr="00125F13">
        <w:rPr>
          <w:sz w:val="20"/>
          <w:szCs w:val="20"/>
        </w:rPr>
        <w:t xml:space="preserve">erläuterte </w:t>
      </w:r>
      <w:r w:rsidR="00BF2904" w:rsidRPr="00125F13">
        <w:rPr>
          <w:sz w:val="20"/>
          <w:szCs w:val="20"/>
        </w:rPr>
        <w:t>der Vorstandsvorsitzende von Evonik.</w:t>
      </w:r>
    </w:p>
    <w:p w:rsidR="00C43E07" w:rsidRPr="00125F13" w:rsidRDefault="00C43E07" w:rsidP="00125F13">
      <w:pPr>
        <w:spacing w:line="300" w:lineRule="exact"/>
        <w:jc w:val="both"/>
        <w:rPr>
          <w:sz w:val="20"/>
          <w:szCs w:val="20"/>
        </w:rPr>
      </w:pPr>
    </w:p>
    <w:p w:rsidR="00BF2904" w:rsidRPr="00125F13" w:rsidRDefault="00116282" w:rsidP="00125F13">
      <w:pPr>
        <w:spacing w:line="300" w:lineRule="exact"/>
        <w:ind w:left="0"/>
        <w:rPr>
          <w:sz w:val="20"/>
          <w:szCs w:val="20"/>
        </w:rPr>
      </w:pPr>
      <w:r w:rsidRPr="00125F13">
        <w:rPr>
          <w:sz w:val="20"/>
          <w:szCs w:val="20"/>
        </w:rPr>
        <w:t>Für das Geschäftsjahr 2015 seien die Voraussetzungen geschaffen</w:t>
      </w:r>
      <w:r w:rsidR="00EF4214" w:rsidRPr="00125F13">
        <w:rPr>
          <w:sz w:val="20"/>
          <w:szCs w:val="20"/>
        </w:rPr>
        <w:t xml:space="preserve"> worden</w:t>
      </w:r>
      <w:r w:rsidRPr="00125F13">
        <w:rPr>
          <w:sz w:val="20"/>
          <w:szCs w:val="20"/>
        </w:rPr>
        <w:t>, dass Umsatz und operatives Ergebnis den eigenen Erwartungen zufolge leicht über den Werten des Vorjahres liegen werden, sagte Engel</w:t>
      </w:r>
      <w:r w:rsidR="00C43E07" w:rsidRPr="00125F13">
        <w:rPr>
          <w:sz w:val="20"/>
          <w:szCs w:val="20"/>
        </w:rPr>
        <w:t>.</w:t>
      </w:r>
      <w:r w:rsidR="007D5EEA" w:rsidRPr="00125F13">
        <w:rPr>
          <w:sz w:val="20"/>
          <w:szCs w:val="20"/>
        </w:rPr>
        <w:t xml:space="preserve"> Der </w:t>
      </w:r>
      <w:r w:rsidR="004C4268" w:rsidRPr="00125F13">
        <w:rPr>
          <w:sz w:val="20"/>
          <w:szCs w:val="20"/>
        </w:rPr>
        <w:t>starke Jahresauftakt</w:t>
      </w:r>
      <w:r w:rsidR="007D5EEA" w:rsidRPr="00125F13">
        <w:rPr>
          <w:sz w:val="20"/>
          <w:szCs w:val="20"/>
        </w:rPr>
        <w:t xml:space="preserve"> </w:t>
      </w:r>
      <w:r w:rsidR="005757B0" w:rsidRPr="00125F13">
        <w:rPr>
          <w:sz w:val="20"/>
          <w:szCs w:val="20"/>
        </w:rPr>
        <w:t xml:space="preserve">stimme </w:t>
      </w:r>
      <w:r w:rsidR="007D5EEA" w:rsidRPr="00125F13">
        <w:rPr>
          <w:sz w:val="20"/>
          <w:szCs w:val="20"/>
        </w:rPr>
        <w:t xml:space="preserve">ihn optimistisch, </w:t>
      </w:r>
      <w:r w:rsidR="005757B0" w:rsidRPr="00125F13">
        <w:rPr>
          <w:sz w:val="20"/>
          <w:szCs w:val="20"/>
        </w:rPr>
        <w:t xml:space="preserve">dass </w:t>
      </w:r>
      <w:r w:rsidR="007D5EEA" w:rsidRPr="00125F13">
        <w:rPr>
          <w:sz w:val="20"/>
          <w:szCs w:val="20"/>
        </w:rPr>
        <w:t>die gesetzten Ziele erreich</w:t>
      </w:r>
      <w:r w:rsidR="005757B0" w:rsidRPr="00125F13">
        <w:rPr>
          <w:sz w:val="20"/>
          <w:szCs w:val="20"/>
        </w:rPr>
        <w:t>t werden</w:t>
      </w:r>
      <w:r w:rsidR="007D5EEA" w:rsidRPr="00125F13">
        <w:rPr>
          <w:sz w:val="20"/>
          <w:szCs w:val="20"/>
        </w:rPr>
        <w:t xml:space="preserve">. </w:t>
      </w:r>
    </w:p>
    <w:p w:rsidR="00116282" w:rsidRPr="00125F13" w:rsidRDefault="00116282" w:rsidP="00125F13">
      <w:pPr>
        <w:spacing w:line="240" w:lineRule="auto"/>
        <w:ind w:left="0"/>
        <w:jc w:val="both"/>
        <w:rPr>
          <w:sz w:val="22"/>
          <w:szCs w:val="22"/>
        </w:rPr>
      </w:pPr>
    </w:p>
    <w:p w:rsidR="004A4613" w:rsidRDefault="004A4613" w:rsidP="00BF2904">
      <w:pPr>
        <w:jc w:val="both"/>
        <w:rPr>
          <w:sz w:val="22"/>
          <w:szCs w:val="22"/>
        </w:rPr>
      </w:pPr>
    </w:p>
    <w:p w:rsidR="00B9727E" w:rsidRPr="00125F13" w:rsidRDefault="00B9727E" w:rsidP="00BF2904">
      <w:pPr>
        <w:jc w:val="both"/>
        <w:rPr>
          <w:sz w:val="22"/>
          <w:szCs w:val="22"/>
        </w:rPr>
      </w:pPr>
    </w:p>
    <w:p w:rsidR="004A4613" w:rsidRPr="00125F13" w:rsidRDefault="004A4613" w:rsidP="00BF2904">
      <w:pPr>
        <w:jc w:val="both"/>
        <w:rPr>
          <w:sz w:val="22"/>
          <w:szCs w:val="22"/>
        </w:rPr>
      </w:pPr>
    </w:p>
    <w:p w:rsidR="004A4613" w:rsidRPr="00125F13" w:rsidRDefault="004A4613" w:rsidP="00BF2904">
      <w:pPr>
        <w:jc w:val="both"/>
        <w:rPr>
          <w:sz w:val="22"/>
          <w:szCs w:val="22"/>
        </w:rPr>
      </w:pPr>
    </w:p>
    <w:p w:rsidR="00BF2904" w:rsidRPr="00125F13" w:rsidRDefault="007E43BF" w:rsidP="00125F13">
      <w:pPr>
        <w:spacing w:line="300" w:lineRule="exact"/>
        <w:ind w:left="0"/>
        <w:jc w:val="both"/>
        <w:rPr>
          <w:b/>
          <w:sz w:val="20"/>
          <w:szCs w:val="20"/>
        </w:rPr>
      </w:pPr>
      <w:r w:rsidRPr="00125F13">
        <w:rPr>
          <w:b/>
          <w:sz w:val="20"/>
          <w:szCs w:val="20"/>
        </w:rPr>
        <w:lastRenderedPageBreak/>
        <w:t>Wichtige Kennziffern f</w:t>
      </w:r>
      <w:r w:rsidR="00DA3EC1" w:rsidRPr="00125F13">
        <w:rPr>
          <w:b/>
          <w:sz w:val="20"/>
          <w:szCs w:val="20"/>
        </w:rPr>
        <w:t>ür</w:t>
      </w:r>
      <w:r w:rsidR="00BF2904" w:rsidRPr="00125F13">
        <w:rPr>
          <w:b/>
          <w:sz w:val="20"/>
          <w:szCs w:val="20"/>
        </w:rPr>
        <w:t xml:space="preserve"> </w:t>
      </w:r>
      <w:r w:rsidR="00DA3EC1" w:rsidRPr="00125F13">
        <w:rPr>
          <w:b/>
          <w:sz w:val="20"/>
          <w:szCs w:val="20"/>
        </w:rPr>
        <w:t xml:space="preserve">das </w:t>
      </w:r>
      <w:r w:rsidR="00BF2904" w:rsidRPr="00125F13">
        <w:rPr>
          <w:b/>
          <w:sz w:val="20"/>
          <w:szCs w:val="20"/>
        </w:rPr>
        <w:t>Geschäftsjahr 2014</w:t>
      </w:r>
      <w:r w:rsidRPr="00125F13">
        <w:rPr>
          <w:b/>
          <w:sz w:val="20"/>
          <w:szCs w:val="20"/>
        </w:rPr>
        <w:t>:</w:t>
      </w:r>
      <w:r w:rsidR="008F3129" w:rsidRPr="00125F13">
        <w:rPr>
          <w:b/>
          <w:sz w:val="20"/>
          <w:szCs w:val="20"/>
        </w:rPr>
        <w:t xml:space="preserve"> </w:t>
      </w:r>
    </w:p>
    <w:p w:rsidR="00A00E30" w:rsidRPr="00BF2904" w:rsidRDefault="00A00E30" w:rsidP="00BF2904">
      <w:pPr>
        <w:rPr>
          <w:rFonts w:cs="Lucida Sans Unicode"/>
          <w:b/>
          <w:sz w:val="20"/>
          <w:szCs w:val="20"/>
        </w:rPr>
      </w:pPr>
    </w:p>
    <w:p w:rsidR="00BF2904" w:rsidRPr="00125F13" w:rsidRDefault="00BF2904" w:rsidP="00125F13">
      <w:pPr>
        <w:pStyle w:val="Listenabsatz"/>
        <w:numPr>
          <w:ilvl w:val="0"/>
          <w:numId w:val="20"/>
        </w:numPr>
        <w:spacing w:after="200" w:line="276" w:lineRule="auto"/>
        <w:ind w:left="284" w:right="0" w:hanging="284"/>
        <w:rPr>
          <w:rFonts w:cs="Lucida Sans Unicode"/>
          <w:sz w:val="20"/>
          <w:szCs w:val="20"/>
        </w:rPr>
      </w:pPr>
      <w:r w:rsidRPr="00125F13">
        <w:rPr>
          <w:rFonts w:cs="Lucida Sans Unicode"/>
          <w:sz w:val="20"/>
          <w:szCs w:val="20"/>
        </w:rPr>
        <w:t>Der Konzernumsatz stieg um 2 Prozent auf 12,9 Milliarden Euro</w:t>
      </w:r>
      <w:r w:rsidR="00493AB7" w:rsidRPr="00125F13">
        <w:rPr>
          <w:rFonts w:cs="Lucida Sans Unicode"/>
          <w:sz w:val="20"/>
          <w:szCs w:val="20"/>
        </w:rPr>
        <w:t xml:space="preserve"> </w:t>
      </w:r>
      <w:r w:rsidR="006D08FD">
        <w:rPr>
          <w:rFonts w:cs="Lucida Sans Unicode"/>
          <w:sz w:val="20"/>
          <w:szCs w:val="20"/>
        </w:rPr>
        <w:br/>
      </w:r>
      <w:r w:rsidR="00493AB7" w:rsidRPr="00125F13">
        <w:rPr>
          <w:rFonts w:cs="Lucida Sans Unicode"/>
          <w:sz w:val="20"/>
          <w:szCs w:val="20"/>
        </w:rPr>
        <w:t>(201</w:t>
      </w:r>
      <w:r w:rsidR="00D17D70" w:rsidRPr="00125F13">
        <w:rPr>
          <w:rFonts w:cs="Lucida Sans Unicode"/>
          <w:sz w:val="20"/>
          <w:szCs w:val="20"/>
        </w:rPr>
        <w:t>3</w:t>
      </w:r>
      <w:r w:rsidR="00493AB7" w:rsidRPr="00125F13">
        <w:rPr>
          <w:rFonts w:cs="Lucida Sans Unicode"/>
          <w:sz w:val="20"/>
          <w:szCs w:val="20"/>
        </w:rPr>
        <w:t>: 12,</w:t>
      </w:r>
      <w:r w:rsidR="00D17D70" w:rsidRPr="00125F13">
        <w:rPr>
          <w:rFonts w:cs="Lucida Sans Unicode"/>
          <w:sz w:val="20"/>
          <w:szCs w:val="20"/>
        </w:rPr>
        <w:t>7</w:t>
      </w:r>
      <w:r w:rsidR="00493AB7" w:rsidRPr="00125F13">
        <w:rPr>
          <w:rFonts w:cs="Lucida Sans Unicode"/>
          <w:sz w:val="20"/>
          <w:szCs w:val="20"/>
        </w:rPr>
        <w:t xml:space="preserve"> Milliarden Euro)</w:t>
      </w:r>
      <w:r w:rsidR="00EF5025" w:rsidRPr="00125F13">
        <w:rPr>
          <w:rFonts w:cs="Lucida Sans Unicode"/>
          <w:sz w:val="20"/>
          <w:szCs w:val="20"/>
        </w:rPr>
        <w:t>.</w:t>
      </w:r>
    </w:p>
    <w:p w:rsidR="00BF2904" w:rsidRPr="00125F13" w:rsidRDefault="00BF2904" w:rsidP="00125F13">
      <w:pPr>
        <w:pStyle w:val="Listenabsatz"/>
        <w:numPr>
          <w:ilvl w:val="0"/>
          <w:numId w:val="20"/>
        </w:numPr>
        <w:spacing w:after="200" w:line="276" w:lineRule="auto"/>
        <w:ind w:left="284" w:right="0" w:hanging="284"/>
        <w:rPr>
          <w:rFonts w:cs="Lucida Sans Unicode"/>
          <w:sz w:val="20"/>
          <w:szCs w:val="20"/>
        </w:rPr>
      </w:pPr>
      <w:r w:rsidRPr="00125F13">
        <w:rPr>
          <w:rFonts w:cs="Lucida Sans Unicode"/>
          <w:sz w:val="20"/>
          <w:szCs w:val="20"/>
        </w:rPr>
        <w:t xml:space="preserve">Aus den höheren Mengen </w:t>
      </w:r>
      <w:r w:rsidR="00493AB7" w:rsidRPr="00125F13">
        <w:rPr>
          <w:rFonts w:cs="Lucida Sans Unicode"/>
          <w:sz w:val="20"/>
          <w:szCs w:val="20"/>
        </w:rPr>
        <w:t>(+3 Prozent)</w:t>
      </w:r>
      <w:r w:rsidR="00572B3A" w:rsidRPr="00125F13">
        <w:rPr>
          <w:rFonts w:cs="Lucida Sans Unicode"/>
          <w:sz w:val="20"/>
          <w:szCs w:val="20"/>
        </w:rPr>
        <w:t xml:space="preserve"> </w:t>
      </w:r>
      <w:r w:rsidRPr="00125F13">
        <w:rPr>
          <w:rFonts w:cs="Lucida Sans Unicode"/>
          <w:sz w:val="20"/>
          <w:szCs w:val="20"/>
        </w:rPr>
        <w:t xml:space="preserve">bei leicht geringeren Verkaufspreisen </w:t>
      </w:r>
      <w:r w:rsidR="00493AB7" w:rsidRPr="00125F13">
        <w:rPr>
          <w:rFonts w:cs="Lucida Sans Unicode"/>
          <w:sz w:val="20"/>
          <w:szCs w:val="20"/>
        </w:rPr>
        <w:t>(-1 Prozent)</w:t>
      </w:r>
      <w:r w:rsidR="00572B3A" w:rsidRPr="00125F13">
        <w:rPr>
          <w:rFonts w:cs="Lucida Sans Unicode"/>
          <w:sz w:val="20"/>
          <w:szCs w:val="20"/>
        </w:rPr>
        <w:t xml:space="preserve"> </w:t>
      </w:r>
      <w:r w:rsidRPr="00125F13">
        <w:rPr>
          <w:rFonts w:cs="Lucida Sans Unicode"/>
          <w:sz w:val="20"/>
          <w:szCs w:val="20"/>
        </w:rPr>
        <w:t xml:space="preserve">ergab sich ein organisches </w:t>
      </w:r>
      <w:r w:rsidR="004A4613" w:rsidRPr="00125F13">
        <w:rPr>
          <w:rFonts w:cs="Lucida Sans Unicode"/>
          <w:sz w:val="20"/>
          <w:szCs w:val="20"/>
        </w:rPr>
        <w:t>Umsatzw</w:t>
      </w:r>
      <w:r w:rsidRPr="00125F13">
        <w:rPr>
          <w:rFonts w:cs="Lucida Sans Unicode"/>
          <w:sz w:val="20"/>
          <w:szCs w:val="20"/>
        </w:rPr>
        <w:t>achstum von 2 Prozent.</w:t>
      </w:r>
    </w:p>
    <w:p w:rsidR="00BF2904" w:rsidRPr="00125F13" w:rsidRDefault="00BF2904" w:rsidP="00125F13">
      <w:pPr>
        <w:pStyle w:val="Listenabsatz"/>
        <w:numPr>
          <w:ilvl w:val="0"/>
          <w:numId w:val="20"/>
        </w:numPr>
        <w:spacing w:after="200" w:line="276" w:lineRule="auto"/>
        <w:ind w:left="284" w:right="0" w:hanging="284"/>
        <w:rPr>
          <w:rFonts w:cs="Lucida Sans Unicode"/>
          <w:sz w:val="20"/>
          <w:szCs w:val="20"/>
        </w:rPr>
      </w:pPr>
      <w:r w:rsidRPr="00125F13">
        <w:rPr>
          <w:rFonts w:cs="Lucida Sans Unicode"/>
          <w:sz w:val="20"/>
          <w:szCs w:val="20"/>
        </w:rPr>
        <w:t xml:space="preserve">Das bereinigte EBITDA betrug 1,9 Milliarden Euro </w:t>
      </w:r>
      <w:r w:rsidR="00493AB7" w:rsidRPr="00125F13">
        <w:rPr>
          <w:rFonts w:cs="Lucida Sans Unicode"/>
          <w:sz w:val="20"/>
          <w:szCs w:val="20"/>
        </w:rPr>
        <w:t>(201</w:t>
      </w:r>
      <w:r w:rsidR="00D17D70" w:rsidRPr="00125F13">
        <w:rPr>
          <w:rFonts w:cs="Lucida Sans Unicode"/>
          <w:sz w:val="20"/>
          <w:szCs w:val="20"/>
        </w:rPr>
        <w:t>3</w:t>
      </w:r>
      <w:r w:rsidR="00493AB7" w:rsidRPr="00125F13">
        <w:rPr>
          <w:rFonts w:cs="Lucida Sans Unicode"/>
          <w:sz w:val="20"/>
          <w:szCs w:val="20"/>
        </w:rPr>
        <w:t xml:space="preserve">: 2,0 Milliarden Euro) </w:t>
      </w:r>
      <w:r w:rsidRPr="00125F13">
        <w:rPr>
          <w:rFonts w:cs="Lucida Sans Unicode"/>
          <w:sz w:val="20"/>
          <w:szCs w:val="20"/>
        </w:rPr>
        <w:t xml:space="preserve">und lag damit im prognostizierten Zielkorridor. </w:t>
      </w:r>
    </w:p>
    <w:p w:rsidR="00BF2904" w:rsidRPr="00125F13" w:rsidRDefault="00BF2904" w:rsidP="00125F13">
      <w:pPr>
        <w:pStyle w:val="Listenabsatz"/>
        <w:numPr>
          <w:ilvl w:val="0"/>
          <w:numId w:val="20"/>
        </w:numPr>
        <w:spacing w:after="200" w:line="276" w:lineRule="auto"/>
        <w:ind w:left="284" w:right="0" w:hanging="284"/>
        <w:rPr>
          <w:rFonts w:cs="Lucida Sans Unicode"/>
          <w:sz w:val="20"/>
          <w:szCs w:val="20"/>
        </w:rPr>
      </w:pPr>
      <w:r w:rsidRPr="00125F13">
        <w:rPr>
          <w:rFonts w:cs="Lucida Sans Unicode"/>
          <w:sz w:val="20"/>
          <w:szCs w:val="20"/>
        </w:rPr>
        <w:t>Die bereinigte EBITDA-Marge blieb mit 14,</w:t>
      </w:r>
      <w:r w:rsidR="004A4613" w:rsidRPr="00125F13">
        <w:rPr>
          <w:rFonts w:cs="Lucida Sans Unicode"/>
          <w:sz w:val="20"/>
          <w:szCs w:val="20"/>
        </w:rPr>
        <w:t>5</w:t>
      </w:r>
      <w:r w:rsidRPr="00125F13">
        <w:rPr>
          <w:rFonts w:cs="Lucida Sans Unicode"/>
          <w:sz w:val="20"/>
          <w:szCs w:val="20"/>
        </w:rPr>
        <w:t xml:space="preserve"> Prozent auf einem soliden Ertragsniveau</w:t>
      </w:r>
      <w:r w:rsidR="00493AB7" w:rsidRPr="00125F13">
        <w:rPr>
          <w:rFonts w:cs="Lucida Sans Unicode"/>
          <w:sz w:val="20"/>
          <w:szCs w:val="20"/>
        </w:rPr>
        <w:t xml:space="preserve"> (201</w:t>
      </w:r>
      <w:r w:rsidR="00D17D70" w:rsidRPr="00125F13">
        <w:rPr>
          <w:rFonts w:cs="Lucida Sans Unicode"/>
          <w:sz w:val="20"/>
          <w:szCs w:val="20"/>
        </w:rPr>
        <w:t>3</w:t>
      </w:r>
      <w:r w:rsidR="00493AB7" w:rsidRPr="00125F13">
        <w:rPr>
          <w:rFonts w:cs="Lucida Sans Unicode"/>
          <w:sz w:val="20"/>
          <w:szCs w:val="20"/>
        </w:rPr>
        <w:t xml:space="preserve">: </w:t>
      </w:r>
      <w:r w:rsidR="00E359DD" w:rsidRPr="00125F13">
        <w:rPr>
          <w:rFonts w:cs="Lucida Sans Unicode"/>
          <w:sz w:val="20"/>
          <w:szCs w:val="20"/>
        </w:rPr>
        <w:t>15,7 Prozent)</w:t>
      </w:r>
      <w:r w:rsidRPr="00125F13">
        <w:rPr>
          <w:rFonts w:cs="Lucida Sans Unicode"/>
          <w:sz w:val="20"/>
          <w:szCs w:val="20"/>
        </w:rPr>
        <w:t>.</w:t>
      </w:r>
    </w:p>
    <w:p w:rsidR="00E359DD" w:rsidRPr="00125F13" w:rsidRDefault="00BF2904" w:rsidP="00125F13">
      <w:pPr>
        <w:pStyle w:val="Listenabsatz"/>
        <w:numPr>
          <w:ilvl w:val="0"/>
          <w:numId w:val="20"/>
        </w:numPr>
        <w:spacing w:after="200" w:line="276" w:lineRule="auto"/>
        <w:ind w:left="284" w:right="0" w:hanging="284"/>
        <w:rPr>
          <w:rFonts w:cs="Lucida Sans Unicode"/>
          <w:sz w:val="20"/>
          <w:szCs w:val="20"/>
        </w:rPr>
      </w:pPr>
      <w:r w:rsidRPr="00125F13">
        <w:rPr>
          <w:rFonts w:cs="Lucida Sans Unicode"/>
          <w:sz w:val="20"/>
          <w:szCs w:val="20"/>
        </w:rPr>
        <w:t>Das Konzernergebnis betrug 568 Millionen Euro</w:t>
      </w:r>
      <w:r w:rsidR="00E359DD" w:rsidRPr="00125F13">
        <w:rPr>
          <w:rFonts w:cs="Lucida Sans Unicode"/>
          <w:sz w:val="20"/>
          <w:szCs w:val="20"/>
        </w:rPr>
        <w:t xml:space="preserve"> (201</w:t>
      </w:r>
      <w:r w:rsidR="00D17D70" w:rsidRPr="00125F13">
        <w:rPr>
          <w:rFonts w:cs="Lucida Sans Unicode"/>
          <w:sz w:val="20"/>
          <w:szCs w:val="20"/>
        </w:rPr>
        <w:t>3</w:t>
      </w:r>
      <w:r w:rsidR="00E359DD" w:rsidRPr="00125F13">
        <w:rPr>
          <w:rFonts w:cs="Lucida Sans Unicode"/>
          <w:sz w:val="20"/>
          <w:szCs w:val="20"/>
        </w:rPr>
        <w:t>: 2.054 Millionen Euro</w:t>
      </w:r>
      <w:r w:rsidR="00A00E30" w:rsidRPr="00125F13">
        <w:rPr>
          <w:rFonts w:cs="Lucida Sans Unicode"/>
          <w:sz w:val="20"/>
          <w:szCs w:val="20"/>
        </w:rPr>
        <w:t>,</w:t>
      </w:r>
      <w:r w:rsidR="00FA1092" w:rsidRPr="00125F13">
        <w:rPr>
          <w:rFonts w:cs="Lucida Sans Unicode"/>
          <w:sz w:val="20"/>
          <w:szCs w:val="20"/>
        </w:rPr>
        <w:t xml:space="preserve"> </w:t>
      </w:r>
      <w:r w:rsidR="004A4613" w:rsidRPr="00125F13">
        <w:rPr>
          <w:rFonts w:cs="Lucida Sans Unicode"/>
          <w:sz w:val="20"/>
          <w:szCs w:val="20"/>
        </w:rPr>
        <w:t>einschließlich d</w:t>
      </w:r>
      <w:r w:rsidR="00A00E30" w:rsidRPr="00125F13">
        <w:rPr>
          <w:rFonts w:cs="Lucida Sans Unicode"/>
          <w:sz w:val="20"/>
          <w:szCs w:val="20"/>
        </w:rPr>
        <w:t>es Veräußerungsgewinns aus dem Verkauf des Immobiliengeschäfts</w:t>
      </w:r>
      <w:r w:rsidR="00E359DD" w:rsidRPr="00125F13">
        <w:rPr>
          <w:rFonts w:cs="Lucida Sans Unicode"/>
          <w:sz w:val="20"/>
          <w:szCs w:val="20"/>
        </w:rPr>
        <w:t>)</w:t>
      </w:r>
      <w:r w:rsidRPr="00125F13">
        <w:rPr>
          <w:rFonts w:cs="Lucida Sans Unicode"/>
          <w:sz w:val="20"/>
          <w:szCs w:val="20"/>
        </w:rPr>
        <w:t>.</w:t>
      </w:r>
      <w:r w:rsidR="00EF5025" w:rsidRPr="00125F13">
        <w:rPr>
          <w:rFonts w:cs="Lucida Sans Unicode"/>
          <w:sz w:val="20"/>
          <w:szCs w:val="20"/>
        </w:rPr>
        <w:t xml:space="preserve"> </w:t>
      </w:r>
      <w:r w:rsidR="00D7784E" w:rsidRPr="00125F13">
        <w:rPr>
          <w:rFonts w:cs="Lucida Sans Unicode"/>
          <w:sz w:val="20"/>
          <w:szCs w:val="20"/>
        </w:rPr>
        <w:t>Das bereinigte Konzernergebnis betrug 740 Millionen Euro (2013: 806 Millionen Euro).</w:t>
      </w:r>
    </w:p>
    <w:p w:rsidR="00BF2904" w:rsidRPr="00125F13" w:rsidRDefault="00E359DD" w:rsidP="00125F13">
      <w:pPr>
        <w:pStyle w:val="Listenabsatz"/>
        <w:numPr>
          <w:ilvl w:val="0"/>
          <w:numId w:val="20"/>
        </w:numPr>
        <w:spacing w:after="200" w:line="276" w:lineRule="auto"/>
        <w:ind w:left="284" w:right="0" w:hanging="284"/>
        <w:rPr>
          <w:rFonts w:cs="Lucida Sans Unicode"/>
          <w:sz w:val="20"/>
          <w:szCs w:val="20"/>
        </w:rPr>
      </w:pPr>
      <w:r w:rsidRPr="00125F13">
        <w:rPr>
          <w:rFonts w:cs="Lucida Sans Unicode"/>
          <w:sz w:val="20"/>
          <w:szCs w:val="20"/>
        </w:rPr>
        <w:t>Das bereinigte Ergebnis je Aktie lag bei 1,59 Euro (201</w:t>
      </w:r>
      <w:r w:rsidR="00D17D70" w:rsidRPr="00125F13">
        <w:rPr>
          <w:rFonts w:cs="Lucida Sans Unicode"/>
          <w:sz w:val="20"/>
          <w:szCs w:val="20"/>
        </w:rPr>
        <w:t>3</w:t>
      </w:r>
      <w:r w:rsidRPr="00125F13">
        <w:rPr>
          <w:rFonts w:cs="Lucida Sans Unicode"/>
          <w:sz w:val="20"/>
          <w:szCs w:val="20"/>
        </w:rPr>
        <w:t>: 1,73 Euro).</w:t>
      </w:r>
    </w:p>
    <w:p w:rsidR="00BF2904" w:rsidRPr="00125F13" w:rsidRDefault="00BF2904" w:rsidP="00125F13">
      <w:pPr>
        <w:spacing w:line="300" w:lineRule="exact"/>
        <w:ind w:left="0"/>
        <w:rPr>
          <w:sz w:val="20"/>
          <w:szCs w:val="20"/>
        </w:rPr>
      </w:pPr>
      <w:r w:rsidRPr="00125F13">
        <w:rPr>
          <w:sz w:val="20"/>
          <w:szCs w:val="20"/>
        </w:rPr>
        <w:t xml:space="preserve">Vor allem beim Ergebnis habe Evonik im Laufe des Jahres Fahrt aufgenommen und das bereinigte EBITDA in den ersten neun Monaten </w:t>
      </w:r>
      <w:r w:rsidR="00E359DD" w:rsidRPr="00125F13">
        <w:rPr>
          <w:sz w:val="20"/>
          <w:szCs w:val="20"/>
        </w:rPr>
        <w:t xml:space="preserve">kontinuierlich </w:t>
      </w:r>
      <w:r w:rsidRPr="00125F13">
        <w:rPr>
          <w:sz w:val="20"/>
          <w:szCs w:val="20"/>
        </w:rPr>
        <w:t xml:space="preserve">von Quartal zu Quartal gesteigert, sagte </w:t>
      </w:r>
      <w:r w:rsidRPr="00125F13">
        <w:rPr>
          <w:b/>
          <w:sz w:val="20"/>
          <w:szCs w:val="20"/>
        </w:rPr>
        <w:t>Ute Wolf, Finanzvorstand Evonik Industries AG</w:t>
      </w:r>
      <w:r w:rsidRPr="00125F13">
        <w:rPr>
          <w:sz w:val="20"/>
          <w:szCs w:val="20"/>
        </w:rPr>
        <w:t xml:space="preserve">. „Das vierte Quartal markierte dann die Trendwende: Saisonal bedingt lag das bereinigte EBITDA zwar unter dem des dritten Quartals, aber nach drei Jahren erstmals wieder über Vorjahr“, erläuterte sie. </w:t>
      </w:r>
    </w:p>
    <w:p w:rsidR="00BF2904" w:rsidRPr="00125F13" w:rsidRDefault="00BF2904" w:rsidP="00125F13">
      <w:pPr>
        <w:spacing w:line="300" w:lineRule="exact"/>
        <w:jc w:val="both"/>
        <w:rPr>
          <w:sz w:val="20"/>
          <w:szCs w:val="20"/>
        </w:rPr>
      </w:pPr>
    </w:p>
    <w:p w:rsidR="00BF2904" w:rsidRPr="00125F13" w:rsidRDefault="00BF2904" w:rsidP="00125F13">
      <w:pPr>
        <w:spacing w:line="300" w:lineRule="exact"/>
        <w:ind w:left="0"/>
        <w:rPr>
          <w:sz w:val="20"/>
          <w:szCs w:val="20"/>
        </w:rPr>
      </w:pPr>
      <w:r w:rsidRPr="00125F13">
        <w:rPr>
          <w:sz w:val="20"/>
          <w:szCs w:val="20"/>
        </w:rPr>
        <w:t>Der Hauptversammlung am 19. Mai 2015 werden Aufsichtsrat und Vorstand vorschlagen, wie im Vorjahr eine Dividende von 1,00 Euro je Aktie zu beschließen.</w:t>
      </w:r>
      <w:r w:rsidR="004B01C8" w:rsidRPr="00125F13">
        <w:rPr>
          <w:sz w:val="20"/>
          <w:szCs w:val="20"/>
        </w:rPr>
        <w:t xml:space="preserve"> Dies entspricht </w:t>
      </w:r>
      <w:r w:rsidR="004A4613" w:rsidRPr="00125F13">
        <w:rPr>
          <w:sz w:val="20"/>
          <w:szCs w:val="20"/>
        </w:rPr>
        <w:t xml:space="preserve">auf den aktuellen Kurs bezogen </w:t>
      </w:r>
      <w:r w:rsidR="004B01C8" w:rsidRPr="00125F13">
        <w:rPr>
          <w:sz w:val="20"/>
          <w:szCs w:val="20"/>
        </w:rPr>
        <w:t>einer Dividendenrendite von 3,</w:t>
      </w:r>
      <w:r w:rsidR="004A4613" w:rsidRPr="00125F13">
        <w:rPr>
          <w:sz w:val="20"/>
          <w:szCs w:val="20"/>
        </w:rPr>
        <w:t>3</w:t>
      </w:r>
      <w:r w:rsidR="004B01C8" w:rsidRPr="00125F13">
        <w:rPr>
          <w:sz w:val="20"/>
          <w:szCs w:val="20"/>
        </w:rPr>
        <w:t xml:space="preserve"> Prozent. </w:t>
      </w:r>
    </w:p>
    <w:p w:rsidR="00123E53" w:rsidRDefault="00123E53" w:rsidP="00BF2904">
      <w:pPr>
        <w:spacing w:line="240" w:lineRule="auto"/>
        <w:jc w:val="both"/>
        <w:rPr>
          <w:sz w:val="20"/>
          <w:szCs w:val="20"/>
        </w:rPr>
      </w:pPr>
    </w:p>
    <w:p w:rsidR="00123E53" w:rsidRPr="00125F13" w:rsidRDefault="00123E53" w:rsidP="00125F13">
      <w:pPr>
        <w:spacing w:line="240" w:lineRule="auto"/>
        <w:ind w:left="0"/>
        <w:rPr>
          <w:b/>
          <w:sz w:val="20"/>
          <w:szCs w:val="20"/>
        </w:rPr>
      </w:pPr>
      <w:r w:rsidRPr="00125F13">
        <w:rPr>
          <w:b/>
          <w:sz w:val="20"/>
          <w:szCs w:val="20"/>
        </w:rPr>
        <w:t>Starke Bilanz und solide Finanzen als Grundlage für Wachstumskurs</w:t>
      </w:r>
    </w:p>
    <w:p w:rsidR="00BF2904" w:rsidRPr="00125F13" w:rsidRDefault="00BF2904" w:rsidP="00125F13">
      <w:pPr>
        <w:spacing w:line="240" w:lineRule="auto"/>
        <w:ind w:left="0"/>
        <w:jc w:val="both"/>
        <w:rPr>
          <w:b/>
          <w:sz w:val="22"/>
          <w:szCs w:val="22"/>
        </w:rPr>
      </w:pPr>
    </w:p>
    <w:p w:rsidR="007D5EEA" w:rsidRDefault="00BF2904" w:rsidP="00125F13">
      <w:pPr>
        <w:spacing w:line="240" w:lineRule="auto"/>
        <w:ind w:left="0"/>
        <w:rPr>
          <w:sz w:val="20"/>
          <w:szCs w:val="20"/>
        </w:rPr>
      </w:pPr>
      <w:r w:rsidRPr="00125F13">
        <w:rPr>
          <w:sz w:val="20"/>
          <w:szCs w:val="20"/>
        </w:rPr>
        <w:t xml:space="preserve">Auf der Grundlage der starken Bilanz und solider Finanzen will Evonik seine Wachstumsstrategie diszipliniert fortsetzen. „Wir werden Ressourcen und finanzielle Mittel im Unternehmen für weiteres Wachstum mobilisieren“, sagte Engel. </w:t>
      </w:r>
      <w:r w:rsidR="00123E53" w:rsidRPr="00125F13">
        <w:rPr>
          <w:sz w:val="20"/>
          <w:szCs w:val="20"/>
        </w:rPr>
        <w:t xml:space="preserve">Als wichtigsten Motor der Wachstumsstrategie bezeichnete Engel Innovationen. </w:t>
      </w:r>
      <w:r w:rsidR="004A4613" w:rsidRPr="00125F13">
        <w:rPr>
          <w:sz w:val="20"/>
          <w:szCs w:val="20"/>
        </w:rPr>
        <w:t>Dadurch wolle man</w:t>
      </w:r>
      <w:r w:rsidR="004A4613">
        <w:rPr>
          <w:sz w:val="20"/>
          <w:szCs w:val="20"/>
        </w:rPr>
        <w:t xml:space="preserve"> </w:t>
      </w:r>
      <w:r w:rsidRPr="00BF2904">
        <w:rPr>
          <w:sz w:val="20"/>
          <w:szCs w:val="20"/>
        </w:rPr>
        <w:t>führende Marktposition</w:t>
      </w:r>
      <w:r w:rsidR="008F3129">
        <w:rPr>
          <w:sz w:val="20"/>
          <w:szCs w:val="20"/>
        </w:rPr>
        <w:t>en</w:t>
      </w:r>
      <w:r w:rsidRPr="00BF2904">
        <w:rPr>
          <w:sz w:val="20"/>
          <w:szCs w:val="20"/>
        </w:rPr>
        <w:t xml:space="preserve"> </w:t>
      </w:r>
      <w:r w:rsidR="00123E53">
        <w:rPr>
          <w:sz w:val="20"/>
          <w:szCs w:val="20"/>
        </w:rPr>
        <w:t xml:space="preserve">ausbauen und von Megatrends wie </w:t>
      </w:r>
      <w:r w:rsidRPr="00BF2904">
        <w:rPr>
          <w:sz w:val="20"/>
          <w:szCs w:val="20"/>
        </w:rPr>
        <w:t xml:space="preserve">Gesundheit, Ernährung, Ressourceneffizienz und </w:t>
      </w:r>
      <w:r w:rsidR="004A4613">
        <w:rPr>
          <w:sz w:val="20"/>
          <w:szCs w:val="20"/>
        </w:rPr>
        <w:t>Globalisierung</w:t>
      </w:r>
      <w:r w:rsidRPr="00BF2904">
        <w:rPr>
          <w:sz w:val="20"/>
          <w:szCs w:val="20"/>
        </w:rPr>
        <w:t xml:space="preserve"> </w:t>
      </w:r>
      <w:r w:rsidR="00123E53">
        <w:rPr>
          <w:sz w:val="20"/>
          <w:szCs w:val="20"/>
        </w:rPr>
        <w:t>profitieren</w:t>
      </w:r>
      <w:r w:rsidRPr="00BF2904">
        <w:rPr>
          <w:sz w:val="20"/>
          <w:szCs w:val="20"/>
        </w:rPr>
        <w:t xml:space="preserve">. </w:t>
      </w:r>
      <w:r w:rsidR="00B9727E">
        <w:rPr>
          <w:sz w:val="20"/>
          <w:szCs w:val="20"/>
        </w:rPr>
        <w:br/>
      </w:r>
      <w:r w:rsidRPr="00BF2904">
        <w:rPr>
          <w:sz w:val="20"/>
          <w:szCs w:val="20"/>
        </w:rPr>
        <w:lastRenderedPageBreak/>
        <w:t>„</w:t>
      </w:r>
      <w:r w:rsidR="004B01C8">
        <w:rPr>
          <w:sz w:val="20"/>
          <w:szCs w:val="20"/>
        </w:rPr>
        <w:t>Unser Ziel ist es, die anstehenden Herausforderungen</w:t>
      </w:r>
      <w:r w:rsidR="00123E53" w:rsidRPr="00BF2904">
        <w:rPr>
          <w:sz w:val="20"/>
          <w:szCs w:val="20"/>
        </w:rPr>
        <w:t xml:space="preserve"> </w:t>
      </w:r>
      <w:r w:rsidRPr="00BF2904">
        <w:rPr>
          <w:sz w:val="20"/>
          <w:szCs w:val="20"/>
        </w:rPr>
        <w:t>in unserer Branche aus einer Position der Stärke an</w:t>
      </w:r>
      <w:r w:rsidR="004B01C8">
        <w:rPr>
          <w:sz w:val="20"/>
          <w:szCs w:val="20"/>
        </w:rPr>
        <w:t>zu</w:t>
      </w:r>
      <w:r w:rsidRPr="00BF2904">
        <w:rPr>
          <w:sz w:val="20"/>
          <w:szCs w:val="20"/>
        </w:rPr>
        <w:t>gehen</w:t>
      </w:r>
      <w:r w:rsidR="004B01C8">
        <w:rPr>
          <w:sz w:val="20"/>
          <w:szCs w:val="20"/>
        </w:rPr>
        <w:t xml:space="preserve"> und aktiv mitzugestalten</w:t>
      </w:r>
      <w:r w:rsidRPr="00BF2904">
        <w:rPr>
          <w:sz w:val="20"/>
          <w:szCs w:val="20"/>
        </w:rPr>
        <w:t xml:space="preserve">“, sagte Engel. So habe </w:t>
      </w:r>
      <w:r w:rsidR="00727AF7">
        <w:rPr>
          <w:sz w:val="20"/>
          <w:szCs w:val="20"/>
        </w:rPr>
        <w:t>Evonik</w:t>
      </w:r>
      <w:r w:rsidRPr="00BF2904">
        <w:rPr>
          <w:sz w:val="20"/>
          <w:szCs w:val="20"/>
        </w:rPr>
        <w:t xml:space="preserve"> im vergangenen Jahr 1,1 Milliarden Euro in neue </w:t>
      </w:r>
      <w:r w:rsidR="00123E53">
        <w:rPr>
          <w:sz w:val="20"/>
          <w:szCs w:val="20"/>
        </w:rPr>
        <w:t>Produktionsa</w:t>
      </w:r>
      <w:r w:rsidRPr="00BF2904">
        <w:rPr>
          <w:sz w:val="20"/>
          <w:szCs w:val="20"/>
        </w:rPr>
        <w:t xml:space="preserve">nlagen investiert, davon </w:t>
      </w:r>
      <w:r w:rsidR="004B01C8">
        <w:rPr>
          <w:sz w:val="20"/>
          <w:szCs w:val="20"/>
        </w:rPr>
        <w:t xml:space="preserve">etwa </w:t>
      </w:r>
      <w:r w:rsidRPr="00BF2904">
        <w:rPr>
          <w:sz w:val="20"/>
          <w:szCs w:val="20"/>
        </w:rPr>
        <w:t>4</w:t>
      </w:r>
      <w:r w:rsidR="004B01C8">
        <w:rPr>
          <w:sz w:val="20"/>
          <w:szCs w:val="20"/>
        </w:rPr>
        <w:t>20</w:t>
      </w:r>
      <w:r w:rsidRPr="00BF2904">
        <w:rPr>
          <w:sz w:val="20"/>
          <w:szCs w:val="20"/>
        </w:rPr>
        <w:t xml:space="preserve"> Millionen Euro </w:t>
      </w:r>
      <w:r w:rsidR="00123E53">
        <w:rPr>
          <w:sz w:val="20"/>
          <w:szCs w:val="20"/>
        </w:rPr>
        <w:t>a</w:t>
      </w:r>
      <w:r w:rsidRPr="00BF2904">
        <w:rPr>
          <w:sz w:val="20"/>
          <w:szCs w:val="20"/>
        </w:rPr>
        <w:t>n deutsche</w:t>
      </w:r>
      <w:r w:rsidR="00123E53">
        <w:rPr>
          <w:sz w:val="20"/>
          <w:szCs w:val="20"/>
        </w:rPr>
        <w:t>n</w:t>
      </w:r>
      <w:r w:rsidRPr="00BF2904">
        <w:rPr>
          <w:sz w:val="20"/>
          <w:szCs w:val="20"/>
        </w:rPr>
        <w:t xml:space="preserve"> Standorte</w:t>
      </w:r>
      <w:r w:rsidR="00123E53">
        <w:rPr>
          <w:sz w:val="20"/>
          <w:szCs w:val="20"/>
        </w:rPr>
        <w:t>n</w:t>
      </w:r>
      <w:r w:rsidRPr="00BF2904">
        <w:rPr>
          <w:sz w:val="20"/>
          <w:szCs w:val="20"/>
        </w:rPr>
        <w:t xml:space="preserve">. </w:t>
      </w:r>
      <w:r w:rsidR="00BD4607">
        <w:rPr>
          <w:sz w:val="20"/>
          <w:szCs w:val="20"/>
        </w:rPr>
        <w:t xml:space="preserve">Die bisher größte Einzelinvestition in der Geschichte des Unternehmens war der im vergangenen Jahr </w:t>
      </w:r>
      <w:r w:rsidR="004A4613">
        <w:rPr>
          <w:sz w:val="20"/>
          <w:szCs w:val="20"/>
        </w:rPr>
        <w:t xml:space="preserve">erfolgreich </w:t>
      </w:r>
      <w:r w:rsidRPr="00BF2904">
        <w:rPr>
          <w:sz w:val="20"/>
          <w:szCs w:val="20"/>
        </w:rPr>
        <w:t xml:space="preserve">in Betrieb genommene Methionin-Komplex in Singapur. </w:t>
      </w:r>
    </w:p>
    <w:p w:rsidR="00EF4214" w:rsidRPr="00BF2904" w:rsidRDefault="00EF4214" w:rsidP="00BF2904">
      <w:pPr>
        <w:spacing w:line="240" w:lineRule="auto"/>
        <w:jc w:val="both"/>
        <w:rPr>
          <w:sz w:val="20"/>
          <w:szCs w:val="20"/>
        </w:rPr>
      </w:pPr>
    </w:p>
    <w:p w:rsidR="00B9727E" w:rsidRDefault="00B9727E" w:rsidP="00125F13">
      <w:pPr>
        <w:spacing w:line="300" w:lineRule="atLeast"/>
        <w:ind w:left="0"/>
        <w:rPr>
          <w:b/>
          <w:sz w:val="20"/>
          <w:szCs w:val="20"/>
        </w:rPr>
      </w:pPr>
    </w:p>
    <w:p w:rsidR="00123E53" w:rsidRPr="00EF4214" w:rsidRDefault="00123E53" w:rsidP="00125F13">
      <w:pPr>
        <w:spacing w:line="300" w:lineRule="atLeast"/>
        <w:ind w:left="0"/>
        <w:rPr>
          <w:b/>
          <w:sz w:val="20"/>
          <w:szCs w:val="20"/>
        </w:rPr>
      </w:pPr>
      <w:r w:rsidRPr="00EF4214">
        <w:rPr>
          <w:b/>
          <w:sz w:val="20"/>
          <w:szCs w:val="20"/>
        </w:rPr>
        <w:t>Optimistischer Ausblick 2015</w:t>
      </w:r>
    </w:p>
    <w:p w:rsidR="00123E53" w:rsidRDefault="00123E53" w:rsidP="00125F13">
      <w:pPr>
        <w:spacing w:line="300" w:lineRule="atLeast"/>
        <w:ind w:left="0"/>
        <w:rPr>
          <w:sz w:val="20"/>
          <w:szCs w:val="20"/>
        </w:rPr>
      </w:pPr>
    </w:p>
    <w:p w:rsidR="00123E53" w:rsidRDefault="007B59C5" w:rsidP="00B9727E">
      <w:pPr>
        <w:spacing w:line="300" w:lineRule="atLeast"/>
        <w:ind w:left="0" w:right="-64"/>
        <w:rPr>
          <w:sz w:val="20"/>
          <w:szCs w:val="20"/>
        </w:rPr>
      </w:pPr>
      <w:r>
        <w:rPr>
          <w:sz w:val="20"/>
          <w:szCs w:val="20"/>
        </w:rPr>
        <w:t>I</w:t>
      </w:r>
      <w:r w:rsidR="00FA1092">
        <w:rPr>
          <w:sz w:val="20"/>
          <w:szCs w:val="20"/>
        </w:rPr>
        <w:t>nsgesamt rechnet Evonik f</w:t>
      </w:r>
      <w:r w:rsidR="00FA1092" w:rsidRPr="00E359DD">
        <w:rPr>
          <w:sz w:val="20"/>
          <w:szCs w:val="20"/>
        </w:rPr>
        <w:t xml:space="preserve">ür das Geschäftsjahr 2015 </w:t>
      </w:r>
      <w:r w:rsidR="00FA1092">
        <w:rPr>
          <w:sz w:val="20"/>
          <w:szCs w:val="20"/>
        </w:rPr>
        <w:t xml:space="preserve">mit </w:t>
      </w:r>
      <w:r w:rsidR="00E359DD" w:rsidRPr="00E359DD">
        <w:rPr>
          <w:sz w:val="20"/>
          <w:szCs w:val="20"/>
        </w:rPr>
        <w:t xml:space="preserve">einem leicht höheren Umsatz (2014: 12,9 Milliarden €). </w:t>
      </w:r>
      <w:r w:rsidR="00FA1092">
        <w:rPr>
          <w:sz w:val="20"/>
          <w:szCs w:val="20"/>
        </w:rPr>
        <w:t>Auch das bereinigte</w:t>
      </w:r>
      <w:r w:rsidR="00E359DD" w:rsidRPr="00E359DD">
        <w:rPr>
          <w:sz w:val="20"/>
          <w:szCs w:val="20"/>
        </w:rPr>
        <w:t xml:space="preserve"> EBITDA</w:t>
      </w:r>
      <w:r w:rsidR="00FA1092">
        <w:rPr>
          <w:sz w:val="20"/>
          <w:szCs w:val="20"/>
        </w:rPr>
        <w:t xml:space="preserve"> wird leicht über dem Wert </w:t>
      </w:r>
      <w:r w:rsidR="00E359DD" w:rsidRPr="00E359DD">
        <w:rPr>
          <w:sz w:val="20"/>
          <w:szCs w:val="20"/>
        </w:rPr>
        <w:t xml:space="preserve">des Vorjahres </w:t>
      </w:r>
      <w:r w:rsidR="00FA1092">
        <w:rPr>
          <w:sz w:val="20"/>
          <w:szCs w:val="20"/>
        </w:rPr>
        <w:t>erwartet</w:t>
      </w:r>
      <w:r w:rsidR="00E359DD" w:rsidRPr="00E359DD">
        <w:rPr>
          <w:sz w:val="20"/>
          <w:szCs w:val="20"/>
        </w:rPr>
        <w:t xml:space="preserve"> (2014: 1.867 Millionen €).</w:t>
      </w:r>
    </w:p>
    <w:p w:rsidR="00123E53" w:rsidRDefault="00123E53" w:rsidP="00125F13">
      <w:pPr>
        <w:spacing w:line="300" w:lineRule="atLeast"/>
        <w:ind w:left="0"/>
        <w:rPr>
          <w:sz w:val="20"/>
          <w:szCs w:val="20"/>
        </w:rPr>
      </w:pPr>
    </w:p>
    <w:p w:rsidR="00123E53" w:rsidRDefault="00E359DD" w:rsidP="00125F13">
      <w:pPr>
        <w:spacing w:line="300" w:lineRule="atLeast"/>
        <w:ind w:left="0"/>
        <w:rPr>
          <w:sz w:val="20"/>
          <w:szCs w:val="20"/>
        </w:rPr>
      </w:pPr>
      <w:r w:rsidRPr="00E359DD">
        <w:rPr>
          <w:sz w:val="20"/>
          <w:szCs w:val="20"/>
        </w:rPr>
        <w:t>Zusätzlich kann die Umsatz- und Ergebnisentwicklung durch Wechselkurseffekte beeinflusst werden.</w:t>
      </w:r>
      <w:r w:rsidR="00123E53">
        <w:rPr>
          <w:sz w:val="20"/>
          <w:szCs w:val="20"/>
        </w:rPr>
        <w:t xml:space="preserve"> </w:t>
      </w:r>
      <w:r w:rsidRPr="00E359DD">
        <w:rPr>
          <w:sz w:val="20"/>
          <w:szCs w:val="20"/>
        </w:rPr>
        <w:t>Sollte der durchschnittliche Wechselkurs Euro / US-Dollar auf dem Niveau vom Jahresbeginn bleiben, ergibt sich für das Gesamtjahr 2015 ein zusätzliches Potenzial für Umsatz und</w:t>
      </w:r>
      <w:r w:rsidR="00FA1092">
        <w:rPr>
          <w:sz w:val="20"/>
          <w:szCs w:val="20"/>
        </w:rPr>
        <w:t xml:space="preserve"> </w:t>
      </w:r>
      <w:r w:rsidR="004B01C8">
        <w:rPr>
          <w:sz w:val="20"/>
          <w:szCs w:val="20"/>
        </w:rPr>
        <w:t>operatives Ergebnis</w:t>
      </w:r>
      <w:r w:rsidR="00FA1092">
        <w:rPr>
          <w:sz w:val="20"/>
          <w:szCs w:val="20"/>
        </w:rPr>
        <w:t>.</w:t>
      </w:r>
    </w:p>
    <w:p w:rsidR="00123E53" w:rsidRDefault="00123E53" w:rsidP="00125F13">
      <w:pPr>
        <w:spacing w:line="300" w:lineRule="atLeast"/>
        <w:ind w:left="0"/>
        <w:rPr>
          <w:sz w:val="20"/>
          <w:szCs w:val="20"/>
        </w:rPr>
      </w:pPr>
    </w:p>
    <w:p w:rsidR="007D5EEA" w:rsidRDefault="00FA1092" w:rsidP="00125F13">
      <w:pPr>
        <w:spacing w:line="300" w:lineRule="atLeast"/>
        <w:ind w:left="0"/>
        <w:rPr>
          <w:sz w:val="20"/>
          <w:szCs w:val="20"/>
        </w:rPr>
      </w:pPr>
      <w:r w:rsidRPr="00FA1092">
        <w:rPr>
          <w:sz w:val="20"/>
          <w:szCs w:val="20"/>
        </w:rPr>
        <w:t>Die Ergebniseffekte aus niedrigeren Rohstoffpreisen werden in den einzelnen Geschäften unterschiedlich wirken, sich aber über das gesamte Portfolio weitgehend ausgleichen.</w:t>
      </w:r>
    </w:p>
    <w:p w:rsidR="00230A71" w:rsidRDefault="00230A71" w:rsidP="009D734A">
      <w:pPr>
        <w:spacing w:line="300" w:lineRule="atLeast"/>
        <w:rPr>
          <w:sz w:val="20"/>
          <w:szCs w:val="20"/>
        </w:rPr>
      </w:pPr>
    </w:p>
    <w:p w:rsidR="00230A71" w:rsidRDefault="00230A71" w:rsidP="009D734A">
      <w:pPr>
        <w:spacing w:line="300" w:lineRule="atLeast"/>
        <w:rPr>
          <w:sz w:val="20"/>
          <w:szCs w:val="20"/>
        </w:rPr>
      </w:pPr>
    </w:p>
    <w:p w:rsidR="009D734A" w:rsidRDefault="009D734A" w:rsidP="009D734A">
      <w:pPr>
        <w:spacing w:line="300" w:lineRule="exact"/>
        <w:rPr>
          <w:rFonts w:cs="Lucida Sans Unicode"/>
          <w:b/>
          <w:bCs/>
          <w:sz w:val="20"/>
          <w:szCs w:val="20"/>
        </w:rPr>
      </w:pPr>
    </w:p>
    <w:p w:rsidR="00125F13" w:rsidRDefault="00125F13">
      <w:pPr>
        <w:spacing w:line="240" w:lineRule="auto"/>
        <w:ind w:left="0" w:right="0"/>
        <w:rPr>
          <w:rFonts w:cs="Lucida Sans Unicode"/>
          <w:b/>
          <w:bCs/>
          <w:sz w:val="20"/>
          <w:szCs w:val="20"/>
        </w:rPr>
      </w:pPr>
      <w:r>
        <w:rPr>
          <w:rFonts w:cs="Lucida Sans Unicode"/>
          <w:b/>
          <w:bCs/>
          <w:sz w:val="20"/>
          <w:szCs w:val="20"/>
        </w:rPr>
        <w:br w:type="page"/>
      </w:r>
    </w:p>
    <w:p w:rsidR="00230A71" w:rsidRPr="007351D0" w:rsidRDefault="00230A71" w:rsidP="00230A71">
      <w:pPr>
        <w:spacing w:after="120"/>
        <w:rPr>
          <w:rFonts w:cs="Lucida Sans Unicode"/>
          <w:b/>
          <w:bCs/>
          <w:sz w:val="20"/>
          <w:szCs w:val="20"/>
        </w:rPr>
      </w:pPr>
      <w:r w:rsidRPr="007351D0">
        <w:rPr>
          <w:rFonts w:cs="Lucida Sans Unicode"/>
          <w:b/>
          <w:bCs/>
          <w:sz w:val="20"/>
          <w:szCs w:val="20"/>
        </w:rPr>
        <w:lastRenderedPageBreak/>
        <w:t xml:space="preserve">Evonik-Konzern: Ergebnisrechnung </w:t>
      </w:r>
      <w:r w:rsidR="004B01C8">
        <w:rPr>
          <w:rFonts w:cs="Lucida Sans Unicode"/>
          <w:b/>
          <w:bCs/>
          <w:sz w:val="20"/>
          <w:szCs w:val="20"/>
        </w:rPr>
        <w:t xml:space="preserve"> </w:t>
      </w:r>
      <w:r w:rsidRPr="007351D0">
        <w:rPr>
          <w:rFonts w:cs="Lucida Sans Unicode"/>
          <w:b/>
          <w:bCs/>
          <w:sz w:val="20"/>
          <w:szCs w:val="20"/>
        </w:rPr>
        <w:t>im Überblick</w:t>
      </w:r>
    </w:p>
    <w:tbl>
      <w:tblPr>
        <w:tblW w:w="100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0"/>
        <w:gridCol w:w="823"/>
        <w:gridCol w:w="983"/>
        <w:gridCol w:w="984"/>
        <w:gridCol w:w="937"/>
        <w:gridCol w:w="937"/>
        <w:gridCol w:w="984"/>
      </w:tblGrid>
      <w:tr w:rsidR="00230A71" w:rsidRPr="007351D0" w:rsidTr="00230A71">
        <w:trPr>
          <w:trHeight w:val="510"/>
        </w:trPr>
        <w:tc>
          <w:tcPr>
            <w:tcW w:w="4410"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230A71" w:rsidP="006F465A">
            <w:pPr>
              <w:ind w:left="-55"/>
              <w:rPr>
                <w:rFonts w:cs="Lucida Sans Unicode"/>
                <w:b/>
                <w:bCs/>
                <w:szCs w:val="20"/>
              </w:rPr>
            </w:pPr>
            <w:r w:rsidRPr="007351D0">
              <w:rPr>
                <w:rFonts w:cs="Lucida Sans Unicode"/>
                <w:b/>
                <w:bCs/>
                <w:szCs w:val="20"/>
              </w:rPr>
              <w:t>(in Mio. €)</w:t>
            </w:r>
          </w:p>
        </w:tc>
        <w:tc>
          <w:tcPr>
            <w:tcW w:w="8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30A71" w:rsidRPr="007351D0" w:rsidRDefault="00230A71" w:rsidP="006F465A">
            <w:pPr>
              <w:jc w:val="center"/>
              <w:rPr>
                <w:rFonts w:cs="Lucida Sans Unicode"/>
                <w:b/>
                <w:bCs/>
                <w:szCs w:val="20"/>
              </w:rPr>
            </w:pPr>
            <w:r>
              <w:rPr>
                <w:rFonts w:cs="Lucida Sans Unicode"/>
                <w:b/>
                <w:bCs/>
                <w:szCs w:val="20"/>
              </w:rPr>
              <w:t>Q4 2014</w:t>
            </w:r>
          </w:p>
        </w:tc>
        <w:tc>
          <w:tcPr>
            <w:tcW w:w="983"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zCs w:val="20"/>
              </w:rPr>
            </w:pPr>
            <w:r>
              <w:rPr>
                <w:rFonts w:cs="Lucida Sans Unicode"/>
                <w:b/>
                <w:bCs/>
                <w:szCs w:val="20"/>
              </w:rPr>
              <w:t xml:space="preserve">Q4  </w:t>
            </w:r>
            <w:r>
              <w:rPr>
                <w:rFonts w:cs="Lucida Sans Unicode"/>
                <w:b/>
                <w:bCs/>
                <w:szCs w:val="20"/>
              </w:rPr>
              <w:br/>
              <w:t xml:space="preserve"> 2013</w:t>
            </w:r>
          </w:p>
        </w:tc>
        <w:tc>
          <w:tcPr>
            <w:tcW w:w="984"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 xml:space="preserve">. </w:t>
            </w:r>
            <w:r w:rsidRPr="007351D0">
              <w:rPr>
                <w:rFonts w:cs="Lucida Sans Unicode"/>
                <w:b/>
                <w:bCs/>
                <w:spacing w:val="-6"/>
                <w:szCs w:val="20"/>
              </w:rPr>
              <w:br/>
              <w:t>in %</w:t>
            </w:r>
          </w:p>
        </w:tc>
        <w:tc>
          <w:tcPr>
            <w:tcW w:w="93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30A71" w:rsidRPr="007351D0" w:rsidRDefault="00230A71" w:rsidP="006F465A">
            <w:pPr>
              <w:jc w:val="center"/>
              <w:rPr>
                <w:rFonts w:cs="Lucida Sans Unicode"/>
                <w:b/>
                <w:bCs/>
                <w:szCs w:val="20"/>
              </w:rPr>
            </w:pPr>
            <w:r>
              <w:rPr>
                <w:rFonts w:cs="Lucida Sans Unicode"/>
                <w:b/>
                <w:bCs/>
                <w:szCs w:val="20"/>
              </w:rPr>
              <w:t>2014</w:t>
            </w:r>
          </w:p>
        </w:tc>
        <w:tc>
          <w:tcPr>
            <w:tcW w:w="937"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zCs w:val="20"/>
              </w:rPr>
            </w:pPr>
            <w:r>
              <w:rPr>
                <w:rFonts w:cs="Lucida Sans Unicode"/>
                <w:b/>
                <w:bCs/>
                <w:szCs w:val="20"/>
              </w:rPr>
              <w:t>2013</w:t>
            </w:r>
          </w:p>
        </w:tc>
        <w:tc>
          <w:tcPr>
            <w:tcW w:w="984" w:type="dxa"/>
            <w:tcBorders>
              <w:top w:val="single" w:sz="4" w:space="0" w:color="auto"/>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 xml:space="preserve">. </w:t>
            </w:r>
            <w:r w:rsidRPr="007351D0">
              <w:rPr>
                <w:rFonts w:cs="Lucida Sans Unicode"/>
                <w:b/>
                <w:bCs/>
                <w:spacing w:val="-6"/>
                <w:szCs w:val="20"/>
              </w:rPr>
              <w:br/>
              <w:t>in %</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Pr>
                <w:rFonts w:cs="Lucida Sans Unicode"/>
                <w:szCs w:val="20"/>
              </w:rPr>
              <w:t>Umsatz</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3.226</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3.089</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BD4607" w:rsidP="006F465A">
            <w:pPr>
              <w:jc w:val="right"/>
              <w:rPr>
                <w:rFonts w:cs="Lucida Sans Unicode"/>
                <w:szCs w:val="20"/>
              </w:rPr>
            </w:pPr>
            <w:r>
              <w:rPr>
                <w:rFonts w:cs="Lucida Sans Unicode"/>
                <w:szCs w:val="20"/>
              </w:rPr>
              <w:t>+4</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12.917</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12.708</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Bereinigtes EBITDA</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442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375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BD4607" w:rsidP="006F465A">
            <w:pPr>
              <w:jc w:val="right"/>
              <w:rPr>
                <w:rFonts w:cs="Lucida Sans Unicode"/>
                <w:szCs w:val="20"/>
              </w:rPr>
            </w:pPr>
            <w:r>
              <w:rPr>
                <w:rFonts w:cs="Lucida Sans Unicode"/>
                <w:szCs w:val="20"/>
              </w:rPr>
              <w:t>+18</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1.867</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1.995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-6</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Bereinigtes EBIT</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261</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215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BD4607" w:rsidP="006F465A">
            <w:pPr>
              <w:jc w:val="right"/>
              <w:rPr>
                <w:rFonts w:cs="Lucida Sans Unicode"/>
                <w:szCs w:val="20"/>
              </w:rPr>
            </w:pPr>
            <w:r>
              <w:rPr>
                <w:rFonts w:cs="Lucida Sans Unicode"/>
                <w:szCs w:val="20"/>
              </w:rPr>
              <w:t>+21</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1.238</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1.404</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-12</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Bereinigungen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-34</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ind w:left="-55"/>
              <w:jc w:val="right"/>
              <w:rPr>
                <w:rFonts w:cs="Lucida Sans Unicode"/>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-178</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-340</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ind w:left="-55"/>
              <w:jc w:val="right"/>
              <w:rPr>
                <w:rFonts w:cs="Lucida Sans Unicode"/>
                <w:bCs/>
                <w:spacing w:val="-6"/>
                <w:szCs w:val="20"/>
              </w:rPr>
            </w:pP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Zinsergebnis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-18</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-53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-218</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-255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p>
        </w:tc>
      </w:tr>
      <w:tr w:rsidR="00230A71" w:rsidRPr="00D30E4D"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Cs/>
                <w:szCs w:val="20"/>
              </w:rPr>
            </w:pPr>
            <w:r w:rsidRPr="00D30E4D">
              <w:rPr>
                <w:rFonts w:cs="Lucida Sans Unicode"/>
                <w:bCs/>
                <w:spacing w:val="-6"/>
                <w:szCs w:val="20"/>
              </w:rPr>
              <w:t xml:space="preserve">Ergebnis vor </w:t>
            </w:r>
            <w:r>
              <w:rPr>
                <w:rFonts w:cs="Lucida Sans Unicode"/>
                <w:bCs/>
                <w:spacing w:val="-6"/>
                <w:szCs w:val="20"/>
              </w:rPr>
              <w:t>Ertragst</w:t>
            </w:r>
            <w:r w:rsidRPr="00D30E4D">
              <w:rPr>
                <w:rFonts w:cs="Lucida Sans Unicode"/>
                <w:bCs/>
                <w:spacing w:val="-6"/>
                <w:szCs w:val="20"/>
              </w:rPr>
              <w: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bCs/>
                <w:szCs w:val="20"/>
              </w:rPr>
            </w:pPr>
            <w:r>
              <w:rPr>
                <w:rFonts w:cs="Lucida Sans Unicode"/>
                <w:bCs/>
                <w:szCs w:val="20"/>
              </w:rPr>
              <w:t>209</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Cs/>
                <w:szCs w:val="20"/>
              </w:rPr>
            </w:pPr>
            <w:r>
              <w:rPr>
                <w:rFonts w:cs="Lucida Sans Unicode"/>
                <w:bCs/>
                <w:szCs w:val="20"/>
              </w:rPr>
              <w:t>146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BD4607" w:rsidP="006F465A">
            <w:pPr>
              <w:jc w:val="right"/>
              <w:rPr>
                <w:rFonts w:cs="Lucida Sans Unicode"/>
                <w:bCs/>
                <w:szCs w:val="20"/>
              </w:rPr>
            </w:pPr>
            <w:r>
              <w:rPr>
                <w:rFonts w:cs="Lucida Sans Unicode"/>
                <w:bCs/>
                <w:szCs w:val="20"/>
              </w:rPr>
              <w:t>+43</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bCs/>
                <w:szCs w:val="20"/>
              </w:rPr>
            </w:pPr>
            <w:r>
              <w:rPr>
                <w:rFonts w:cs="Lucida Sans Unicode"/>
                <w:bCs/>
                <w:szCs w:val="20"/>
              </w:rPr>
              <w:t>842</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Cs/>
                <w:szCs w:val="20"/>
              </w:rPr>
            </w:pPr>
            <w:r>
              <w:rPr>
                <w:rFonts w:cs="Lucida Sans Unicode"/>
                <w:bCs/>
                <w:szCs w:val="20"/>
              </w:rPr>
              <w:t>809</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Cs/>
                <w:szCs w:val="20"/>
              </w:rPr>
            </w:pPr>
            <w:r>
              <w:rPr>
                <w:rFonts w:cs="Lucida Sans Unicode"/>
                <w:bCs/>
                <w:szCs w:val="20"/>
              </w:rPr>
              <w:t>+4</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Ertragsteuern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-56</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-41</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-252</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-224</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bCs/>
                <w:szCs w:val="20"/>
              </w:rPr>
            </w:pPr>
            <w:r w:rsidRPr="007351D0">
              <w:rPr>
                <w:rFonts w:cs="Lucida Sans Unicode"/>
                <w:bCs/>
                <w:spacing w:val="-6"/>
                <w:szCs w:val="20"/>
              </w:rPr>
              <w:t xml:space="preserve">Ergebnis nach </w:t>
            </w:r>
            <w:r>
              <w:rPr>
                <w:rFonts w:cs="Lucida Sans Unicode"/>
                <w:bCs/>
                <w:spacing w:val="-6"/>
                <w:szCs w:val="20"/>
              </w:rPr>
              <w:t>S</w:t>
            </w:r>
            <w:r w:rsidRPr="007351D0">
              <w:rPr>
                <w:rFonts w:cs="Lucida Sans Unicode"/>
                <w:bCs/>
                <w:spacing w:val="-6"/>
                <w:szCs w:val="20"/>
              </w:rPr>
              <w:t>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bCs/>
                <w:szCs w:val="20"/>
              </w:rPr>
            </w:pPr>
            <w:r>
              <w:rPr>
                <w:rFonts w:cs="Lucida Sans Unicode"/>
                <w:bCs/>
                <w:szCs w:val="20"/>
              </w:rPr>
              <w:t>153</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bCs/>
                <w:szCs w:val="20"/>
              </w:rPr>
            </w:pPr>
            <w:r>
              <w:rPr>
                <w:rFonts w:cs="Lucida Sans Unicode"/>
                <w:bCs/>
                <w:szCs w:val="20"/>
              </w:rPr>
              <w:t>105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BD4607" w:rsidP="006F465A">
            <w:pPr>
              <w:jc w:val="right"/>
              <w:rPr>
                <w:rFonts w:cs="Lucida Sans Unicode"/>
                <w:bCs/>
                <w:szCs w:val="20"/>
              </w:rPr>
            </w:pPr>
            <w:r>
              <w:rPr>
                <w:rFonts w:cs="Lucida Sans Unicode"/>
                <w:bCs/>
                <w:szCs w:val="20"/>
              </w:rPr>
              <w:t>+46</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bCs/>
                <w:szCs w:val="20"/>
              </w:rPr>
            </w:pPr>
            <w:r>
              <w:rPr>
                <w:rFonts w:cs="Lucida Sans Unicode"/>
                <w:bCs/>
                <w:szCs w:val="20"/>
              </w:rPr>
              <w:t>590</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bCs/>
                <w:szCs w:val="20"/>
              </w:rPr>
            </w:pPr>
            <w:r>
              <w:rPr>
                <w:rFonts w:cs="Lucida Sans Unicode"/>
                <w:bCs/>
                <w:szCs w:val="20"/>
              </w:rPr>
              <w:t>585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bCs/>
                <w:szCs w:val="20"/>
              </w:rPr>
            </w:pPr>
            <w:r>
              <w:rPr>
                <w:rFonts w:cs="Lucida Sans Unicode"/>
                <w:bCs/>
                <w:szCs w:val="20"/>
              </w:rPr>
              <w:t>+1</w:t>
            </w:r>
          </w:p>
        </w:tc>
      </w:tr>
      <w:tr w:rsidR="00230A71" w:rsidRPr="007351D0"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sidRPr="007351D0">
              <w:rPr>
                <w:rFonts w:cs="Lucida Sans Unicode"/>
                <w:szCs w:val="20"/>
              </w:rPr>
              <w:t>Ergebnis nach Steuern nicht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50</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rPr>
                <w:rFonts w:cs="Lucida Sans Unicode"/>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-9</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1.428</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rPr>
                <w:rFonts w:cs="Lucida Sans Unicode"/>
                <w:szCs w:val="20"/>
              </w:rPr>
            </w:pPr>
          </w:p>
        </w:tc>
      </w:tr>
      <w:tr w:rsidR="00230A71" w:rsidRPr="00D30E4D" w:rsidTr="00230A71">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Cs/>
                <w:szCs w:val="20"/>
              </w:rPr>
            </w:pPr>
            <w:r w:rsidRPr="00D30E4D">
              <w:rPr>
                <w:rFonts w:cs="Lucida Sans Unicode"/>
                <w:bCs/>
                <w:szCs w:val="20"/>
              </w:rPr>
              <w:t>Ergebnis nach 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bCs/>
                <w:szCs w:val="20"/>
              </w:rPr>
            </w:pPr>
            <w:r>
              <w:rPr>
                <w:rFonts w:cs="Lucida Sans Unicode"/>
                <w:bCs/>
                <w:szCs w:val="20"/>
              </w:rPr>
              <w:t>155</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Cs/>
                <w:szCs w:val="20"/>
              </w:rPr>
            </w:pPr>
            <w:r>
              <w:rPr>
                <w:rFonts w:cs="Lucida Sans Unicode"/>
                <w:bCs/>
                <w:szCs w:val="20"/>
              </w:rPr>
              <w:t>155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7B59C5" w:rsidP="006F465A">
            <w:pPr>
              <w:jc w:val="right"/>
              <w:rPr>
                <w:rFonts w:cs="Lucida Sans Unicode"/>
                <w:bCs/>
                <w:szCs w:val="20"/>
              </w:rPr>
            </w:pPr>
            <w:r>
              <w:rPr>
                <w:rFonts w:cs="Lucida Sans Unicode"/>
                <w:bCs/>
                <w:szCs w:val="20"/>
              </w:rPr>
              <w:t>-</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szCs w:val="20"/>
              </w:rPr>
            </w:pPr>
            <w:r>
              <w:rPr>
                <w:rFonts w:cs="Lucida Sans Unicode"/>
                <w:szCs w:val="20"/>
              </w:rPr>
              <w:t>581</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szCs w:val="20"/>
              </w:rPr>
            </w:pPr>
            <w:r>
              <w:rPr>
                <w:rFonts w:cs="Lucida Sans Unicode"/>
                <w:szCs w:val="20"/>
              </w:rPr>
              <w:t>2.013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szCs w:val="20"/>
              </w:rPr>
            </w:pPr>
            <w:r>
              <w:rPr>
                <w:rFonts w:cs="Lucida Sans Unicode"/>
                <w:szCs w:val="20"/>
              </w:rPr>
              <w:t>-71</w:t>
            </w:r>
          </w:p>
        </w:tc>
      </w:tr>
      <w:tr w:rsidR="00230A71" w:rsidRPr="007351D0" w:rsidTr="00230A71">
        <w:trPr>
          <w:trHeight w:val="25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ind w:left="-55"/>
              <w:rPr>
                <w:rFonts w:cs="Lucida Sans Unicode"/>
                <w:szCs w:val="20"/>
              </w:rPr>
            </w:pPr>
            <w:r>
              <w:rPr>
                <w:rFonts w:cs="Lucida Sans Unicode"/>
                <w:szCs w:val="20"/>
              </w:rPr>
              <w:t>Ergebnis</w:t>
            </w:r>
            <w:r w:rsidRPr="007351D0">
              <w:rPr>
                <w:rFonts w:cs="Lucida Sans Unicode"/>
                <w:szCs w:val="20"/>
              </w:rPr>
              <w:t xml:space="preserve"> anderer Gesellschafter</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szCs w:val="20"/>
              </w:rPr>
            </w:pPr>
            <w:r>
              <w:rPr>
                <w:rFonts w:cs="Lucida Sans Unicode"/>
                <w:szCs w:val="20"/>
              </w:rPr>
              <w:t>3</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60</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rPr>
                <w:rFonts w:cs="Lucida Sans Unicode"/>
                <w:szCs w:val="20"/>
              </w:rPr>
            </w:pP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7351D0" w:rsidRDefault="00230A71" w:rsidP="006F465A">
            <w:pPr>
              <w:jc w:val="right"/>
              <w:rPr>
                <w:rFonts w:cs="Lucida Sans Unicode"/>
                <w:bCs/>
                <w:szCs w:val="20"/>
              </w:rPr>
            </w:pPr>
            <w:r>
              <w:rPr>
                <w:rFonts w:cs="Lucida Sans Unicode"/>
                <w:bCs/>
                <w:szCs w:val="20"/>
              </w:rPr>
              <w:t>13</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bCs/>
                <w:szCs w:val="20"/>
              </w:rPr>
            </w:pPr>
            <w:r>
              <w:rPr>
                <w:rFonts w:cs="Lucida Sans Unicode"/>
                <w:bCs/>
                <w:szCs w:val="20"/>
              </w:rPr>
              <w:t>-41</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b/>
                <w:bCs/>
                <w:szCs w:val="20"/>
              </w:rPr>
            </w:pPr>
          </w:p>
        </w:tc>
      </w:tr>
      <w:tr w:rsidR="00230A71" w:rsidRPr="00D30E4D" w:rsidTr="00230A71">
        <w:trPr>
          <w:trHeight w:val="25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
                <w:szCs w:val="20"/>
              </w:rPr>
            </w:pPr>
            <w:r w:rsidRPr="00D30E4D">
              <w:rPr>
                <w:rFonts w:cs="Lucida Sans Unicode"/>
                <w:b/>
                <w:szCs w:val="20"/>
              </w:rPr>
              <w:t>=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b/>
                <w:bCs/>
                <w:szCs w:val="20"/>
              </w:rPr>
            </w:pPr>
            <w:r>
              <w:rPr>
                <w:rFonts w:cs="Lucida Sans Unicode"/>
                <w:b/>
                <w:bCs/>
                <w:szCs w:val="20"/>
              </w:rPr>
              <w:t>152</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
                <w:bCs/>
                <w:szCs w:val="20"/>
              </w:rPr>
            </w:pPr>
            <w:r>
              <w:rPr>
                <w:rFonts w:cs="Lucida Sans Unicode"/>
                <w:b/>
                <w:bCs/>
                <w:szCs w:val="20"/>
              </w:rPr>
              <w:t>95</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BD4607" w:rsidP="006F465A">
            <w:pPr>
              <w:jc w:val="right"/>
              <w:rPr>
                <w:rFonts w:cs="Lucida Sans Unicode"/>
                <w:b/>
                <w:bCs/>
                <w:szCs w:val="20"/>
              </w:rPr>
            </w:pPr>
            <w:r>
              <w:rPr>
                <w:rFonts w:cs="Lucida Sans Unicode"/>
                <w:b/>
                <w:bCs/>
                <w:szCs w:val="20"/>
              </w:rPr>
              <w:t>+60</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b/>
                <w:bCs/>
                <w:szCs w:val="20"/>
              </w:rPr>
            </w:pPr>
            <w:r>
              <w:rPr>
                <w:rFonts w:cs="Lucida Sans Unicode"/>
                <w:b/>
                <w:bCs/>
                <w:szCs w:val="20"/>
              </w:rPr>
              <w:t>568</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
                <w:bCs/>
                <w:szCs w:val="20"/>
              </w:rPr>
            </w:pPr>
            <w:r>
              <w:rPr>
                <w:rFonts w:cs="Lucida Sans Unicode"/>
                <w:b/>
                <w:bCs/>
                <w:szCs w:val="20"/>
              </w:rPr>
              <w:t>2.054</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
                <w:bCs/>
                <w:szCs w:val="20"/>
              </w:rPr>
            </w:pPr>
            <w:r>
              <w:rPr>
                <w:rFonts w:cs="Lucida Sans Unicode"/>
                <w:b/>
                <w:bCs/>
                <w:szCs w:val="20"/>
              </w:rPr>
              <w:t>-72</w:t>
            </w:r>
          </w:p>
        </w:tc>
      </w:tr>
      <w:tr w:rsidR="00230A71" w:rsidRPr="00D30E4D" w:rsidTr="00230A71">
        <w:trPr>
          <w:trHeight w:val="25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230A71" w:rsidRPr="00D30E4D" w:rsidRDefault="00230A71" w:rsidP="006F465A">
            <w:pPr>
              <w:ind w:left="-55"/>
              <w:rPr>
                <w:rFonts w:cs="Lucida Sans Unicode"/>
                <w:b/>
                <w:szCs w:val="20"/>
              </w:rPr>
            </w:pPr>
            <w:r w:rsidRPr="00D30E4D">
              <w:rPr>
                <w:rFonts w:cs="Lucida Sans Unicode"/>
                <w:b/>
                <w:szCs w:val="20"/>
              </w:rPr>
              <w:t>Bereinigtes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4A4613">
            <w:pPr>
              <w:jc w:val="right"/>
              <w:rPr>
                <w:rFonts w:cs="Lucida Sans Unicode"/>
                <w:b/>
                <w:bCs/>
                <w:szCs w:val="20"/>
              </w:rPr>
            </w:pPr>
            <w:r>
              <w:rPr>
                <w:rFonts w:cs="Lucida Sans Unicode"/>
                <w:b/>
                <w:bCs/>
                <w:szCs w:val="20"/>
              </w:rPr>
              <w:t>17</w:t>
            </w:r>
            <w:r w:rsidR="004A4613">
              <w:rPr>
                <w:rFonts w:cs="Lucida Sans Unicode"/>
                <w:b/>
                <w:bCs/>
                <w:szCs w:val="20"/>
              </w:rPr>
              <w:t>9</w:t>
            </w:r>
          </w:p>
        </w:tc>
        <w:tc>
          <w:tcPr>
            <w:tcW w:w="983"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
                <w:bCs/>
                <w:szCs w:val="20"/>
              </w:rPr>
            </w:pPr>
            <w:r>
              <w:rPr>
                <w:rFonts w:cs="Lucida Sans Unicode"/>
                <w:b/>
                <w:bCs/>
                <w:szCs w:val="20"/>
              </w:rPr>
              <w:t>113</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BD4607" w:rsidP="006F465A">
            <w:pPr>
              <w:jc w:val="right"/>
              <w:rPr>
                <w:rFonts w:cs="Lucida Sans Unicode"/>
                <w:b/>
                <w:bCs/>
                <w:szCs w:val="20"/>
              </w:rPr>
            </w:pPr>
            <w:r>
              <w:rPr>
                <w:rFonts w:cs="Lucida Sans Unicode"/>
                <w:b/>
                <w:bCs/>
                <w:szCs w:val="20"/>
              </w:rPr>
              <w:t>+58</w:t>
            </w:r>
          </w:p>
        </w:tc>
        <w:tc>
          <w:tcPr>
            <w:tcW w:w="937"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230A71" w:rsidRPr="00D30E4D" w:rsidRDefault="00230A71" w:rsidP="006F465A">
            <w:pPr>
              <w:jc w:val="right"/>
              <w:rPr>
                <w:rFonts w:cs="Lucida Sans Unicode"/>
                <w:b/>
                <w:bCs/>
                <w:szCs w:val="20"/>
              </w:rPr>
            </w:pPr>
            <w:r>
              <w:rPr>
                <w:rFonts w:cs="Lucida Sans Unicode"/>
                <w:b/>
                <w:bCs/>
                <w:szCs w:val="20"/>
              </w:rPr>
              <w:t>740</w:t>
            </w:r>
          </w:p>
        </w:tc>
        <w:tc>
          <w:tcPr>
            <w:tcW w:w="937"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
                <w:bCs/>
                <w:szCs w:val="20"/>
              </w:rPr>
            </w:pPr>
            <w:r>
              <w:rPr>
                <w:rFonts w:cs="Lucida Sans Unicode"/>
                <w:b/>
                <w:bCs/>
                <w:szCs w:val="20"/>
              </w:rPr>
              <w:t>806</w:t>
            </w:r>
          </w:p>
        </w:tc>
        <w:tc>
          <w:tcPr>
            <w:tcW w:w="984" w:type="dxa"/>
            <w:tcBorders>
              <w:top w:val="single" w:sz="4" w:space="0" w:color="auto"/>
              <w:left w:val="single" w:sz="4" w:space="0" w:color="auto"/>
              <w:bottom w:val="single" w:sz="4" w:space="0" w:color="auto"/>
              <w:right w:val="single" w:sz="4" w:space="0" w:color="auto"/>
            </w:tcBorders>
            <w:noWrap/>
            <w:vAlign w:val="bottom"/>
          </w:tcPr>
          <w:p w:rsidR="00230A71" w:rsidRPr="00D30E4D" w:rsidRDefault="00230A71" w:rsidP="006F465A">
            <w:pPr>
              <w:jc w:val="right"/>
              <w:rPr>
                <w:rFonts w:cs="Lucida Sans Unicode"/>
                <w:b/>
                <w:bCs/>
                <w:szCs w:val="20"/>
              </w:rPr>
            </w:pPr>
          </w:p>
        </w:tc>
      </w:tr>
    </w:tbl>
    <w:p w:rsidR="00230A71" w:rsidRPr="00725E7B" w:rsidRDefault="00230A71" w:rsidP="00230A71">
      <w:pPr>
        <w:spacing w:after="120"/>
        <w:rPr>
          <w:rFonts w:cs="Lucida Sans Unicode"/>
          <w:bCs/>
          <w:sz w:val="16"/>
          <w:szCs w:val="16"/>
        </w:rPr>
      </w:pPr>
      <w:r w:rsidRPr="00725E7B">
        <w:rPr>
          <w:rFonts w:cs="Lucida Sans Unicode"/>
          <w:bCs/>
          <w:sz w:val="16"/>
          <w:szCs w:val="16"/>
        </w:rPr>
        <w:t>Vorjahreszahlen angepasst</w:t>
      </w:r>
    </w:p>
    <w:p w:rsidR="00230A71" w:rsidRPr="007351D0" w:rsidRDefault="00230A71" w:rsidP="00230A71">
      <w:pPr>
        <w:spacing w:line="100" w:lineRule="exact"/>
        <w:outlineLvl w:val="0"/>
        <w:rPr>
          <w:rFonts w:cs="Lucida Sans Unicode"/>
          <w:b/>
          <w:bCs/>
          <w:sz w:val="20"/>
          <w:szCs w:val="20"/>
        </w:rPr>
      </w:pPr>
    </w:p>
    <w:p w:rsidR="00230A71" w:rsidRPr="007351D0" w:rsidRDefault="00230A71" w:rsidP="00230A71">
      <w:pPr>
        <w:spacing w:line="200" w:lineRule="exact"/>
        <w:rPr>
          <w:rFonts w:cs="Lucida Sans Unicode"/>
          <w:sz w:val="16"/>
          <w:szCs w:val="16"/>
        </w:rPr>
      </w:pPr>
    </w:p>
    <w:p w:rsidR="00230A71" w:rsidRPr="007351D0" w:rsidRDefault="00230A71" w:rsidP="00230A71">
      <w:pPr>
        <w:spacing w:line="300" w:lineRule="exact"/>
        <w:outlineLvl w:val="0"/>
        <w:rPr>
          <w:rFonts w:cs="Lucida Sans Unicode"/>
          <w:b/>
          <w:bCs/>
          <w:sz w:val="20"/>
          <w:szCs w:val="20"/>
        </w:rPr>
      </w:pPr>
      <w:r w:rsidRPr="007351D0">
        <w:rPr>
          <w:rFonts w:cs="Lucida Sans Unicode"/>
          <w:b/>
          <w:bCs/>
          <w:sz w:val="20"/>
          <w:szCs w:val="20"/>
        </w:rPr>
        <w:t>Entwicklung in den Segmenten</w:t>
      </w:r>
    </w:p>
    <w:p w:rsidR="00230A71" w:rsidRPr="007351D0" w:rsidRDefault="00230A71" w:rsidP="00230A71">
      <w:pPr>
        <w:spacing w:line="100" w:lineRule="exact"/>
        <w:outlineLvl w:val="0"/>
        <w:rPr>
          <w:rFonts w:cs="Lucida Sans Unicode"/>
          <w:b/>
          <w:bCs/>
          <w:sz w:val="20"/>
          <w:szCs w:val="20"/>
        </w:rPr>
      </w:pPr>
    </w:p>
    <w:tbl>
      <w:tblPr>
        <w:tblW w:w="10136" w:type="dxa"/>
        <w:tblInd w:w="55" w:type="dxa"/>
        <w:tblCellMar>
          <w:left w:w="70" w:type="dxa"/>
          <w:right w:w="70" w:type="dxa"/>
        </w:tblCellMar>
        <w:tblLook w:val="04A0" w:firstRow="1" w:lastRow="0" w:firstColumn="1" w:lastColumn="0" w:noHBand="0" w:noVBand="1"/>
      </w:tblPr>
      <w:tblGrid>
        <w:gridCol w:w="3134"/>
        <w:gridCol w:w="1214"/>
        <w:gridCol w:w="1229"/>
        <w:gridCol w:w="1125"/>
        <w:gridCol w:w="1114"/>
        <w:gridCol w:w="1198"/>
        <w:gridCol w:w="45"/>
        <w:gridCol w:w="1077"/>
      </w:tblGrid>
      <w:tr w:rsidR="00230A71" w:rsidRPr="007351D0" w:rsidTr="006F465A">
        <w:trPr>
          <w:trHeight w:val="271"/>
        </w:trPr>
        <w:tc>
          <w:tcPr>
            <w:tcW w:w="3134" w:type="dxa"/>
            <w:tcBorders>
              <w:top w:val="single" w:sz="4" w:space="0" w:color="auto"/>
              <w:left w:val="single" w:sz="4" w:space="0" w:color="auto"/>
              <w:bottom w:val="nil"/>
              <w:right w:val="single" w:sz="4" w:space="0" w:color="auto"/>
            </w:tcBorders>
            <w:noWrap/>
            <w:vAlign w:val="center"/>
            <w:hideMark/>
          </w:tcPr>
          <w:p w:rsidR="00230A71" w:rsidRPr="007351D0" w:rsidRDefault="00230A71" w:rsidP="006F465A">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000000"/>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nil"/>
              <w:bottom w:val="single" w:sz="4" w:space="0" w:color="auto"/>
              <w:right w:val="single" w:sz="4" w:space="0" w:color="auto"/>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Bereinigtes EBITDA</w:t>
            </w:r>
          </w:p>
        </w:tc>
      </w:tr>
      <w:tr w:rsidR="00230A71" w:rsidRPr="007351D0" w:rsidTr="006F465A">
        <w:trPr>
          <w:trHeight w:val="255"/>
        </w:trPr>
        <w:tc>
          <w:tcPr>
            <w:tcW w:w="3134" w:type="dxa"/>
            <w:tcBorders>
              <w:top w:val="nil"/>
              <w:left w:val="single" w:sz="4" w:space="0" w:color="auto"/>
              <w:bottom w:val="nil"/>
              <w:right w:val="single" w:sz="4" w:space="0" w:color="auto"/>
            </w:tcBorders>
            <w:noWrap/>
            <w:vAlign w:val="center"/>
          </w:tcPr>
          <w:p w:rsidR="00230A71" w:rsidRPr="007351D0" w:rsidRDefault="00230A71" w:rsidP="006F465A">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Q4/2014</w:t>
            </w:r>
          </w:p>
        </w:tc>
        <w:tc>
          <w:tcPr>
            <w:tcW w:w="1229"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Q</w:t>
            </w:r>
            <w:r>
              <w:rPr>
                <w:rFonts w:cs="Lucida Sans Unicode"/>
                <w:b/>
                <w:bCs/>
                <w:spacing w:val="-6"/>
                <w:szCs w:val="20"/>
              </w:rPr>
              <w:t>4/2013</w:t>
            </w:r>
          </w:p>
        </w:tc>
        <w:tc>
          <w:tcPr>
            <w:tcW w:w="1125"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c>
          <w:tcPr>
            <w:tcW w:w="11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Q4/2014</w:t>
            </w:r>
          </w:p>
        </w:tc>
        <w:tc>
          <w:tcPr>
            <w:tcW w:w="1243" w:type="dxa"/>
            <w:gridSpan w:val="2"/>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Q4</w:t>
            </w:r>
            <w:r w:rsidRPr="007351D0">
              <w:rPr>
                <w:rFonts w:cs="Lucida Sans Unicode"/>
                <w:b/>
                <w:bCs/>
                <w:spacing w:val="-6"/>
                <w:szCs w:val="20"/>
              </w:rPr>
              <w:t>/201</w:t>
            </w:r>
            <w:r>
              <w:rPr>
                <w:rFonts w:cs="Lucida Sans Unicode"/>
                <w:b/>
                <w:bCs/>
                <w:spacing w:val="-6"/>
                <w:szCs w:val="20"/>
              </w:rPr>
              <w:t>3</w:t>
            </w:r>
          </w:p>
        </w:tc>
        <w:tc>
          <w:tcPr>
            <w:tcW w:w="1077"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243" w:type="dxa"/>
            <w:gridSpan w:val="2"/>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077"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r>
      <w:tr w:rsidR="00230A71" w:rsidRPr="007351D0" w:rsidTr="006F465A">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Consumer, Health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1.137</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1.061</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BD4607" w:rsidP="006F465A">
            <w:pPr>
              <w:jc w:val="right"/>
              <w:rPr>
                <w:rFonts w:cs="Lucida Sans Unicode"/>
                <w:szCs w:val="20"/>
              </w:rPr>
            </w:pPr>
            <w:r>
              <w:rPr>
                <w:rFonts w:cs="Lucida Sans Unicode"/>
                <w:szCs w:val="20"/>
              </w:rPr>
              <w:t>+7</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272</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199</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+37</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Resource Efficiency</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774</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717</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+8</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150</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140</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+7</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Specialty Materials</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1.059</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1.059</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92</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95</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-3</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232</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229</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+1</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22</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26</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-15</w:t>
            </w:r>
          </w:p>
        </w:tc>
      </w:tr>
      <w:tr w:rsidR="00230A71" w:rsidRPr="007351D0" w:rsidTr="006F465A">
        <w:trPr>
          <w:trHeight w:val="300"/>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24</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23</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4A4613" w:rsidP="006F465A">
            <w:pPr>
              <w:jc w:val="right"/>
              <w:rPr>
                <w:rFonts w:cs="Lucida Sans Unicode"/>
                <w:szCs w:val="20"/>
              </w:rPr>
            </w:pPr>
            <w:r>
              <w:rPr>
                <w:rFonts w:cs="Lucida Sans Unicode"/>
                <w:szCs w:val="20"/>
              </w:rPr>
              <w:t>-</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-94</w:t>
            </w:r>
          </w:p>
        </w:tc>
        <w:tc>
          <w:tcPr>
            <w:tcW w:w="1243" w:type="dxa"/>
            <w:gridSpan w:val="2"/>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-85</w:t>
            </w:r>
          </w:p>
        </w:tc>
        <w:tc>
          <w:tcPr>
            <w:tcW w:w="1077" w:type="dxa"/>
            <w:tcBorders>
              <w:top w:val="nil"/>
              <w:left w:val="single" w:sz="4" w:space="0" w:color="auto"/>
              <w:bottom w:val="single" w:sz="4" w:space="0" w:color="auto"/>
              <w:right w:val="single" w:sz="4" w:space="0" w:color="auto"/>
            </w:tcBorders>
            <w:noWrap/>
            <w:vAlign w:val="bottom"/>
          </w:tcPr>
          <w:p w:rsidR="00230A71" w:rsidRPr="007351D0" w:rsidRDefault="007B59C5" w:rsidP="006F465A">
            <w:pPr>
              <w:jc w:val="right"/>
              <w:rPr>
                <w:rFonts w:cs="Lucida Sans Unicode"/>
                <w:szCs w:val="20"/>
              </w:rPr>
            </w:pPr>
            <w:r>
              <w:rPr>
                <w:rFonts w:cs="Lucida Sans Unicode"/>
                <w:szCs w:val="20"/>
              </w:rPr>
              <w:t>-</w:t>
            </w:r>
          </w:p>
        </w:tc>
      </w:tr>
      <w:tr w:rsidR="00230A71" w:rsidRPr="00870A91" w:rsidTr="006F465A">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870A91" w:rsidRDefault="00230A71" w:rsidP="006F465A">
            <w:pPr>
              <w:rPr>
                <w:rFonts w:cs="Lucida Sans Unicode"/>
                <w:b/>
                <w:bCs/>
                <w:szCs w:val="20"/>
              </w:rPr>
            </w:pPr>
            <w:r w:rsidRPr="00870A91">
              <w:rPr>
                <w:rFonts w:cs="Lucida Sans Unicode"/>
                <w:b/>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230A71" w:rsidP="006F465A">
            <w:pPr>
              <w:jc w:val="right"/>
              <w:rPr>
                <w:rFonts w:cs="Lucida Sans Unicode"/>
                <w:b/>
                <w:bCs/>
                <w:szCs w:val="20"/>
              </w:rPr>
            </w:pPr>
            <w:r>
              <w:rPr>
                <w:rFonts w:cs="Lucida Sans Unicode"/>
                <w:b/>
                <w:bCs/>
                <w:szCs w:val="20"/>
              </w:rPr>
              <w:t>3.226</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870A91" w:rsidRDefault="00230A71" w:rsidP="006F465A">
            <w:pPr>
              <w:jc w:val="right"/>
              <w:rPr>
                <w:rFonts w:cs="Lucida Sans Unicode"/>
                <w:b/>
                <w:bCs/>
                <w:szCs w:val="20"/>
              </w:rPr>
            </w:pPr>
            <w:r>
              <w:rPr>
                <w:rFonts w:cs="Lucida Sans Unicode"/>
                <w:b/>
                <w:bCs/>
                <w:szCs w:val="20"/>
              </w:rPr>
              <w:t>3.089</w:t>
            </w:r>
          </w:p>
        </w:tc>
        <w:tc>
          <w:tcPr>
            <w:tcW w:w="1125" w:type="dxa"/>
            <w:tcBorders>
              <w:top w:val="single" w:sz="4" w:space="0" w:color="auto"/>
              <w:left w:val="single" w:sz="4" w:space="0" w:color="auto"/>
              <w:bottom w:val="single" w:sz="4" w:space="0" w:color="auto"/>
              <w:right w:val="single" w:sz="4" w:space="0" w:color="auto"/>
            </w:tcBorders>
            <w:noWrap/>
            <w:vAlign w:val="bottom"/>
          </w:tcPr>
          <w:p w:rsidR="00230A71" w:rsidRPr="00870A91" w:rsidRDefault="007B59C5" w:rsidP="006F465A">
            <w:pPr>
              <w:jc w:val="right"/>
              <w:rPr>
                <w:rFonts w:cs="Lucida Sans Unicode"/>
                <w:b/>
                <w:bCs/>
                <w:szCs w:val="20"/>
              </w:rPr>
            </w:pPr>
            <w:r>
              <w:rPr>
                <w:rFonts w:cs="Lucida Sans Unicode"/>
                <w:b/>
                <w:bCs/>
                <w:szCs w:val="20"/>
              </w:rPr>
              <w:t>+4</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230A71" w:rsidP="006F465A">
            <w:pPr>
              <w:jc w:val="right"/>
              <w:rPr>
                <w:rFonts w:cs="Lucida Sans Unicode"/>
                <w:b/>
                <w:bCs/>
                <w:szCs w:val="20"/>
              </w:rPr>
            </w:pPr>
            <w:r>
              <w:rPr>
                <w:rFonts w:cs="Lucida Sans Unicode"/>
                <w:b/>
                <w:bCs/>
                <w:szCs w:val="20"/>
              </w:rPr>
              <w:t>442</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230A71" w:rsidRPr="00870A91" w:rsidRDefault="00230A71" w:rsidP="006F465A">
            <w:pPr>
              <w:jc w:val="right"/>
              <w:rPr>
                <w:rFonts w:cs="Lucida Sans Unicode"/>
                <w:b/>
                <w:bCs/>
                <w:szCs w:val="20"/>
              </w:rPr>
            </w:pPr>
            <w:r>
              <w:rPr>
                <w:rFonts w:cs="Lucida Sans Unicode"/>
                <w:b/>
                <w:bCs/>
                <w:szCs w:val="20"/>
              </w:rPr>
              <w:t>375</w:t>
            </w:r>
          </w:p>
        </w:tc>
        <w:tc>
          <w:tcPr>
            <w:tcW w:w="1077" w:type="dxa"/>
            <w:tcBorders>
              <w:top w:val="single" w:sz="4" w:space="0" w:color="auto"/>
              <w:left w:val="single" w:sz="4" w:space="0" w:color="auto"/>
              <w:bottom w:val="single" w:sz="4" w:space="0" w:color="auto"/>
              <w:right w:val="single" w:sz="4" w:space="0" w:color="auto"/>
            </w:tcBorders>
            <w:noWrap/>
            <w:vAlign w:val="bottom"/>
          </w:tcPr>
          <w:p w:rsidR="00230A71" w:rsidRPr="00870A91" w:rsidRDefault="007B59C5" w:rsidP="006F465A">
            <w:pPr>
              <w:jc w:val="right"/>
              <w:rPr>
                <w:rFonts w:cs="Lucida Sans Unicode"/>
                <w:b/>
                <w:bCs/>
                <w:szCs w:val="20"/>
              </w:rPr>
            </w:pPr>
            <w:r>
              <w:rPr>
                <w:rFonts w:cs="Lucida Sans Unicode"/>
                <w:b/>
                <w:bCs/>
                <w:szCs w:val="20"/>
              </w:rPr>
              <w:t>+18</w:t>
            </w:r>
          </w:p>
        </w:tc>
      </w:tr>
      <w:tr w:rsidR="00230A71" w:rsidRPr="007351D0" w:rsidTr="006F465A">
        <w:trPr>
          <w:trHeight w:val="255"/>
        </w:trPr>
        <w:tc>
          <w:tcPr>
            <w:tcW w:w="3134" w:type="dxa"/>
            <w:tcBorders>
              <w:top w:val="single" w:sz="4" w:space="0" w:color="auto"/>
              <w:left w:val="single" w:sz="4" w:space="0" w:color="auto"/>
              <w:bottom w:val="nil"/>
              <w:right w:val="single" w:sz="4" w:space="0" w:color="auto"/>
            </w:tcBorders>
            <w:noWrap/>
            <w:vAlign w:val="center"/>
            <w:hideMark/>
          </w:tcPr>
          <w:p w:rsidR="00230A71" w:rsidRPr="007351D0" w:rsidRDefault="00230A71" w:rsidP="006F465A">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auto"/>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single" w:sz="4" w:space="0" w:color="auto"/>
              <w:bottom w:val="single" w:sz="4" w:space="0" w:color="auto"/>
              <w:right w:val="single" w:sz="4" w:space="0" w:color="auto"/>
            </w:tcBorders>
            <w:noWrap/>
            <w:vAlign w:val="bottom"/>
            <w:hideMark/>
          </w:tcPr>
          <w:p w:rsidR="00230A71" w:rsidRPr="007351D0" w:rsidRDefault="00230A71" w:rsidP="006F465A">
            <w:pPr>
              <w:jc w:val="center"/>
              <w:rPr>
                <w:rFonts w:cs="Lucida Sans Unicode"/>
                <w:b/>
                <w:bCs/>
                <w:szCs w:val="20"/>
              </w:rPr>
            </w:pPr>
            <w:r w:rsidRPr="007351D0">
              <w:rPr>
                <w:rFonts w:cs="Lucida Sans Unicode"/>
                <w:b/>
                <w:bCs/>
                <w:szCs w:val="20"/>
              </w:rPr>
              <w:t>Bereinigtes EBITDA</w:t>
            </w:r>
          </w:p>
        </w:tc>
      </w:tr>
      <w:tr w:rsidR="00230A71" w:rsidRPr="007351D0" w:rsidTr="006F465A">
        <w:trPr>
          <w:trHeight w:val="255"/>
        </w:trPr>
        <w:tc>
          <w:tcPr>
            <w:tcW w:w="3134" w:type="dxa"/>
            <w:tcBorders>
              <w:top w:val="nil"/>
              <w:left w:val="single" w:sz="4" w:space="0" w:color="auto"/>
              <w:bottom w:val="nil"/>
              <w:right w:val="single" w:sz="4" w:space="0" w:color="auto"/>
            </w:tcBorders>
            <w:noWrap/>
            <w:vAlign w:val="center"/>
          </w:tcPr>
          <w:p w:rsidR="00230A71" w:rsidRPr="007351D0" w:rsidRDefault="00230A71" w:rsidP="006F465A">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2014</w:t>
            </w:r>
          </w:p>
        </w:tc>
        <w:tc>
          <w:tcPr>
            <w:tcW w:w="1229"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2013</w:t>
            </w:r>
          </w:p>
        </w:tc>
        <w:tc>
          <w:tcPr>
            <w:tcW w:w="1125"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c>
          <w:tcPr>
            <w:tcW w:w="1114" w:type="dxa"/>
            <w:tcBorders>
              <w:top w:val="single" w:sz="4" w:space="0" w:color="auto"/>
              <w:left w:val="nil"/>
              <w:bottom w:val="nil"/>
              <w:right w:val="single" w:sz="4" w:space="0" w:color="auto"/>
            </w:tcBorders>
            <w:shd w:val="clear" w:color="auto" w:fill="C0C0C0"/>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2014</w:t>
            </w:r>
          </w:p>
        </w:tc>
        <w:tc>
          <w:tcPr>
            <w:tcW w:w="1198" w:type="dxa"/>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r>
              <w:rPr>
                <w:rFonts w:cs="Lucida Sans Unicode"/>
                <w:b/>
                <w:bCs/>
                <w:spacing w:val="-6"/>
                <w:szCs w:val="20"/>
              </w:rPr>
              <w:t>2013</w:t>
            </w:r>
          </w:p>
        </w:tc>
        <w:tc>
          <w:tcPr>
            <w:tcW w:w="1122" w:type="dxa"/>
            <w:gridSpan w:val="2"/>
            <w:tcBorders>
              <w:top w:val="single" w:sz="4" w:space="0" w:color="auto"/>
              <w:left w:val="single" w:sz="4" w:space="0" w:color="auto"/>
              <w:bottom w:val="nil"/>
              <w:right w:val="single" w:sz="4" w:space="0" w:color="auto"/>
            </w:tcBorders>
            <w:noWrap/>
            <w:vAlign w:val="bottom"/>
            <w:hideMark/>
          </w:tcPr>
          <w:p w:rsidR="00230A71" w:rsidRPr="007351D0" w:rsidRDefault="00230A71" w:rsidP="006F465A">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98" w:type="dxa"/>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Mio. Euro</w:t>
            </w:r>
          </w:p>
        </w:tc>
        <w:tc>
          <w:tcPr>
            <w:tcW w:w="1122" w:type="dxa"/>
            <w:gridSpan w:val="2"/>
            <w:tcBorders>
              <w:top w:val="nil"/>
              <w:left w:val="single" w:sz="4" w:space="0" w:color="auto"/>
              <w:bottom w:val="single" w:sz="4" w:space="0" w:color="auto"/>
              <w:right w:val="single" w:sz="4" w:space="0" w:color="auto"/>
            </w:tcBorders>
            <w:vAlign w:val="center"/>
            <w:hideMark/>
          </w:tcPr>
          <w:p w:rsidR="00230A71" w:rsidRPr="007351D0" w:rsidRDefault="00230A71" w:rsidP="006F465A">
            <w:pPr>
              <w:jc w:val="center"/>
              <w:rPr>
                <w:rFonts w:cs="Lucida Sans Unicode"/>
                <w:b/>
                <w:bCs/>
                <w:spacing w:val="-6"/>
                <w:szCs w:val="20"/>
              </w:rPr>
            </w:pPr>
            <w:r w:rsidRPr="007351D0">
              <w:rPr>
                <w:rFonts w:cs="Lucida Sans Unicode"/>
                <w:b/>
                <w:bCs/>
                <w:spacing w:val="-6"/>
                <w:szCs w:val="20"/>
              </w:rPr>
              <w:t>in %</w:t>
            </w:r>
          </w:p>
        </w:tc>
      </w:tr>
      <w:tr w:rsidR="00230A71" w:rsidRPr="007351D0"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Consumer, Health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4.152</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4.171</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857</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922</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-7</w:t>
            </w:r>
          </w:p>
        </w:tc>
      </w:tr>
      <w:tr w:rsidR="00230A71" w:rsidRPr="007351D0"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3.222</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3.084</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+4</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703</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655</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+7</w:t>
            </w:r>
          </w:p>
        </w:tc>
      </w:tr>
      <w:tr w:rsidR="00230A71" w:rsidRPr="007351D0"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Specialty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4.569</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4.490</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444</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552</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w:t>
            </w:r>
            <w:r w:rsidR="007B59C5">
              <w:rPr>
                <w:rFonts w:cs="Lucida Sans Unicode"/>
                <w:szCs w:val="20"/>
              </w:rPr>
              <w:t>0</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895</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883</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+1</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180</w:t>
            </w:r>
          </w:p>
        </w:tc>
        <w:tc>
          <w:tcPr>
            <w:tcW w:w="1198"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183</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-2</w:t>
            </w:r>
          </w:p>
        </w:tc>
      </w:tr>
      <w:tr w:rsidR="00230A71" w:rsidRPr="007351D0" w:rsidTr="006F465A">
        <w:trPr>
          <w:trHeight w:val="255"/>
        </w:trPr>
        <w:tc>
          <w:tcPr>
            <w:tcW w:w="3134" w:type="dxa"/>
            <w:tcBorders>
              <w:top w:val="nil"/>
              <w:left w:val="single" w:sz="4" w:space="0" w:color="auto"/>
              <w:bottom w:val="single" w:sz="4" w:space="0" w:color="auto"/>
              <w:right w:val="single" w:sz="4" w:space="0" w:color="auto"/>
            </w:tcBorders>
            <w:noWrap/>
            <w:vAlign w:val="center"/>
            <w:hideMark/>
          </w:tcPr>
          <w:p w:rsidR="00230A71" w:rsidRPr="007351D0" w:rsidRDefault="00230A71" w:rsidP="006F465A">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79</w:t>
            </w:r>
          </w:p>
        </w:tc>
        <w:tc>
          <w:tcPr>
            <w:tcW w:w="1229"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80</w:t>
            </w:r>
          </w:p>
        </w:tc>
        <w:tc>
          <w:tcPr>
            <w:tcW w:w="1125" w:type="dxa"/>
            <w:tcBorders>
              <w:top w:val="nil"/>
              <w:left w:val="single" w:sz="4" w:space="0" w:color="auto"/>
              <w:bottom w:val="single" w:sz="4" w:space="0" w:color="auto"/>
              <w:right w:val="single" w:sz="4" w:space="0" w:color="auto"/>
            </w:tcBorders>
            <w:noWrap/>
            <w:vAlign w:val="bottom"/>
          </w:tcPr>
          <w:p w:rsidR="00230A71" w:rsidRPr="007351D0" w:rsidRDefault="004A4613" w:rsidP="006F465A">
            <w:pPr>
              <w:jc w:val="right"/>
              <w:rPr>
                <w:rFonts w:cs="Lucida Sans Unicode"/>
                <w:szCs w:val="20"/>
              </w:rPr>
            </w:pPr>
            <w:r>
              <w:rPr>
                <w:rFonts w:cs="Lucida Sans Unicode"/>
                <w:szCs w:val="20"/>
              </w:rPr>
              <w:t>-</w:t>
            </w:r>
          </w:p>
        </w:tc>
        <w:tc>
          <w:tcPr>
            <w:tcW w:w="1114" w:type="dxa"/>
            <w:tcBorders>
              <w:top w:val="nil"/>
              <w:left w:val="nil"/>
              <w:bottom w:val="single" w:sz="4" w:space="0" w:color="auto"/>
              <w:right w:val="single" w:sz="4" w:space="0" w:color="auto"/>
            </w:tcBorders>
            <w:shd w:val="clear" w:color="auto" w:fill="C0C0C0"/>
            <w:noWrap/>
            <w:vAlign w:val="center"/>
          </w:tcPr>
          <w:p w:rsidR="00230A71" w:rsidRPr="007351D0" w:rsidRDefault="00230A71" w:rsidP="006F465A">
            <w:pPr>
              <w:jc w:val="right"/>
              <w:rPr>
                <w:rFonts w:cs="Lucida Sans Unicode"/>
                <w:szCs w:val="20"/>
              </w:rPr>
            </w:pPr>
            <w:r>
              <w:rPr>
                <w:rFonts w:cs="Lucida Sans Unicode"/>
                <w:szCs w:val="20"/>
              </w:rPr>
              <w:t>-317</w:t>
            </w:r>
          </w:p>
        </w:tc>
        <w:tc>
          <w:tcPr>
            <w:tcW w:w="1198" w:type="dxa"/>
            <w:tcBorders>
              <w:top w:val="nil"/>
              <w:left w:val="single" w:sz="4" w:space="0" w:color="auto"/>
              <w:bottom w:val="single" w:sz="4" w:space="0" w:color="auto"/>
              <w:right w:val="single" w:sz="4" w:space="0" w:color="auto"/>
            </w:tcBorders>
            <w:noWrap/>
            <w:vAlign w:val="center"/>
          </w:tcPr>
          <w:p w:rsidR="00230A71" w:rsidRPr="007351D0" w:rsidRDefault="00230A71" w:rsidP="006F465A">
            <w:pPr>
              <w:jc w:val="right"/>
              <w:rPr>
                <w:rFonts w:cs="Lucida Sans Unicode"/>
                <w:szCs w:val="20"/>
              </w:rPr>
            </w:pPr>
            <w:r>
              <w:rPr>
                <w:rFonts w:cs="Lucida Sans Unicode"/>
                <w:szCs w:val="20"/>
              </w:rPr>
              <w:t>-317</w:t>
            </w:r>
          </w:p>
        </w:tc>
        <w:tc>
          <w:tcPr>
            <w:tcW w:w="1122" w:type="dxa"/>
            <w:gridSpan w:val="2"/>
            <w:tcBorders>
              <w:top w:val="nil"/>
              <w:left w:val="single" w:sz="4" w:space="0" w:color="auto"/>
              <w:bottom w:val="single" w:sz="4" w:space="0" w:color="auto"/>
              <w:right w:val="single" w:sz="4" w:space="0" w:color="auto"/>
            </w:tcBorders>
            <w:noWrap/>
            <w:vAlign w:val="bottom"/>
          </w:tcPr>
          <w:p w:rsidR="00230A71" w:rsidRPr="007351D0" w:rsidRDefault="00230A71" w:rsidP="006F465A">
            <w:pPr>
              <w:jc w:val="right"/>
              <w:rPr>
                <w:rFonts w:cs="Lucida Sans Unicode"/>
                <w:szCs w:val="20"/>
              </w:rPr>
            </w:pPr>
            <w:r>
              <w:rPr>
                <w:rFonts w:cs="Lucida Sans Unicode"/>
                <w:szCs w:val="20"/>
              </w:rPr>
              <w:t>-</w:t>
            </w:r>
          </w:p>
        </w:tc>
      </w:tr>
      <w:tr w:rsidR="00230A71" w:rsidRPr="00870A91" w:rsidTr="006F465A">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230A71" w:rsidRPr="00870A91" w:rsidRDefault="00230A71" w:rsidP="006F465A">
            <w:pPr>
              <w:rPr>
                <w:rFonts w:cs="Lucida Sans Unicode"/>
                <w:b/>
                <w:bCs/>
                <w:szCs w:val="20"/>
              </w:rPr>
            </w:pPr>
            <w:r w:rsidRPr="00870A91">
              <w:rPr>
                <w:rFonts w:cs="Lucida Sans Unicode"/>
                <w:b/>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230A71" w:rsidP="006F465A">
            <w:pPr>
              <w:jc w:val="right"/>
              <w:rPr>
                <w:rFonts w:cs="Lucida Sans Unicode"/>
                <w:b/>
                <w:bCs/>
                <w:szCs w:val="20"/>
              </w:rPr>
            </w:pPr>
            <w:r>
              <w:rPr>
                <w:rFonts w:cs="Lucida Sans Unicode"/>
                <w:b/>
                <w:bCs/>
                <w:szCs w:val="20"/>
              </w:rPr>
              <w:t>12.917</w:t>
            </w:r>
          </w:p>
        </w:tc>
        <w:tc>
          <w:tcPr>
            <w:tcW w:w="1229" w:type="dxa"/>
            <w:tcBorders>
              <w:top w:val="single" w:sz="4" w:space="0" w:color="auto"/>
              <w:left w:val="single" w:sz="4" w:space="0" w:color="auto"/>
              <w:bottom w:val="single" w:sz="4" w:space="0" w:color="auto"/>
              <w:right w:val="single" w:sz="4" w:space="0" w:color="auto"/>
            </w:tcBorders>
            <w:noWrap/>
            <w:vAlign w:val="center"/>
          </w:tcPr>
          <w:p w:rsidR="00230A71" w:rsidRPr="00870A91" w:rsidRDefault="00230A71" w:rsidP="006F465A">
            <w:pPr>
              <w:jc w:val="right"/>
              <w:rPr>
                <w:rFonts w:cs="Lucida Sans Unicode"/>
                <w:b/>
                <w:bCs/>
                <w:szCs w:val="20"/>
              </w:rPr>
            </w:pPr>
            <w:r>
              <w:rPr>
                <w:rFonts w:cs="Lucida Sans Unicode"/>
                <w:b/>
                <w:bCs/>
                <w:szCs w:val="20"/>
              </w:rPr>
              <w:t>12.708</w:t>
            </w:r>
          </w:p>
        </w:tc>
        <w:tc>
          <w:tcPr>
            <w:tcW w:w="1125" w:type="dxa"/>
            <w:tcBorders>
              <w:top w:val="single" w:sz="4" w:space="0" w:color="auto"/>
              <w:left w:val="single" w:sz="4" w:space="0" w:color="auto"/>
              <w:bottom w:val="single" w:sz="4" w:space="0" w:color="auto"/>
              <w:right w:val="single" w:sz="4" w:space="0" w:color="auto"/>
            </w:tcBorders>
            <w:noWrap/>
            <w:vAlign w:val="bottom"/>
          </w:tcPr>
          <w:p w:rsidR="00230A71" w:rsidRPr="00870A91" w:rsidRDefault="00230A71" w:rsidP="006F465A">
            <w:pPr>
              <w:jc w:val="right"/>
              <w:rPr>
                <w:rFonts w:cs="Lucida Sans Unicode"/>
                <w:b/>
                <w:bCs/>
                <w:szCs w:val="20"/>
              </w:rPr>
            </w:pPr>
            <w:r>
              <w:rPr>
                <w:rFonts w:cs="Lucida Sans Unicode"/>
                <w:b/>
                <w:bCs/>
                <w:szCs w:val="20"/>
              </w:rPr>
              <w:t>+2</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230A71" w:rsidRPr="00870A91" w:rsidRDefault="00230A71" w:rsidP="006F465A">
            <w:pPr>
              <w:jc w:val="right"/>
              <w:rPr>
                <w:rFonts w:cs="Lucida Sans Unicode"/>
                <w:b/>
                <w:bCs/>
                <w:szCs w:val="20"/>
              </w:rPr>
            </w:pPr>
            <w:r>
              <w:rPr>
                <w:rFonts w:cs="Lucida Sans Unicode"/>
                <w:b/>
                <w:bCs/>
                <w:szCs w:val="20"/>
              </w:rPr>
              <w:t>1.867</w:t>
            </w:r>
          </w:p>
        </w:tc>
        <w:tc>
          <w:tcPr>
            <w:tcW w:w="1198" w:type="dxa"/>
            <w:tcBorders>
              <w:top w:val="single" w:sz="4" w:space="0" w:color="auto"/>
              <w:left w:val="single" w:sz="4" w:space="0" w:color="auto"/>
              <w:bottom w:val="single" w:sz="4" w:space="0" w:color="auto"/>
              <w:right w:val="single" w:sz="4" w:space="0" w:color="auto"/>
            </w:tcBorders>
            <w:noWrap/>
            <w:vAlign w:val="center"/>
          </w:tcPr>
          <w:p w:rsidR="00230A71" w:rsidRPr="00870A91" w:rsidRDefault="00230A71" w:rsidP="006F465A">
            <w:pPr>
              <w:jc w:val="right"/>
              <w:rPr>
                <w:rFonts w:cs="Lucida Sans Unicode"/>
                <w:b/>
                <w:bCs/>
                <w:szCs w:val="20"/>
              </w:rPr>
            </w:pPr>
            <w:r>
              <w:rPr>
                <w:rFonts w:cs="Lucida Sans Unicode"/>
                <w:b/>
                <w:bCs/>
                <w:szCs w:val="20"/>
              </w:rPr>
              <w:t>1.995</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230A71" w:rsidRPr="00870A91" w:rsidRDefault="00230A71" w:rsidP="006F465A">
            <w:pPr>
              <w:jc w:val="right"/>
              <w:rPr>
                <w:rFonts w:cs="Lucida Sans Unicode"/>
                <w:b/>
                <w:bCs/>
                <w:szCs w:val="20"/>
              </w:rPr>
            </w:pPr>
            <w:r>
              <w:rPr>
                <w:rFonts w:cs="Lucida Sans Unicode"/>
                <w:b/>
                <w:bCs/>
                <w:szCs w:val="20"/>
              </w:rPr>
              <w:t>-6</w:t>
            </w:r>
          </w:p>
        </w:tc>
      </w:tr>
    </w:tbl>
    <w:p w:rsidR="00230A71" w:rsidRPr="00725E7B" w:rsidRDefault="00230A71" w:rsidP="00230A71">
      <w:pPr>
        <w:jc w:val="both"/>
        <w:rPr>
          <w:rFonts w:cs="Lucida Sans Unicode"/>
          <w:sz w:val="16"/>
          <w:szCs w:val="16"/>
        </w:rPr>
      </w:pPr>
      <w:r w:rsidRPr="00725E7B">
        <w:rPr>
          <w:rFonts w:cs="Lucida Sans Unicode"/>
          <w:sz w:val="16"/>
          <w:szCs w:val="16"/>
        </w:rPr>
        <w:t>Vorjahreszahlen angepasst</w:t>
      </w:r>
    </w:p>
    <w:p w:rsidR="00230A71" w:rsidRDefault="00230A71" w:rsidP="00230A71">
      <w:pPr>
        <w:jc w:val="both"/>
        <w:outlineLvl w:val="0"/>
        <w:rPr>
          <w:rFonts w:cs="Lucida Sans Unicode"/>
          <w:b/>
          <w:sz w:val="20"/>
          <w:szCs w:val="20"/>
        </w:rPr>
      </w:pPr>
    </w:p>
    <w:p w:rsidR="00BF2904" w:rsidRDefault="00BF2904" w:rsidP="00230A71">
      <w:pPr>
        <w:jc w:val="both"/>
        <w:outlineLvl w:val="0"/>
        <w:rPr>
          <w:rFonts w:cs="Lucida Sans Unicode"/>
          <w:b/>
          <w:sz w:val="20"/>
          <w:szCs w:val="20"/>
        </w:rPr>
      </w:pPr>
    </w:p>
    <w:p w:rsidR="00BF2904" w:rsidRDefault="00BF2904" w:rsidP="00230A71">
      <w:pPr>
        <w:jc w:val="both"/>
        <w:outlineLvl w:val="0"/>
        <w:rPr>
          <w:rFonts w:cs="Lucida Sans Unicode"/>
          <w:b/>
          <w:sz w:val="20"/>
          <w:szCs w:val="20"/>
        </w:rPr>
      </w:pPr>
    </w:p>
    <w:p w:rsidR="00BF2904" w:rsidRPr="007351D0" w:rsidRDefault="00BF2904" w:rsidP="00230A71">
      <w:pPr>
        <w:jc w:val="both"/>
        <w:outlineLvl w:val="0"/>
        <w:rPr>
          <w:rFonts w:cs="Lucida Sans Unicode"/>
          <w:b/>
          <w:sz w:val="20"/>
          <w:szCs w:val="20"/>
        </w:rPr>
      </w:pPr>
    </w:p>
    <w:p w:rsidR="00230A71" w:rsidRDefault="00230A71" w:rsidP="00230A71">
      <w:pPr>
        <w:spacing w:line="300" w:lineRule="exact"/>
        <w:rPr>
          <w:rFonts w:cs="Lucida Sans Unicode"/>
          <w:b/>
          <w:bCs/>
          <w:sz w:val="20"/>
          <w:szCs w:val="20"/>
        </w:rPr>
      </w:pPr>
    </w:p>
    <w:p w:rsidR="00230A71" w:rsidRPr="007351D0" w:rsidRDefault="00230A71" w:rsidP="00230A71">
      <w:pPr>
        <w:jc w:val="both"/>
        <w:outlineLvl w:val="0"/>
        <w:rPr>
          <w:rFonts w:cs="Lucida Sans Unicode"/>
          <w:b/>
          <w:sz w:val="20"/>
          <w:szCs w:val="20"/>
        </w:rPr>
      </w:pPr>
      <w:r w:rsidRPr="007351D0">
        <w:rPr>
          <w:rFonts w:cs="Lucida Sans Unicode"/>
          <w:b/>
          <w:sz w:val="20"/>
          <w:szCs w:val="20"/>
        </w:rPr>
        <w:lastRenderedPageBreak/>
        <w:t>Mitarbeiter nach Segmenten</w:t>
      </w:r>
    </w:p>
    <w:p w:rsidR="00230A71" w:rsidRPr="007351D0" w:rsidRDefault="00230A71" w:rsidP="00230A71">
      <w:pPr>
        <w:spacing w:line="100" w:lineRule="exact"/>
        <w:jc w:val="both"/>
        <w:outlineLvl w:val="0"/>
        <w:rPr>
          <w:sz w:val="20"/>
          <w:szCs w:val="20"/>
        </w:rPr>
      </w:pPr>
    </w:p>
    <w:tbl>
      <w:tblPr>
        <w:tblStyle w:val="Tabellenraster"/>
        <w:tblW w:w="8123" w:type="dxa"/>
        <w:tblInd w:w="108" w:type="dxa"/>
        <w:tblLook w:val="01E0" w:firstRow="1" w:lastRow="1" w:firstColumn="1" w:lastColumn="1" w:noHBand="0" w:noVBand="0"/>
      </w:tblPr>
      <w:tblGrid>
        <w:gridCol w:w="4594"/>
        <w:gridCol w:w="1722"/>
        <w:gridCol w:w="1807"/>
      </w:tblGrid>
      <w:tr w:rsidR="00230A71" w:rsidRPr="007351D0" w:rsidTr="006F465A">
        <w:tc>
          <w:tcPr>
            <w:tcW w:w="4594"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both"/>
              <w:rPr>
                <w:rFonts w:cs="Lucida Sans Unicode"/>
              </w:rPr>
            </w:pP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230A71" w:rsidRPr="00DC677E" w:rsidRDefault="00230A71" w:rsidP="006F465A">
            <w:pPr>
              <w:jc w:val="right"/>
              <w:rPr>
                <w:rFonts w:cs="Lucida Sans Unicode"/>
                <w:b/>
              </w:rPr>
            </w:pPr>
            <w:r>
              <w:rPr>
                <w:rFonts w:cs="Lucida Sans Unicode"/>
                <w:b/>
                <w:lang w:val="en-GB"/>
              </w:rPr>
              <w:t>31.12.2014</w:t>
            </w:r>
          </w:p>
        </w:tc>
        <w:tc>
          <w:tcPr>
            <w:tcW w:w="1807" w:type="dxa"/>
            <w:tcBorders>
              <w:top w:val="single" w:sz="4" w:space="0" w:color="auto"/>
              <w:left w:val="single" w:sz="4" w:space="0" w:color="auto"/>
              <w:bottom w:val="single" w:sz="4" w:space="0" w:color="auto"/>
              <w:right w:val="single" w:sz="4" w:space="0" w:color="auto"/>
            </w:tcBorders>
            <w:hideMark/>
          </w:tcPr>
          <w:p w:rsidR="00230A71" w:rsidRPr="00DC677E" w:rsidRDefault="00230A71" w:rsidP="006F465A">
            <w:pPr>
              <w:jc w:val="right"/>
              <w:rPr>
                <w:rFonts w:cs="Lucida Sans Unicode"/>
                <w:b/>
                <w:lang w:val="en-GB"/>
              </w:rPr>
            </w:pPr>
            <w:r>
              <w:rPr>
                <w:rFonts w:cs="Lucida Sans Unicode"/>
                <w:b/>
                <w:szCs w:val="16"/>
              </w:rPr>
              <w:t>31.12.2013</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lang w:val="en-GB"/>
              </w:rPr>
            </w:pPr>
            <w:r w:rsidRPr="007351D0">
              <w:rPr>
                <w:rFonts w:cs="Lucida Sans Unicode"/>
                <w:lang w:val="en-GB"/>
              </w:rPr>
              <w:t>Consumer, Health &amp; Nutrition</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lang w:val="en-GB"/>
              </w:rPr>
            </w:pPr>
            <w:r>
              <w:rPr>
                <w:rFonts w:cs="Lucida Sans Unicode"/>
                <w:lang w:val="en-GB"/>
              </w:rPr>
              <w:t>7.090</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lang w:val="en-GB"/>
              </w:rPr>
            </w:pPr>
            <w:r>
              <w:rPr>
                <w:rFonts w:cs="Lucida Sans Unicode"/>
                <w:lang w:val="en-GB"/>
              </w:rPr>
              <w:t>7.150</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lang w:val="en-GB"/>
              </w:rPr>
            </w:pPr>
            <w:r w:rsidRPr="007351D0">
              <w:rPr>
                <w:rFonts w:cs="Lucida Sans Unicode"/>
                <w:lang w:val="en-GB"/>
              </w:rPr>
              <w:t>Resource Efficiency</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lang w:val="en-GB"/>
              </w:rPr>
            </w:pPr>
            <w:r>
              <w:rPr>
                <w:rFonts w:cs="Lucida Sans Unicode"/>
                <w:lang w:val="en-GB"/>
              </w:rPr>
              <w:t>5.804</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lang w:val="en-GB"/>
              </w:rPr>
            </w:pPr>
            <w:r>
              <w:rPr>
                <w:rFonts w:cs="Lucida Sans Unicode"/>
                <w:lang w:val="en-GB"/>
              </w:rPr>
              <w:t>5.854</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lang w:val="en-GB"/>
              </w:rPr>
            </w:pPr>
            <w:r w:rsidRPr="007351D0">
              <w:rPr>
                <w:rFonts w:cs="Lucida Sans Unicode"/>
                <w:lang w:val="en-GB"/>
              </w:rPr>
              <w:t>Specialty Materials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lang w:val="en-GB"/>
              </w:rPr>
            </w:pPr>
            <w:r>
              <w:rPr>
                <w:rFonts w:cs="Lucida Sans Unicode"/>
                <w:lang w:val="en-GB"/>
              </w:rPr>
              <w:t>6.236</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lang w:val="en-GB"/>
              </w:rPr>
            </w:pPr>
            <w:r>
              <w:rPr>
                <w:rFonts w:cs="Lucida Sans Unicode"/>
                <w:lang w:val="en-GB"/>
              </w:rPr>
              <w:t>6.268</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lang w:val="en-GB"/>
              </w:rPr>
            </w:pPr>
            <w:r w:rsidRPr="007351D0">
              <w:rPr>
                <w:rFonts w:cs="Lucida Sans Unicode"/>
                <w:lang w:val="en-GB"/>
              </w:rPr>
              <w:t>Services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lang w:val="en-GB"/>
              </w:rPr>
            </w:pPr>
            <w:r>
              <w:rPr>
                <w:rFonts w:cs="Lucida Sans Unicode"/>
                <w:lang w:val="en-GB"/>
              </w:rPr>
              <w:t>12.710</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lang w:val="en-GB"/>
              </w:rPr>
            </w:pPr>
            <w:r>
              <w:rPr>
                <w:rFonts w:cs="Lucida Sans Unicode"/>
                <w:lang w:val="en-GB"/>
              </w:rPr>
              <w:t>12.192</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lang w:val="en-GB"/>
              </w:rPr>
            </w:pPr>
            <w:proofErr w:type="spellStart"/>
            <w:r w:rsidRPr="007351D0">
              <w:rPr>
                <w:rFonts w:cs="Lucida Sans Unicode"/>
                <w:lang w:val="en-GB"/>
              </w:rPr>
              <w:t>Sonstige</w:t>
            </w:r>
            <w:proofErr w:type="spellEnd"/>
            <w:r w:rsidRPr="007351D0">
              <w:rPr>
                <w:rFonts w:cs="Lucida Sans Unicode"/>
                <w:lang w:val="en-GB"/>
              </w:rPr>
              <w:t xml:space="preserve"> </w:t>
            </w:r>
            <w:proofErr w:type="spellStart"/>
            <w:r w:rsidRPr="007351D0">
              <w:rPr>
                <w:rFonts w:cs="Lucida Sans Unicode"/>
                <w:lang w:val="en-GB"/>
              </w:rPr>
              <w:t>Aktivitäten</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lang w:val="en-GB"/>
              </w:rPr>
            </w:pPr>
            <w:r>
              <w:rPr>
                <w:rFonts w:cs="Lucida Sans Unicode"/>
                <w:lang w:val="en-GB"/>
              </w:rPr>
              <w:t>1.401</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lang w:val="en-GB"/>
              </w:rPr>
            </w:pPr>
            <w:r>
              <w:rPr>
                <w:rFonts w:cs="Lucida Sans Unicode"/>
                <w:lang w:val="en-GB"/>
              </w:rPr>
              <w:t>1.531</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b/>
                <w:lang w:val="en-GB"/>
              </w:rPr>
            </w:pPr>
            <w:proofErr w:type="spellStart"/>
            <w:r w:rsidRPr="007351D0">
              <w:rPr>
                <w:rFonts w:cs="Lucida Sans Unicode"/>
                <w:b/>
                <w:lang w:val="en-GB"/>
              </w:rPr>
              <w:t>Fortgeführte</w:t>
            </w:r>
            <w:proofErr w:type="spellEnd"/>
            <w:r w:rsidRPr="007351D0">
              <w:rPr>
                <w:rFonts w:cs="Lucida Sans Unicode"/>
                <w:b/>
                <w:lang w:val="en-GB"/>
              </w:rPr>
              <w:t xml:space="preserve"> </w:t>
            </w:r>
            <w:proofErr w:type="spellStart"/>
            <w:r w:rsidRPr="007351D0">
              <w:rPr>
                <w:rFonts w:cs="Lucida Sans Unicode"/>
                <w:b/>
                <w:lang w:val="en-GB"/>
              </w:rPr>
              <w:t>Aktivitäten</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b/>
                <w:lang w:val="en-GB"/>
              </w:rPr>
            </w:pPr>
            <w:r>
              <w:rPr>
                <w:rFonts w:cs="Lucida Sans Unicode"/>
                <w:b/>
                <w:lang w:val="en-GB"/>
              </w:rPr>
              <w:t>33.241</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b/>
                <w:lang w:val="en-GB"/>
              </w:rPr>
            </w:pPr>
            <w:r>
              <w:rPr>
                <w:rFonts w:cs="Lucida Sans Unicode"/>
                <w:b/>
                <w:lang w:val="en-GB"/>
              </w:rPr>
              <w:t>32.995</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rPr>
            </w:pPr>
            <w:r w:rsidRPr="007351D0">
              <w:rPr>
                <w:rFonts w:cs="Lucida Sans Unicode"/>
              </w:rPr>
              <w:t xml:space="preserve">Nicht fortgeführte Aktivitäten </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rPr>
            </w:pPr>
            <w:r>
              <w:rPr>
                <w:rFonts w:cs="Lucida Sans Unicode"/>
              </w:rPr>
              <w:t>171</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rPr>
            </w:pPr>
            <w:r>
              <w:rPr>
                <w:rFonts w:cs="Lucida Sans Unicode"/>
              </w:rPr>
              <w:t>655</w:t>
            </w:r>
          </w:p>
        </w:tc>
      </w:tr>
      <w:tr w:rsidR="00230A71" w:rsidRPr="007351D0" w:rsidTr="006F465A">
        <w:tc>
          <w:tcPr>
            <w:tcW w:w="4594" w:type="dxa"/>
            <w:tcBorders>
              <w:top w:val="single" w:sz="4" w:space="0" w:color="auto"/>
              <w:left w:val="single" w:sz="4" w:space="0" w:color="auto"/>
              <w:bottom w:val="single" w:sz="4" w:space="0" w:color="auto"/>
              <w:right w:val="single" w:sz="4" w:space="0" w:color="auto"/>
            </w:tcBorders>
            <w:hideMark/>
          </w:tcPr>
          <w:p w:rsidR="00230A71" w:rsidRPr="007351D0" w:rsidRDefault="00230A71" w:rsidP="006F465A">
            <w:pPr>
              <w:jc w:val="both"/>
              <w:rPr>
                <w:rFonts w:cs="Lucida Sans Unicode"/>
                <w:b/>
              </w:rPr>
            </w:pPr>
            <w:r w:rsidRPr="007351D0">
              <w:rPr>
                <w:rFonts w:cs="Lucida Sans Unicode"/>
                <w:b/>
              </w:rPr>
              <w:t>Evonik</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230A71" w:rsidRPr="007351D0" w:rsidRDefault="00230A71" w:rsidP="006F465A">
            <w:pPr>
              <w:jc w:val="right"/>
              <w:rPr>
                <w:rFonts w:cs="Lucida Sans Unicode"/>
                <w:b/>
              </w:rPr>
            </w:pPr>
            <w:r>
              <w:rPr>
                <w:rFonts w:cs="Lucida Sans Unicode"/>
                <w:b/>
              </w:rPr>
              <w:t>33.412</w:t>
            </w:r>
          </w:p>
        </w:tc>
        <w:tc>
          <w:tcPr>
            <w:tcW w:w="1807" w:type="dxa"/>
            <w:tcBorders>
              <w:top w:val="single" w:sz="4" w:space="0" w:color="auto"/>
              <w:left w:val="single" w:sz="4" w:space="0" w:color="auto"/>
              <w:bottom w:val="single" w:sz="4" w:space="0" w:color="auto"/>
              <w:right w:val="single" w:sz="4" w:space="0" w:color="auto"/>
            </w:tcBorders>
          </w:tcPr>
          <w:p w:rsidR="00230A71" w:rsidRPr="007351D0" w:rsidRDefault="00230A71" w:rsidP="006F465A">
            <w:pPr>
              <w:jc w:val="right"/>
              <w:rPr>
                <w:rFonts w:cs="Lucida Sans Unicode"/>
                <w:b/>
              </w:rPr>
            </w:pPr>
            <w:r>
              <w:rPr>
                <w:rFonts w:cs="Lucida Sans Unicode"/>
                <w:b/>
              </w:rPr>
              <w:t>33.650</w:t>
            </w:r>
          </w:p>
        </w:tc>
      </w:tr>
    </w:tbl>
    <w:p w:rsidR="00230A71" w:rsidRPr="00725E7B" w:rsidRDefault="00230A71" w:rsidP="00230A71">
      <w:pPr>
        <w:jc w:val="both"/>
        <w:rPr>
          <w:rFonts w:cs="Lucida Sans Unicode"/>
          <w:sz w:val="16"/>
          <w:szCs w:val="16"/>
        </w:rPr>
      </w:pPr>
    </w:p>
    <w:p w:rsidR="00A8556D" w:rsidRDefault="00A8556D" w:rsidP="00A8556D">
      <w:pPr>
        <w:spacing w:line="300" w:lineRule="exact"/>
        <w:outlineLvl w:val="0"/>
        <w:rPr>
          <w:rFonts w:cs="Lucida Sans Unicode"/>
          <w:b/>
          <w:bCs/>
          <w:sz w:val="20"/>
          <w:szCs w:val="20"/>
        </w:rPr>
      </w:pPr>
    </w:p>
    <w:p w:rsidR="00230A71" w:rsidRDefault="00230A71" w:rsidP="00A8556D">
      <w:pPr>
        <w:spacing w:line="300" w:lineRule="exact"/>
        <w:outlineLvl w:val="0"/>
        <w:rPr>
          <w:rFonts w:cs="Lucida Sans Unicode"/>
          <w:b/>
          <w:bCs/>
          <w:sz w:val="20"/>
          <w:szCs w:val="20"/>
        </w:rPr>
      </w:pPr>
    </w:p>
    <w:p w:rsidR="009D734A" w:rsidRDefault="009D734A" w:rsidP="009D734A">
      <w:pPr>
        <w:autoSpaceDE w:val="0"/>
        <w:autoSpaceDN w:val="0"/>
        <w:adjustRightInd w:val="0"/>
        <w:spacing w:line="220" w:lineRule="exact"/>
        <w:jc w:val="both"/>
        <w:rPr>
          <w:rFonts w:cs="Lucida Sans Unicode"/>
          <w:b/>
          <w:szCs w:val="18"/>
        </w:rPr>
      </w:pPr>
    </w:p>
    <w:p w:rsidR="009D734A" w:rsidRDefault="009D734A">
      <w:pPr>
        <w:spacing w:line="240" w:lineRule="auto"/>
        <w:ind w:left="0" w:right="0"/>
        <w:rPr>
          <w:rFonts w:cs="Lucida Sans Unicode"/>
          <w:b/>
          <w:bCs/>
          <w:szCs w:val="18"/>
        </w:rPr>
      </w:pPr>
    </w:p>
    <w:p w:rsidR="009D734A" w:rsidRDefault="009D734A" w:rsidP="009D734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9D734A" w:rsidRPr="009D734A" w:rsidRDefault="009D734A" w:rsidP="009D734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Default="009D734A" w:rsidP="009D734A">
      <w:pPr>
        <w:autoSpaceDE w:val="0"/>
        <w:autoSpaceDN w:val="0"/>
        <w:adjustRightInd w:val="0"/>
        <w:spacing w:line="220" w:lineRule="exact"/>
        <w:ind w:left="0" w:right="0"/>
        <w:rPr>
          <w:rFonts w:cs="Lucida Sans Unicode"/>
          <w:position w:val="0"/>
          <w:szCs w:val="18"/>
        </w:rPr>
      </w:pPr>
    </w:p>
    <w:p w:rsidR="009D734A" w:rsidRDefault="009D734A" w:rsidP="009D734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sidR="006D08FD">
        <w:rPr>
          <w:rFonts w:cs="Lucida Sans Unicode"/>
          <w:position w:val="0"/>
          <w:szCs w:val="18"/>
        </w:rPr>
        <w:t>Mehr als</w:t>
      </w:r>
      <w:r w:rsidRPr="00A8556D">
        <w:rPr>
          <w:rFonts w:cs="Lucida Sans Unicode"/>
          <w:position w:val="0"/>
          <w:szCs w:val="18"/>
        </w:rPr>
        <w:t xml:space="preserve"> 33.</w:t>
      </w:r>
      <w:r w:rsidR="00FA1092">
        <w:rPr>
          <w:rFonts w:cs="Lucida Sans Unicode"/>
          <w:position w:val="0"/>
          <w:szCs w:val="18"/>
        </w:rPr>
        <w:t>0</w:t>
      </w:r>
      <w:r w:rsidRPr="00A8556D">
        <w:rPr>
          <w:rFonts w:cs="Lucida Sans Unicode"/>
          <w:position w:val="0"/>
          <w:szCs w:val="18"/>
        </w:rPr>
        <w:t>00 Mitarbeiter erwirtschafteten im Geschäftsjahr</w:t>
      </w:r>
      <w:r w:rsidR="00CA2756">
        <w:rPr>
          <w:rFonts w:cs="Lucida Sans Unicode"/>
          <w:position w:val="0"/>
          <w:szCs w:val="18"/>
        </w:rPr>
        <w:t xml:space="preserve"> 201</w:t>
      </w:r>
      <w:r w:rsidR="00FA1092">
        <w:rPr>
          <w:rFonts w:cs="Lucida Sans Unicode"/>
          <w:position w:val="0"/>
          <w:szCs w:val="18"/>
        </w:rPr>
        <w:t>4</w:t>
      </w:r>
      <w:r w:rsidR="00CA2756">
        <w:rPr>
          <w:rFonts w:cs="Lucida Sans Unicode"/>
          <w:position w:val="0"/>
          <w:szCs w:val="18"/>
        </w:rPr>
        <w:t xml:space="preserve"> einen Umsatz von rund 12,9</w:t>
      </w:r>
      <w:r w:rsidRPr="00A8556D">
        <w:rPr>
          <w:rFonts w:cs="Lucida Sans Unicode"/>
          <w:position w:val="0"/>
          <w:szCs w:val="18"/>
        </w:rPr>
        <w:t xml:space="preserve"> Milliarden € und ein operatives Ergebnis (</w:t>
      </w:r>
      <w:r w:rsidR="00CA2756">
        <w:rPr>
          <w:rFonts w:cs="Lucida Sans Unicode"/>
          <w:position w:val="0"/>
          <w:szCs w:val="18"/>
        </w:rPr>
        <w:t xml:space="preserve">bereinigtes EBITDA) von rund </w:t>
      </w:r>
      <w:r w:rsidR="00FA1092">
        <w:rPr>
          <w:rFonts w:cs="Lucida Sans Unicode"/>
          <w:position w:val="0"/>
          <w:szCs w:val="18"/>
        </w:rPr>
        <w:t>1,9</w:t>
      </w:r>
      <w:r w:rsidRPr="00A8556D">
        <w:rPr>
          <w:rFonts w:cs="Lucida Sans Unicode"/>
          <w:position w:val="0"/>
          <w:szCs w:val="18"/>
        </w:rPr>
        <w:t xml:space="preserve"> Milliarden €.</w:t>
      </w:r>
    </w:p>
    <w:p w:rsidR="00C156F6" w:rsidRDefault="00C156F6" w:rsidP="009D734A">
      <w:pPr>
        <w:autoSpaceDE w:val="0"/>
        <w:autoSpaceDN w:val="0"/>
        <w:adjustRightInd w:val="0"/>
        <w:spacing w:line="220" w:lineRule="exact"/>
        <w:ind w:left="0" w:right="0"/>
        <w:rPr>
          <w:rFonts w:cs="Lucida Sans Unicode"/>
          <w:position w:val="0"/>
          <w:szCs w:val="18"/>
        </w:rPr>
      </w:pPr>
    </w:p>
    <w:p w:rsidR="00C156F6" w:rsidRDefault="00C156F6" w:rsidP="009D734A">
      <w:pPr>
        <w:autoSpaceDE w:val="0"/>
        <w:autoSpaceDN w:val="0"/>
        <w:adjustRightInd w:val="0"/>
        <w:spacing w:line="220" w:lineRule="exact"/>
        <w:ind w:left="0" w:right="0"/>
        <w:rPr>
          <w:rFonts w:cs="Lucida Sans Unicode"/>
          <w:position w:val="0"/>
          <w:szCs w:val="18"/>
        </w:rPr>
      </w:pPr>
    </w:p>
    <w:p w:rsidR="00A8556D" w:rsidRPr="00856B95" w:rsidRDefault="00A8556D" w:rsidP="00A8556D">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A8556D" w:rsidRPr="00856B95" w:rsidRDefault="00A8556D" w:rsidP="00A8556D">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8556D" w:rsidRDefault="00A8556D" w:rsidP="009D734A">
      <w:pPr>
        <w:autoSpaceDE w:val="0"/>
        <w:autoSpaceDN w:val="0"/>
        <w:adjustRightInd w:val="0"/>
        <w:spacing w:line="220" w:lineRule="exact"/>
        <w:ind w:left="0" w:right="0"/>
        <w:rPr>
          <w:rFonts w:cs="Lucida Sans Unicode"/>
          <w:position w:val="0"/>
          <w:szCs w:val="18"/>
        </w:rPr>
      </w:pP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52" w:rsidRDefault="007B3D52">
      <w:r>
        <w:separator/>
      </w:r>
    </w:p>
    <w:p w:rsidR="007B3D52" w:rsidRDefault="007B3D52"/>
  </w:endnote>
  <w:endnote w:type="continuationSeparator" w:id="0">
    <w:p w:rsidR="007B3D52" w:rsidRDefault="007B3D52">
      <w:r>
        <w:continuationSeparator/>
      </w:r>
    </w:p>
    <w:p w:rsidR="007B3D52" w:rsidRDefault="007B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07" w:rsidRDefault="00BD460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E4A7D">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E4A7D">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07" w:rsidRDefault="00BD460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E4A7D">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E4A7D">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52" w:rsidRDefault="007B3D52">
      <w:r>
        <w:separator/>
      </w:r>
    </w:p>
    <w:p w:rsidR="007B3D52" w:rsidRDefault="007B3D52"/>
  </w:footnote>
  <w:footnote w:type="continuationSeparator" w:id="0">
    <w:p w:rsidR="007B3D52" w:rsidRDefault="007B3D52">
      <w:r>
        <w:continuationSeparator/>
      </w:r>
    </w:p>
    <w:p w:rsidR="007B3D52" w:rsidRDefault="007B3D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07" w:rsidRDefault="00BD4607">
    <w:pPr>
      <w:pStyle w:val="Kopfzeile"/>
      <w:ind w:left="0"/>
    </w:pPr>
  </w:p>
  <w:p w:rsidR="00BD4607" w:rsidRDefault="00BD4607">
    <w:pPr>
      <w:pStyle w:val="Kopfzeile"/>
      <w:ind w:left="0"/>
    </w:pPr>
  </w:p>
  <w:p w:rsidR="00BD4607" w:rsidRDefault="00BD4607">
    <w:pPr>
      <w:pStyle w:val="Kopfzeile"/>
      <w:ind w:left="0"/>
    </w:pPr>
  </w:p>
  <w:p w:rsidR="00BD4607" w:rsidRDefault="00BD4607">
    <w:pPr>
      <w:pStyle w:val="Kopfzeile"/>
      <w:ind w:left="0"/>
    </w:pPr>
  </w:p>
  <w:p w:rsidR="00BD4607" w:rsidRPr="00067DAF" w:rsidRDefault="00BD4607" w:rsidP="00067DAF">
    <w:pPr>
      <w:pStyle w:val="Kopfzeile"/>
      <w:ind w:left="0" w:right="-3"/>
    </w:pPr>
    <w:r w:rsidRPr="00E25404">
      <w:rPr>
        <w:b/>
        <w:noProof/>
      </w:rPr>
      <w:drawing>
        <wp:anchor distT="0" distB="0" distL="114300" distR="114300" simplePos="0" relativeHeight="251659264" behindDoc="0" locked="0" layoutInCell="1" allowOverlap="1" wp14:anchorId="443A37C2" wp14:editId="0879EA17">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404">
      <w:rPr>
        <w:b/>
        <w:noProof/>
      </w:rPr>
      <mc:AlternateContent>
        <mc:Choice Requires="wpg">
          <w:drawing>
            <wp:anchor distT="0" distB="0" distL="114300" distR="114300" simplePos="0" relativeHeight="251657216" behindDoc="1" locked="0" layoutInCell="1" allowOverlap="1" wp14:anchorId="48163B50" wp14:editId="17EE466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07" w:rsidRDefault="00BD4607">
    <w:pPr>
      <w:pStyle w:val="Kopfzeile"/>
      <w:ind w:left="0"/>
    </w:pPr>
  </w:p>
  <w:p w:rsidR="00BD4607" w:rsidRPr="00044C1C" w:rsidRDefault="00BD4607">
    <w:pPr>
      <w:pStyle w:val="Kopfzeile"/>
      <w:ind w:left="0"/>
      <w:rPr>
        <w:lang w:val="en-US"/>
      </w:rPr>
    </w:pPr>
    <w:r w:rsidRPr="00044C1C">
      <w:rPr>
        <w:b/>
        <w:u w:val="single"/>
        <w:lang w:val="en-US"/>
      </w:rPr>
      <w:br/>
    </w:r>
  </w:p>
  <w:p w:rsidR="00BD4607" w:rsidRPr="00044C1C" w:rsidRDefault="00BD4607">
    <w:pPr>
      <w:pStyle w:val="Kopfzeile"/>
      <w:ind w:left="0"/>
      <w:rPr>
        <w:u w:val="single"/>
        <w:lang w:val="en-US"/>
      </w:rPr>
    </w:pPr>
  </w:p>
  <w:p w:rsidR="00BD4607" w:rsidRPr="009D5463" w:rsidRDefault="00BD4607">
    <w:pPr>
      <w:pStyle w:val="Kopfzeile"/>
      <w:ind w:left="0"/>
      <w:rPr>
        <w:u w:val="single"/>
      </w:rPr>
    </w:pPr>
    <w:r w:rsidRPr="009D5463">
      <w:rPr>
        <w:noProof/>
        <w:u w:val="single"/>
      </w:rPr>
      <w:drawing>
        <wp:anchor distT="0" distB="0" distL="114300" distR="114300" simplePos="0" relativeHeight="251658240" behindDoc="0" locked="0" layoutInCell="1" allowOverlap="1" wp14:anchorId="2B109FB0" wp14:editId="37CADF7B">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7CEC4287" wp14:editId="0EC134E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07" w:rsidRDefault="00BD46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38293C"/>
    <w:multiLevelType w:val="hybridMultilevel"/>
    <w:tmpl w:val="CE788608"/>
    <w:lvl w:ilvl="0" w:tplc="E4BCABC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D72E89"/>
    <w:multiLevelType w:val="hybridMultilevel"/>
    <w:tmpl w:val="D8467272"/>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68450F8"/>
    <w:multiLevelType w:val="hybridMultilevel"/>
    <w:tmpl w:val="0AD4BF3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629B1B7F"/>
    <w:multiLevelType w:val="hybridMultilevel"/>
    <w:tmpl w:val="2012A5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7E265920"/>
    <w:multiLevelType w:val="hybridMultilevel"/>
    <w:tmpl w:val="C8AE62B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9"/>
  </w:num>
  <w:num w:numId="17">
    <w:abstractNumId w:val="13"/>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043B8"/>
    <w:rsid w:val="000054BB"/>
    <w:rsid w:val="00016ADF"/>
    <w:rsid w:val="000259C1"/>
    <w:rsid w:val="00037591"/>
    <w:rsid w:val="000379B3"/>
    <w:rsid w:val="00044C1C"/>
    <w:rsid w:val="00052E5F"/>
    <w:rsid w:val="00054316"/>
    <w:rsid w:val="00060785"/>
    <w:rsid w:val="00060F75"/>
    <w:rsid w:val="00067DAF"/>
    <w:rsid w:val="000722C2"/>
    <w:rsid w:val="00076A15"/>
    <w:rsid w:val="00080CD7"/>
    <w:rsid w:val="000938A7"/>
    <w:rsid w:val="000A4AE2"/>
    <w:rsid w:val="000A6898"/>
    <w:rsid w:val="000B1542"/>
    <w:rsid w:val="000B366F"/>
    <w:rsid w:val="000F25C1"/>
    <w:rsid w:val="00104D67"/>
    <w:rsid w:val="00107AE1"/>
    <w:rsid w:val="00113CE0"/>
    <w:rsid w:val="00114A86"/>
    <w:rsid w:val="00116282"/>
    <w:rsid w:val="0011685B"/>
    <w:rsid w:val="00123E53"/>
    <w:rsid w:val="00125918"/>
    <w:rsid w:val="00125F13"/>
    <w:rsid w:val="001361E3"/>
    <w:rsid w:val="001379C4"/>
    <w:rsid w:val="00140112"/>
    <w:rsid w:val="00141D6E"/>
    <w:rsid w:val="00146017"/>
    <w:rsid w:val="00151462"/>
    <w:rsid w:val="0015413D"/>
    <w:rsid w:val="00185DCB"/>
    <w:rsid w:val="001A5161"/>
    <w:rsid w:val="001B32AC"/>
    <w:rsid w:val="001B7F18"/>
    <w:rsid w:val="0020383C"/>
    <w:rsid w:val="0021085B"/>
    <w:rsid w:val="00221B22"/>
    <w:rsid w:val="0022422D"/>
    <w:rsid w:val="00230A71"/>
    <w:rsid w:val="00232828"/>
    <w:rsid w:val="002624EE"/>
    <w:rsid w:val="00265028"/>
    <w:rsid w:val="00266424"/>
    <w:rsid w:val="00275070"/>
    <w:rsid w:val="002827A1"/>
    <w:rsid w:val="00282BFE"/>
    <w:rsid w:val="00286E15"/>
    <w:rsid w:val="00294BE0"/>
    <w:rsid w:val="002967A2"/>
    <w:rsid w:val="00297679"/>
    <w:rsid w:val="002B50C0"/>
    <w:rsid w:val="002B5234"/>
    <w:rsid w:val="002B59E4"/>
    <w:rsid w:val="002B7173"/>
    <w:rsid w:val="002C74CC"/>
    <w:rsid w:val="002C7514"/>
    <w:rsid w:val="002D21B7"/>
    <w:rsid w:val="002D3681"/>
    <w:rsid w:val="002E1CB4"/>
    <w:rsid w:val="002E3CF7"/>
    <w:rsid w:val="002E4651"/>
    <w:rsid w:val="002E4A7D"/>
    <w:rsid w:val="002E65CA"/>
    <w:rsid w:val="002F0FD0"/>
    <w:rsid w:val="002F7C2E"/>
    <w:rsid w:val="00303038"/>
    <w:rsid w:val="0031033D"/>
    <w:rsid w:val="00310F81"/>
    <w:rsid w:val="00312AFA"/>
    <w:rsid w:val="003143A5"/>
    <w:rsid w:val="003168FC"/>
    <w:rsid w:val="0033717D"/>
    <w:rsid w:val="00343C0C"/>
    <w:rsid w:val="003505A8"/>
    <w:rsid w:val="003539FE"/>
    <w:rsid w:val="00356C59"/>
    <w:rsid w:val="00357B72"/>
    <w:rsid w:val="00367767"/>
    <w:rsid w:val="003834DE"/>
    <w:rsid w:val="00384B95"/>
    <w:rsid w:val="00385B48"/>
    <w:rsid w:val="00392875"/>
    <w:rsid w:val="00395AF0"/>
    <w:rsid w:val="003A2330"/>
    <w:rsid w:val="003A6FAF"/>
    <w:rsid w:val="003A7C67"/>
    <w:rsid w:val="003B3273"/>
    <w:rsid w:val="003D4119"/>
    <w:rsid w:val="003E1151"/>
    <w:rsid w:val="003E155C"/>
    <w:rsid w:val="003E1B59"/>
    <w:rsid w:val="003E5C0C"/>
    <w:rsid w:val="003E763A"/>
    <w:rsid w:val="003F270E"/>
    <w:rsid w:val="003F2F76"/>
    <w:rsid w:val="003F5C98"/>
    <w:rsid w:val="00407B10"/>
    <w:rsid w:val="004143FD"/>
    <w:rsid w:val="00422235"/>
    <w:rsid w:val="00424167"/>
    <w:rsid w:val="0043009F"/>
    <w:rsid w:val="00444718"/>
    <w:rsid w:val="0044655F"/>
    <w:rsid w:val="00446957"/>
    <w:rsid w:val="00454C8B"/>
    <w:rsid w:val="00456B31"/>
    <w:rsid w:val="0046085E"/>
    <w:rsid w:val="0046504B"/>
    <w:rsid w:val="00472150"/>
    <w:rsid w:val="00485B18"/>
    <w:rsid w:val="0048710C"/>
    <w:rsid w:val="00493AB7"/>
    <w:rsid w:val="004944D0"/>
    <w:rsid w:val="004A4613"/>
    <w:rsid w:val="004B01C8"/>
    <w:rsid w:val="004B39F5"/>
    <w:rsid w:val="004C140F"/>
    <w:rsid w:val="004C14DE"/>
    <w:rsid w:val="004C4268"/>
    <w:rsid w:val="004C495B"/>
    <w:rsid w:val="004C650D"/>
    <w:rsid w:val="004C6C4F"/>
    <w:rsid w:val="004D074C"/>
    <w:rsid w:val="004D3663"/>
    <w:rsid w:val="004D3DC9"/>
    <w:rsid w:val="004E2D7F"/>
    <w:rsid w:val="004F0347"/>
    <w:rsid w:val="004F3F8E"/>
    <w:rsid w:val="005015C3"/>
    <w:rsid w:val="00511560"/>
    <w:rsid w:val="00522C24"/>
    <w:rsid w:val="005544DD"/>
    <w:rsid w:val="005608E0"/>
    <w:rsid w:val="00561266"/>
    <w:rsid w:val="00572B3A"/>
    <w:rsid w:val="0057382B"/>
    <w:rsid w:val="00574F8E"/>
    <w:rsid w:val="005757B0"/>
    <w:rsid w:val="005757FD"/>
    <w:rsid w:val="005758C7"/>
    <w:rsid w:val="005800C3"/>
    <w:rsid w:val="00581E65"/>
    <w:rsid w:val="00586BB7"/>
    <w:rsid w:val="00590C40"/>
    <w:rsid w:val="00596FFB"/>
    <w:rsid w:val="005A2DAC"/>
    <w:rsid w:val="005A7251"/>
    <w:rsid w:val="005B100E"/>
    <w:rsid w:val="005B1A9B"/>
    <w:rsid w:val="005C5211"/>
    <w:rsid w:val="005C657A"/>
    <w:rsid w:val="005C7A3B"/>
    <w:rsid w:val="005D0A2A"/>
    <w:rsid w:val="005D3B51"/>
    <w:rsid w:val="005E383E"/>
    <w:rsid w:val="005E5FEA"/>
    <w:rsid w:val="005F5B9D"/>
    <w:rsid w:val="00602348"/>
    <w:rsid w:val="00613FA8"/>
    <w:rsid w:val="006167D7"/>
    <w:rsid w:val="0062065B"/>
    <w:rsid w:val="0062281E"/>
    <w:rsid w:val="00626325"/>
    <w:rsid w:val="00630016"/>
    <w:rsid w:val="006318A8"/>
    <w:rsid w:val="0063582F"/>
    <w:rsid w:val="006369CB"/>
    <w:rsid w:val="00642190"/>
    <w:rsid w:val="006524C3"/>
    <w:rsid w:val="0065322D"/>
    <w:rsid w:val="006564DF"/>
    <w:rsid w:val="006630DB"/>
    <w:rsid w:val="00667C88"/>
    <w:rsid w:val="00670C4F"/>
    <w:rsid w:val="006769E9"/>
    <w:rsid w:val="00680650"/>
    <w:rsid w:val="00686144"/>
    <w:rsid w:val="00686F4F"/>
    <w:rsid w:val="00693C3F"/>
    <w:rsid w:val="00695628"/>
    <w:rsid w:val="00695728"/>
    <w:rsid w:val="006A40FC"/>
    <w:rsid w:val="006A7D89"/>
    <w:rsid w:val="006B08C8"/>
    <w:rsid w:val="006C4991"/>
    <w:rsid w:val="006C7FF6"/>
    <w:rsid w:val="006D08FD"/>
    <w:rsid w:val="006E00F4"/>
    <w:rsid w:val="006E6BA0"/>
    <w:rsid w:val="006F04D5"/>
    <w:rsid w:val="006F37D2"/>
    <w:rsid w:val="006F465A"/>
    <w:rsid w:val="00711563"/>
    <w:rsid w:val="0071711E"/>
    <w:rsid w:val="007212FD"/>
    <w:rsid w:val="00724DCF"/>
    <w:rsid w:val="00727AF7"/>
    <w:rsid w:val="00750E89"/>
    <w:rsid w:val="00750EE5"/>
    <w:rsid w:val="00755583"/>
    <w:rsid w:val="007801E9"/>
    <w:rsid w:val="00781B5B"/>
    <w:rsid w:val="00787F10"/>
    <w:rsid w:val="007921E4"/>
    <w:rsid w:val="00793BC8"/>
    <w:rsid w:val="00793D10"/>
    <w:rsid w:val="007A01E6"/>
    <w:rsid w:val="007A7D8B"/>
    <w:rsid w:val="007B2C7E"/>
    <w:rsid w:val="007B3D52"/>
    <w:rsid w:val="007B59C5"/>
    <w:rsid w:val="007B6B8B"/>
    <w:rsid w:val="007C285C"/>
    <w:rsid w:val="007C3315"/>
    <w:rsid w:val="007C4237"/>
    <w:rsid w:val="007C69D4"/>
    <w:rsid w:val="007D4F0E"/>
    <w:rsid w:val="007D5EEA"/>
    <w:rsid w:val="007D60EF"/>
    <w:rsid w:val="007E43BF"/>
    <w:rsid w:val="007F38B1"/>
    <w:rsid w:val="007F705E"/>
    <w:rsid w:val="008136C4"/>
    <w:rsid w:val="008168AC"/>
    <w:rsid w:val="00817443"/>
    <w:rsid w:val="00834A75"/>
    <w:rsid w:val="00843EF8"/>
    <w:rsid w:val="00846F61"/>
    <w:rsid w:val="00860375"/>
    <w:rsid w:val="0087095F"/>
    <w:rsid w:val="008868BF"/>
    <w:rsid w:val="0089104A"/>
    <w:rsid w:val="008A097C"/>
    <w:rsid w:val="008A6D73"/>
    <w:rsid w:val="008B5BB6"/>
    <w:rsid w:val="008B6AB8"/>
    <w:rsid w:val="008B718F"/>
    <w:rsid w:val="008C0C6D"/>
    <w:rsid w:val="008C12B1"/>
    <w:rsid w:val="008C154E"/>
    <w:rsid w:val="008C15B4"/>
    <w:rsid w:val="008D0FE1"/>
    <w:rsid w:val="008D2339"/>
    <w:rsid w:val="008D5062"/>
    <w:rsid w:val="008D6BCA"/>
    <w:rsid w:val="008F3129"/>
    <w:rsid w:val="008F6A10"/>
    <w:rsid w:val="00910AD0"/>
    <w:rsid w:val="009220D3"/>
    <w:rsid w:val="00922262"/>
    <w:rsid w:val="0093475A"/>
    <w:rsid w:val="0093730B"/>
    <w:rsid w:val="00946403"/>
    <w:rsid w:val="00957CC7"/>
    <w:rsid w:val="00975F52"/>
    <w:rsid w:val="0097690B"/>
    <w:rsid w:val="009832A9"/>
    <w:rsid w:val="00995BE6"/>
    <w:rsid w:val="009A0002"/>
    <w:rsid w:val="009A24D0"/>
    <w:rsid w:val="009A687F"/>
    <w:rsid w:val="009D0E47"/>
    <w:rsid w:val="009D5463"/>
    <w:rsid w:val="009D734A"/>
    <w:rsid w:val="009E1B7B"/>
    <w:rsid w:val="009E687A"/>
    <w:rsid w:val="009E7427"/>
    <w:rsid w:val="009F4752"/>
    <w:rsid w:val="00A00885"/>
    <w:rsid w:val="00A00E30"/>
    <w:rsid w:val="00A120EB"/>
    <w:rsid w:val="00A200B5"/>
    <w:rsid w:val="00A207A9"/>
    <w:rsid w:val="00A35805"/>
    <w:rsid w:val="00A4745F"/>
    <w:rsid w:val="00A53685"/>
    <w:rsid w:val="00A54D66"/>
    <w:rsid w:val="00A57660"/>
    <w:rsid w:val="00A6063C"/>
    <w:rsid w:val="00A64D60"/>
    <w:rsid w:val="00A72C03"/>
    <w:rsid w:val="00A80650"/>
    <w:rsid w:val="00A827FD"/>
    <w:rsid w:val="00A832EB"/>
    <w:rsid w:val="00A8556D"/>
    <w:rsid w:val="00A910EA"/>
    <w:rsid w:val="00A94373"/>
    <w:rsid w:val="00A970E5"/>
    <w:rsid w:val="00AA3293"/>
    <w:rsid w:val="00AA3F70"/>
    <w:rsid w:val="00AC769A"/>
    <w:rsid w:val="00AD1E33"/>
    <w:rsid w:val="00AD7F34"/>
    <w:rsid w:val="00AF044A"/>
    <w:rsid w:val="00B010E0"/>
    <w:rsid w:val="00B13861"/>
    <w:rsid w:val="00B14022"/>
    <w:rsid w:val="00B1690E"/>
    <w:rsid w:val="00B24BE7"/>
    <w:rsid w:val="00B33393"/>
    <w:rsid w:val="00B36A42"/>
    <w:rsid w:val="00B40517"/>
    <w:rsid w:val="00B43ECD"/>
    <w:rsid w:val="00B6136F"/>
    <w:rsid w:val="00B62577"/>
    <w:rsid w:val="00B64F9E"/>
    <w:rsid w:val="00B6701A"/>
    <w:rsid w:val="00B759C5"/>
    <w:rsid w:val="00B777B9"/>
    <w:rsid w:val="00B879F7"/>
    <w:rsid w:val="00B9727E"/>
    <w:rsid w:val="00BB291B"/>
    <w:rsid w:val="00BC201E"/>
    <w:rsid w:val="00BD07B3"/>
    <w:rsid w:val="00BD4607"/>
    <w:rsid w:val="00BD5C9B"/>
    <w:rsid w:val="00BF2904"/>
    <w:rsid w:val="00BF52D9"/>
    <w:rsid w:val="00C04A5B"/>
    <w:rsid w:val="00C156F6"/>
    <w:rsid w:val="00C2424B"/>
    <w:rsid w:val="00C27BFB"/>
    <w:rsid w:val="00C30F04"/>
    <w:rsid w:val="00C33933"/>
    <w:rsid w:val="00C43E07"/>
    <w:rsid w:val="00C47017"/>
    <w:rsid w:val="00C4749D"/>
    <w:rsid w:val="00C55C67"/>
    <w:rsid w:val="00C61C0C"/>
    <w:rsid w:val="00C647C9"/>
    <w:rsid w:val="00C82A2D"/>
    <w:rsid w:val="00C8406C"/>
    <w:rsid w:val="00C87137"/>
    <w:rsid w:val="00C87B8E"/>
    <w:rsid w:val="00C9189E"/>
    <w:rsid w:val="00C94D2E"/>
    <w:rsid w:val="00C96091"/>
    <w:rsid w:val="00C96280"/>
    <w:rsid w:val="00CA1DE9"/>
    <w:rsid w:val="00CA2756"/>
    <w:rsid w:val="00CA312F"/>
    <w:rsid w:val="00CA472A"/>
    <w:rsid w:val="00CA49A3"/>
    <w:rsid w:val="00CA6651"/>
    <w:rsid w:val="00CB0A75"/>
    <w:rsid w:val="00CC1717"/>
    <w:rsid w:val="00CD0E62"/>
    <w:rsid w:val="00CD631C"/>
    <w:rsid w:val="00CE6324"/>
    <w:rsid w:val="00CF5D09"/>
    <w:rsid w:val="00CF626C"/>
    <w:rsid w:val="00CF6767"/>
    <w:rsid w:val="00CF6A1E"/>
    <w:rsid w:val="00D03164"/>
    <w:rsid w:val="00D103A3"/>
    <w:rsid w:val="00D1237F"/>
    <w:rsid w:val="00D1424E"/>
    <w:rsid w:val="00D17D70"/>
    <w:rsid w:val="00D22E3B"/>
    <w:rsid w:val="00D233FC"/>
    <w:rsid w:val="00D25377"/>
    <w:rsid w:val="00D30F02"/>
    <w:rsid w:val="00D36612"/>
    <w:rsid w:val="00D42457"/>
    <w:rsid w:val="00D474B6"/>
    <w:rsid w:val="00D55350"/>
    <w:rsid w:val="00D63C33"/>
    <w:rsid w:val="00D65FC7"/>
    <w:rsid w:val="00D6793C"/>
    <w:rsid w:val="00D700CC"/>
    <w:rsid w:val="00D7087D"/>
    <w:rsid w:val="00D74B2F"/>
    <w:rsid w:val="00D74FEA"/>
    <w:rsid w:val="00D7784E"/>
    <w:rsid w:val="00D83F4F"/>
    <w:rsid w:val="00D860C1"/>
    <w:rsid w:val="00D96B4A"/>
    <w:rsid w:val="00DA06CB"/>
    <w:rsid w:val="00DA3411"/>
    <w:rsid w:val="00DA3EC1"/>
    <w:rsid w:val="00DA6BB8"/>
    <w:rsid w:val="00DC0BC4"/>
    <w:rsid w:val="00DC2206"/>
    <w:rsid w:val="00DC677E"/>
    <w:rsid w:val="00DD1ED0"/>
    <w:rsid w:val="00DE025F"/>
    <w:rsid w:val="00DE1AFA"/>
    <w:rsid w:val="00DE355E"/>
    <w:rsid w:val="00E11789"/>
    <w:rsid w:val="00E13750"/>
    <w:rsid w:val="00E15F00"/>
    <w:rsid w:val="00E208BE"/>
    <w:rsid w:val="00E25404"/>
    <w:rsid w:val="00E359DD"/>
    <w:rsid w:val="00E371B8"/>
    <w:rsid w:val="00E400CD"/>
    <w:rsid w:val="00E40731"/>
    <w:rsid w:val="00E51D26"/>
    <w:rsid w:val="00E559D0"/>
    <w:rsid w:val="00E56033"/>
    <w:rsid w:val="00E56917"/>
    <w:rsid w:val="00E61D63"/>
    <w:rsid w:val="00E6412C"/>
    <w:rsid w:val="00E735B6"/>
    <w:rsid w:val="00E9718A"/>
    <w:rsid w:val="00EA3BA7"/>
    <w:rsid w:val="00EC3164"/>
    <w:rsid w:val="00ED257D"/>
    <w:rsid w:val="00ED7A72"/>
    <w:rsid w:val="00EF4214"/>
    <w:rsid w:val="00EF5025"/>
    <w:rsid w:val="00F00F5D"/>
    <w:rsid w:val="00F1056D"/>
    <w:rsid w:val="00F10EAD"/>
    <w:rsid w:val="00F157B4"/>
    <w:rsid w:val="00F22BDA"/>
    <w:rsid w:val="00F24A0B"/>
    <w:rsid w:val="00F313D0"/>
    <w:rsid w:val="00F4304B"/>
    <w:rsid w:val="00F4490B"/>
    <w:rsid w:val="00F60883"/>
    <w:rsid w:val="00F72E32"/>
    <w:rsid w:val="00F72E3B"/>
    <w:rsid w:val="00F81DAA"/>
    <w:rsid w:val="00F8351E"/>
    <w:rsid w:val="00F8441E"/>
    <w:rsid w:val="00F9261C"/>
    <w:rsid w:val="00F9306A"/>
    <w:rsid w:val="00F95C47"/>
    <w:rsid w:val="00F96D1C"/>
    <w:rsid w:val="00FA1092"/>
    <w:rsid w:val="00FB35AF"/>
    <w:rsid w:val="00FC6A93"/>
    <w:rsid w:val="00FD7B4E"/>
    <w:rsid w:val="00FE071E"/>
    <w:rsid w:val="00FE07FA"/>
    <w:rsid w:val="00FE63C7"/>
    <w:rsid w:val="00FE78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styleId="Listenabsatz">
    <w:name w:val="List Paragraph"/>
    <w:basedOn w:val="Standard"/>
    <w:uiPriority w:val="34"/>
    <w:qFormat/>
    <w:rsid w:val="00D233FC"/>
    <w:pPr>
      <w:ind w:left="720"/>
      <w:contextualSpacing/>
    </w:pPr>
  </w:style>
  <w:style w:type="character" w:styleId="Kommentarzeichen">
    <w:name w:val="annotation reference"/>
    <w:basedOn w:val="Absatz-Standardschriftart"/>
    <w:rsid w:val="00CF6A1E"/>
    <w:rPr>
      <w:sz w:val="16"/>
      <w:szCs w:val="16"/>
    </w:rPr>
  </w:style>
  <w:style w:type="paragraph" w:styleId="Kommentartext">
    <w:name w:val="annotation text"/>
    <w:basedOn w:val="Standard"/>
    <w:link w:val="KommentartextZchn"/>
    <w:rsid w:val="00CF6A1E"/>
    <w:pPr>
      <w:spacing w:line="240" w:lineRule="auto"/>
    </w:pPr>
    <w:rPr>
      <w:sz w:val="20"/>
      <w:szCs w:val="20"/>
    </w:rPr>
  </w:style>
  <w:style w:type="character" w:customStyle="1" w:styleId="KommentartextZchn">
    <w:name w:val="Kommentartext Zchn"/>
    <w:basedOn w:val="Absatz-Standardschriftart"/>
    <w:link w:val="Kommentartext"/>
    <w:rsid w:val="00CF6A1E"/>
    <w:rPr>
      <w:rFonts w:ascii="Lucida Sans Unicode" w:hAnsi="Lucida Sans Unicode"/>
      <w:position w:val="-2"/>
    </w:rPr>
  </w:style>
  <w:style w:type="paragraph" w:styleId="Kommentarthema">
    <w:name w:val="annotation subject"/>
    <w:basedOn w:val="Kommentartext"/>
    <w:next w:val="Kommentartext"/>
    <w:link w:val="KommentarthemaZchn"/>
    <w:rsid w:val="00CF6A1E"/>
    <w:rPr>
      <w:b/>
      <w:bCs/>
    </w:rPr>
  </w:style>
  <w:style w:type="character" w:customStyle="1" w:styleId="KommentarthemaZchn">
    <w:name w:val="Kommentarthema Zchn"/>
    <w:basedOn w:val="KommentartextZchn"/>
    <w:link w:val="Kommentarthema"/>
    <w:rsid w:val="00CF6A1E"/>
    <w:rPr>
      <w:rFonts w:ascii="Lucida Sans Unicode" w:hAnsi="Lucida Sans Unicode"/>
      <w:b/>
      <w:bCs/>
      <w:position w:val="-2"/>
    </w:rPr>
  </w:style>
  <w:style w:type="paragraph" w:styleId="Funotentext">
    <w:name w:val="footnote text"/>
    <w:basedOn w:val="Standard"/>
    <w:link w:val="FunotentextZchn"/>
    <w:rsid w:val="00CF6A1E"/>
    <w:pPr>
      <w:spacing w:line="240" w:lineRule="auto"/>
    </w:pPr>
    <w:rPr>
      <w:sz w:val="20"/>
      <w:szCs w:val="20"/>
    </w:rPr>
  </w:style>
  <w:style w:type="character" w:customStyle="1" w:styleId="FunotentextZchn">
    <w:name w:val="Fußnotentext Zchn"/>
    <w:basedOn w:val="Absatz-Standardschriftart"/>
    <w:link w:val="Funotentext"/>
    <w:rsid w:val="00CF6A1E"/>
    <w:rPr>
      <w:rFonts w:ascii="Lucida Sans Unicode" w:hAnsi="Lucida Sans Unicode"/>
      <w:position w:val="-2"/>
    </w:rPr>
  </w:style>
  <w:style w:type="character" w:styleId="Funotenzeichen">
    <w:name w:val="footnote reference"/>
    <w:basedOn w:val="Absatz-Standardschriftart"/>
    <w:rsid w:val="00CF6A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styleId="Listenabsatz">
    <w:name w:val="List Paragraph"/>
    <w:basedOn w:val="Standard"/>
    <w:uiPriority w:val="34"/>
    <w:qFormat/>
    <w:rsid w:val="00D233FC"/>
    <w:pPr>
      <w:ind w:left="720"/>
      <w:contextualSpacing/>
    </w:pPr>
  </w:style>
  <w:style w:type="character" w:styleId="Kommentarzeichen">
    <w:name w:val="annotation reference"/>
    <w:basedOn w:val="Absatz-Standardschriftart"/>
    <w:rsid w:val="00CF6A1E"/>
    <w:rPr>
      <w:sz w:val="16"/>
      <w:szCs w:val="16"/>
    </w:rPr>
  </w:style>
  <w:style w:type="paragraph" w:styleId="Kommentartext">
    <w:name w:val="annotation text"/>
    <w:basedOn w:val="Standard"/>
    <w:link w:val="KommentartextZchn"/>
    <w:rsid w:val="00CF6A1E"/>
    <w:pPr>
      <w:spacing w:line="240" w:lineRule="auto"/>
    </w:pPr>
    <w:rPr>
      <w:sz w:val="20"/>
      <w:szCs w:val="20"/>
    </w:rPr>
  </w:style>
  <w:style w:type="character" w:customStyle="1" w:styleId="KommentartextZchn">
    <w:name w:val="Kommentartext Zchn"/>
    <w:basedOn w:val="Absatz-Standardschriftart"/>
    <w:link w:val="Kommentartext"/>
    <w:rsid w:val="00CF6A1E"/>
    <w:rPr>
      <w:rFonts w:ascii="Lucida Sans Unicode" w:hAnsi="Lucida Sans Unicode"/>
      <w:position w:val="-2"/>
    </w:rPr>
  </w:style>
  <w:style w:type="paragraph" w:styleId="Kommentarthema">
    <w:name w:val="annotation subject"/>
    <w:basedOn w:val="Kommentartext"/>
    <w:next w:val="Kommentartext"/>
    <w:link w:val="KommentarthemaZchn"/>
    <w:rsid w:val="00CF6A1E"/>
    <w:rPr>
      <w:b/>
      <w:bCs/>
    </w:rPr>
  </w:style>
  <w:style w:type="character" w:customStyle="1" w:styleId="KommentarthemaZchn">
    <w:name w:val="Kommentarthema Zchn"/>
    <w:basedOn w:val="KommentartextZchn"/>
    <w:link w:val="Kommentarthema"/>
    <w:rsid w:val="00CF6A1E"/>
    <w:rPr>
      <w:rFonts w:ascii="Lucida Sans Unicode" w:hAnsi="Lucida Sans Unicode"/>
      <w:b/>
      <w:bCs/>
      <w:position w:val="-2"/>
    </w:rPr>
  </w:style>
  <w:style w:type="paragraph" w:styleId="Funotentext">
    <w:name w:val="footnote text"/>
    <w:basedOn w:val="Standard"/>
    <w:link w:val="FunotentextZchn"/>
    <w:rsid w:val="00CF6A1E"/>
    <w:pPr>
      <w:spacing w:line="240" w:lineRule="auto"/>
    </w:pPr>
    <w:rPr>
      <w:sz w:val="20"/>
      <w:szCs w:val="20"/>
    </w:rPr>
  </w:style>
  <w:style w:type="character" w:customStyle="1" w:styleId="FunotentextZchn">
    <w:name w:val="Fußnotentext Zchn"/>
    <w:basedOn w:val="Absatz-Standardschriftart"/>
    <w:link w:val="Funotentext"/>
    <w:rsid w:val="00CF6A1E"/>
    <w:rPr>
      <w:rFonts w:ascii="Lucida Sans Unicode" w:hAnsi="Lucida Sans Unicode"/>
      <w:position w:val="-2"/>
    </w:rPr>
  </w:style>
  <w:style w:type="character" w:styleId="Funotenzeichen">
    <w:name w:val="footnote reference"/>
    <w:basedOn w:val="Absatz-Standardschriftart"/>
    <w:rsid w:val="00CF6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4F2AB-3766-4AAE-9A80-CE807BA9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378141A7</Template>
  <TotalTime>0</TotalTime>
  <Pages>5</Pages>
  <Words>1184</Words>
  <Characters>7926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Hesterkamp, Anja</cp:lastModifiedBy>
  <cp:revision>5</cp:revision>
  <cp:lastPrinted>2015-02-27T10:25:00Z</cp:lastPrinted>
  <dcterms:created xsi:type="dcterms:W3CDTF">2015-02-24T15:16:00Z</dcterms:created>
  <dcterms:modified xsi:type="dcterms:W3CDTF">2015-02-27T10:26:00Z</dcterms:modified>
</cp:coreProperties>
</file>