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36F" w:rsidRPr="008224A5" w:rsidRDefault="00B6136F">
      <w:pPr>
        <w:spacing w:line="300" w:lineRule="exact"/>
        <w:ind w:left="0"/>
        <w:rPr>
          <w:b/>
          <w:sz w:val="20"/>
          <w:szCs w:val="20"/>
          <w:u w:val="single"/>
        </w:rPr>
        <w:sectPr w:rsidR="00B6136F" w:rsidRPr="008224A5">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B14022">
        <w:trPr>
          <w:trHeight w:hRule="exact" w:val="174"/>
        </w:trPr>
        <w:tc>
          <w:tcPr>
            <w:tcW w:w="2271" w:type="dxa"/>
            <w:shd w:val="clear" w:color="auto" w:fill="auto"/>
          </w:tcPr>
          <w:p w:rsidR="00B6136F" w:rsidRDefault="00D87C75" w:rsidP="00D87C75">
            <w:pPr>
              <w:pStyle w:val="E-Datum"/>
              <w:framePr w:wrap="auto" w:vAnchor="margin" w:hAnchor="text" w:xAlign="left" w:yAlign="inline"/>
              <w:suppressOverlap w:val="0"/>
            </w:pPr>
            <w:r>
              <w:t>6</w:t>
            </w:r>
            <w:r w:rsidR="00A02C86">
              <w:t>. Mai</w:t>
            </w:r>
            <w:r w:rsidR="009D5463">
              <w:t xml:space="preserve"> 201</w:t>
            </w:r>
            <w:r w:rsidR="00BC2C98">
              <w:t>5</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RPr="00BC2C98" w:rsidTr="00B14022">
        <w:trPr>
          <w:trHeight w:hRule="exact" w:val="1222"/>
        </w:trPr>
        <w:tc>
          <w:tcPr>
            <w:tcW w:w="2271" w:type="dxa"/>
            <w:shd w:val="clear" w:color="auto" w:fill="auto"/>
          </w:tcPr>
          <w:p w:rsidR="00B6136F" w:rsidRDefault="00BC2C98">
            <w:pPr>
              <w:pStyle w:val="M7"/>
              <w:framePr w:wrap="auto" w:vAnchor="margin" w:hAnchor="text" w:xAlign="left" w:yAlign="inline"/>
              <w:suppressOverlap w:val="0"/>
            </w:pPr>
            <w:r>
              <w:t>Hans-Joerg Heims</w:t>
            </w:r>
          </w:p>
          <w:p w:rsidR="00B6136F" w:rsidRDefault="00BC2C98">
            <w:pPr>
              <w:pStyle w:val="M8"/>
              <w:framePr w:wrap="auto" w:vAnchor="margin" w:hAnchor="text" w:xAlign="left" w:yAlign="inline"/>
              <w:suppressOverlap w:val="0"/>
            </w:pPr>
            <w:r>
              <w:t>Leiter</w:t>
            </w:r>
            <w:r w:rsidR="00AD7F34">
              <w:t xml:space="preserve"> </w:t>
            </w:r>
            <w:r w:rsidR="00B14022">
              <w:t xml:space="preserve">Konzernpresse </w:t>
            </w:r>
          </w:p>
          <w:p w:rsidR="00B6136F" w:rsidRDefault="00BC2C98">
            <w:pPr>
              <w:pStyle w:val="M9"/>
              <w:framePr w:wrap="auto" w:vAnchor="margin" w:hAnchor="text" w:xAlign="left" w:yAlign="inline"/>
              <w:suppressOverlap w:val="0"/>
            </w:pPr>
            <w:r>
              <w:t>Telefon +49</w:t>
            </w:r>
            <w:r>
              <w:tab/>
              <w:t>201 177-3425</w:t>
            </w:r>
          </w:p>
          <w:p w:rsidR="00B6136F" w:rsidRDefault="00B14022">
            <w:pPr>
              <w:pStyle w:val="M10"/>
              <w:framePr w:wrap="auto" w:vAnchor="margin" w:hAnchor="text" w:xAlign="left" w:yAlign="inline"/>
              <w:suppressOverlap w:val="0"/>
            </w:pPr>
            <w:r>
              <w:t>Telefax +49</w:t>
            </w:r>
            <w:r>
              <w:tab/>
              <w:t>201 177-3030</w:t>
            </w:r>
          </w:p>
          <w:p w:rsidR="00B6136F" w:rsidRDefault="00BC2C98" w:rsidP="00AD7F34">
            <w:pPr>
              <w:pStyle w:val="M10"/>
              <w:framePr w:wrap="auto" w:vAnchor="margin" w:hAnchor="text" w:xAlign="left" w:yAlign="inline"/>
              <w:suppressOverlap w:val="0"/>
            </w:pPr>
            <w:r>
              <w:t>hans-joerg.heims</w:t>
            </w:r>
            <w:r w:rsidR="00B14022">
              <w:t>@evonik.com</w:t>
            </w:r>
            <w:r w:rsidR="00B14022">
              <w:rPr>
                <w:lang w:val="sv-SE"/>
              </w:rPr>
              <w:t xml:space="preserve"> </w:t>
            </w:r>
          </w:p>
        </w:tc>
      </w:tr>
      <w:tr w:rsidR="00B6136F" w:rsidTr="00B14022">
        <w:trPr>
          <w:trHeight w:val="2609"/>
        </w:trPr>
        <w:tc>
          <w:tcPr>
            <w:tcW w:w="2271" w:type="dxa"/>
            <w:shd w:val="clear" w:color="auto" w:fill="auto"/>
          </w:tcPr>
          <w:p w:rsidR="00617B2D" w:rsidRDefault="00617B2D" w:rsidP="00617B2D">
            <w:pPr>
              <w:pStyle w:val="M7"/>
              <w:framePr w:wrap="auto" w:vAnchor="margin" w:hAnchor="text" w:xAlign="left" w:yAlign="inline"/>
              <w:suppressOverlap w:val="0"/>
            </w:pPr>
            <w:r>
              <w:t>Alexandra Boy</w:t>
            </w:r>
          </w:p>
          <w:p w:rsidR="00617B2D" w:rsidRDefault="00617B2D" w:rsidP="00617B2D">
            <w:pPr>
              <w:pStyle w:val="M8"/>
              <w:framePr w:wrap="auto" w:vAnchor="margin" w:hAnchor="text" w:xAlign="left" w:yAlign="inline"/>
              <w:suppressOverlap w:val="0"/>
            </w:pPr>
            <w:r>
              <w:t xml:space="preserve">Stellvertr. Leiterin Konzernpresse </w:t>
            </w:r>
          </w:p>
          <w:p w:rsidR="00617B2D" w:rsidRDefault="00617B2D" w:rsidP="00617B2D">
            <w:pPr>
              <w:pStyle w:val="M9"/>
              <w:framePr w:wrap="auto" w:vAnchor="margin" w:hAnchor="text" w:xAlign="left" w:yAlign="inline"/>
              <w:suppressOverlap w:val="0"/>
            </w:pPr>
            <w:r>
              <w:t>Telefon +49</w:t>
            </w:r>
            <w:r>
              <w:tab/>
              <w:t>201 177-3167</w:t>
            </w:r>
          </w:p>
          <w:p w:rsidR="00617B2D" w:rsidRDefault="00617B2D" w:rsidP="00617B2D">
            <w:pPr>
              <w:pStyle w:val="M10"/>
              <w:framePr w:wrap="auto" w:vAnchor="margin" w:hAnchor="text" w:xAlign="left" w:yAlign="inline"/>
              <w:suppressOverlap w:val="0"/>
            </w:pPr>
            <w:r>
              <w:t>Telefax +49</w:t>
            </w:r>
            <w:r>
              <w:tab/>
              <w:t>201 177-3030</w:t>
            </w:r>
          </w:p>
          <w:p w:rsidR="00B6136F" w:rsidRPr="00617B2D" w:rsidRDefault="00617B2D" w:rsidP="00617B2D">
            <w:pPr>
              <w:pStyle w:val="M1"/>
              <w:framePr w:wrap="auto" w:vAnchor="margin" w:hAnchor="text" w:xAlign="left" w:yAlign="inline"/>
              <w:suppressOverlap w:val="0"/>
              <w:rPr>
                <w:b w:val="0"/>
              </w:rPr>
            </w:pPr>
            <w:r w:rsidRPr="00617B2D">
              <w:rPr>
                <w:b w:val="0"/>
              </w:rPr>
              <w:t>alexandra.boy@evonik.com</w:t>
            </w:r>
            <w:r w:rsidR="00B14022" w:rsidRPr="00617B2D">
              <w:rPr>
                <w:b w:val="0"/>
              </w:rPr>
              <w:br/>
            </w:r>
            <w:r w:rsidR="00B14022" w:rsidRPr="00617B2D">
              <w:rPr>
                <w:b w:val="0"/>
              </w:rPr>
              <w:br/>
            </w:r>
            <w:r w:rsidR="00B14022" w:rsidRPr="00617B2D">
              <w:rPr>
                <w:b w:val="0"/>
              </w:rPr>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775282">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775282">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775282">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775282">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75282">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75282">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775282">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75282">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75282">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6136F">
            <w:pPr>
              <w:pStyle w:val="Marginalie"/>
              <w:framePr w:w="0" w:hSpace="0" w:wrap="auto" w:vAnchor="margin" w:hAnchor="text" w:xAlign="left" w:yAlign="inline"/>
            </w:pP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775282">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775282">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775282">
              <w:rPr>
                <w:noProof/>
              </w:rPr>
              <w:t>Vorsitzender</w:t>
            </w:r>
            <w:r>
              <w:fldChar w:fldCharType="end"/>
            </w:r>
          </w:p>
          <w:p w:rsidR="00B6136F" w:rsidRDefault="00BC2C98">
            <w:pPr>
              <w:pStyle w:val="V11"/>
              <w:framePr w:wrap="auto" w:vAnchor="margin" w:hAnchor="text" w:xAlign="left" w:yAlign="inline"/>
              <w:suppressOverlap w:val="0"/>
            </w:pPr>
            <w:r>
              <w:t>Christian Kullmann</w:t>
            </w:r>
            <w:r>
              <w:br/>
            </w:r>
            <w:r w:rsidR="00B14022">
              <w:t>Thomas Wessel</w:t>
            </w:r>
            <w:r w:rsidR="000B1542">
              <w:t xml:space="preserve"> </w:t>
            </w:r>
            <w:r w:rsidR="002166B6">
              <w:br/>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775282">
              <w:rPr>
                <w:noProof/>
              </w:rPr>
              <w:t>Patrik Wohlhauser</w:t>
            </w:r>
            <w:r w:rsidR="00B14022">
              <w:fldChar w:fldCharType="end"/>
            </w:r>
          </w:p>
          <w:p w:rsidR="00B6136F" w:rsidRDefault="002166B6">
            <w:pPr>
              <w:pStyle w:val="Marginalie"/>
              <w:framePr w:w="0" w:hSpace="0" w:wrap="auto" w:vAnchor="margin" w:hAnchor="text" w:xAlign="left" w:yAlign="inline"/>
            </w:pPr>
            <w:r>
              <w:t>Ute Wolf</w:t>
            </w:r>
            <w:r>
              <w:br/>
            </w:r>
          </w:p>
          <w:p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775282">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75282">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775282">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775282">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75282">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775282">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775282">
              <w:rPr>
                <w:noProof/>
              </w:rPr>
              <w:t>B 19474</w:t>
            </w:r>
            <w:r>
              <w:fldChar w:fldCharType="end"/>
            </w:r>
          </w:p>
          <w:p w:rsidR="00B6136F" w:rsidRDefault="00B14022">
            <w:pPr>
              <w:pStyle w:val="V17"/>
              <w:framePr w:wrap="auto" w:vAnchor="margin" w:hAnchor="text" w:xAlign="left" w:yAlign="inline"/>
              <w:suppressOverlap w:val="0"/>
            </w:pPr>
            <w:r>
              <w:t>UST-IdNr. DE 811160003</w:t>
            </w:r>
          </w:p>
          <w:p w:rsidR="00B6136F" w:rsidRDefault="00B6136F">
            <w:pPr>
              <w:pStyle w:val="V18"/>
              <w:framePr w:wrap="auto" w:vAnchor="margin" w:hAnchor="text" w:xAlign="left" w:yAlign="inline"/>
              <w:suppressOverlap w:val="0"/>
            </w:pPr>
          </w:p>
        </w:tc>
      </w:tr>
    </w:tbl>
    <w:p w:rsidR="009D734A" w:rsidRDefault="009D734A" w:rsidP="002A65FE">
      <w:pPr>
        <w:ind w:left="0"/>
        <w:rPr>
          <w:u w:val="single"/>
        </w:rPr>
      </w:pPr>
      <w:r>
        <w:rPr>
          <w:u w:val="single"/>
        </w:rPr>
        <w:lastRenderedPageBreak/>
        <w:t>Wirtschaftliche Eckdaten:</w:t>
      </w:r>
    </w:p>
    <w:p w:rsidR="009D734A" w:rsidRDefault="009D734A" w:rsidP="002A65FE">
      <w:pPr>
        <w:ind w:left="0"/>
        <w:rPr>
          <w:u w:val="single"/>
        </w:rPr>
      </w:pPr>
      <w:r>
        <w:rPr>
          <w:u w:val="single"/>
        </w:rPr>
        <w:t xml:space="preserve">1. Januar – 31. </w:t>
      </w:r>
      <w:r w:rsidR="00BC2C98">
        <w:rPr>
          <w:u w:val="single"/>
        </w:rPr>
        <w:t>März 2015</w:t>
      </w:r>
      <w:r>
        <w:rPr>
          <w:u w:val="single"/>
        </w:rPr>
        <w:t xml:space="preserve"> / </w:t>
      </w:r>
      <w:r w:rsidR="00BC2C98">
        <w:rPr>
          <w:u w:val="single"/>
        </w:rPr>
        <w:t>1. Quartal 2015</w:t>
      </w:r>
    </w:p>
    <w:p w:rsidR="009D734A" w:rsidRDefault="009D734A" w:rsidP="009D734A">
      <w:pPr>
        <w:spacing w:line="300" w:lineRule="exact"/>
        <w:rPr>
          <w:u w:val="single"/>
        </w:rPr>
      </w:pPr>
    </w:p>
    <w:p w:rsidR="00DB3813" w:rsidRDefault="00DB3813" w:rsidP="00DB3813">
      <w:pPr>
        <w:ind w:left="360"/>
      </w:pPr>
    </w:p>
    <w:p w:rsidR="00DB3813" w:rsidRPr="00DB3813" w:rsidRDefault="002E2066" w:rsidP="00DB3813">
      <w:pPr>
        <w:ind w:left="0"/>
        <w:rPr>
          <w:b/>
          <w:bCs/>
          <w:sz w:val="22"/>
          <w:szCs w:val="22"/>
        </w:rPr>
      </w:pPr>
      <w:r>
        <w:rPr>
          <w:b/>
          <w:bCs/>
          <w:sz w:val="22"/>
          <w:szCs w:val="22"/>
        </w:rPr>
        <w:t>Starker</w:t>
      </w:r>
      <w:r w:rsidR="00DB3813" w:rsidRPr="00DB3813">
        <w:rPr>
          <w:b/>
          <w:bCs/>
          <w:sz w:val="22"/>
          <w:szCs w:val="22"/>
        </w:rPr>
        <w:t xml:space="preserve"> Jahresauftakt 2015 – Evonik hebt Ausblick an</w:t>
      </w:r>
    </w:p>
    <w:p w:rsidR="00DB3813" w:rsidRDefault="00DB3813" w:rsidP="00DB3813">
      <w:pPr>
        <w:rPr>
          <w:b/>
        </w:rPr>
      </w:pPr>
    </w:p>
    <w:p w:rsidR="00DB3813" w:rsidRPr="00DB3813" w:rsidRDefault="002E2066" w:rsidP="00DB3813">
      <w:pPr>
        <w:numPr>
          <w:ilvl w:val="0"/>
          <w:numId w:val="14"/>
        </w:numPr>
        <w:tabs>
          <w:tab w:val="clear" w:pos="1425"/>
          <w:tab w:val="num" w:pos="426"/>
        </w:tabs>
        <w:spacing w:line="300" w:lineRule="exact"/>
        <w:ind w:left="0" w:firstLine="0"/>
        <w:rPr>
          <w:rFonts w:cs="Lucida Sans Unicode"/>
          <w:b/>
          <w:bCs/>
          <w:position w:val="0"/>
          <w:sz w:val="20"/>
          <w:szCs w:val="20"/>
        </w:rPr>
      </w:pPr>
      <w:r>
        <w:rPr>
          <w:rFonts w:cs="Lucida Sans Unicode"/>
          <w:b/>
          <w:bCs/>
          <w:position w:val="0"/>
          <w:sz w:val="20"/>
          <w:szCs w:val="20"/>
        </w:rPr>
        <w:t>Positiver Trend aus dem zweiten Halbjahr 2014 setzt sich fort</w:t>
      </w:r>
    </w:p>
    <w:p w:rsidR="00DB3813" w:rsidRPr="00DB3813" w:rsidRDefault="00DB3813" w:rsidP="00DB3813">
      <w:pPr>
        <w:numPr>
          <w:ilvl w:val="0"/>
          <w:numId w:val="14"/>
        </w:numPr>
        <w:tabs>
          <w:tab w:val="clear" w:pos="1425"/>
          <w:tab w:val="num" w:pos="426"/>
        </w:tabs>
        <w:spacing w:line="300" w:lineRule="exact"/>
        <w:ind w:left="0" w:firstLine="0"/>
        <w:rPr>
          <w:rFonts w:cs="Lucida Sans Unicode"/>
          <w:b/>
          <w:bCs/>
          <w:position w:val="0"/>
          <w:sz w:val="20"/>
          <w:szCs w:val="20"/>
        </w:rPr>
      </w:pPr>
      <w:r w:rsidRPr="00DB3813">
        <w:rPr>
          <w:rFonts w:cs="Lucida Sans Unicode"/>
          <w:b/>
          <w:bCs/>
          <w:position w:val="0"/>
          <w:sz w:val="20"/>
          <w:szCs w:val="20"/>
        </w:rPr>
        <w:t xml:space="preserve">Konzernumsatz mit 3,4 Milliarden </w:t>
      </w:r>
      <w:r w:rsidR="00C97AD9">
        <w:rPr>
          <w:rFonts w:cs="Lucida Sans Unicode"/>
          <w:b/>
          <w:bCs/>
          <w:position w:val="0"/>
          <w:sz w:val="20"/>
          <w:szCs w:val="20"/>
        </w:rPr>
        <w:t>€</w:t>
      </w:r>
      <w:r w:rsidRPr="00DB3813">
        <w:rPr>
          <w:rFonts w:cs="Lucida Sans Unicode"/>
          <w:b/>
          <w:bCs/>
          <w:position w:val="0"/>
          <w:sz w:val="20"/>
          <w:szCs w:val="20"/>
        </w:rPr>
        <w:t xml:space="preserve"> um 7 Prozent über </w:t>
      </w:r>
      <w:r>
        <w:rPr>
          <w:rFonts w:cs="Lucida Sans Unicode"/>
          <w:b/>
          <w:bCs/>
          <w:position w:val="0"/>
          <w:sz w:val="20"/>
          <w:szCs w:val="20"/>
        </w:rPr>
        <w:tab/>
      </w:r>
      <w:r w:rsidRPr="00DB3813">
        <w:rPr>
          <w:rFonts w:cs="Lucida Sans Unicode"/>
          <w:b/>
          <w:bCs/>
          <w:position w:val="0"/>
          <w:sz w:val="20"/>
          <w:szCs w:val="20"/>
        </w:rPr>
        <w:t>Vorjahresquartal</w:t>
      </w:r>
    </w:p>
    <w:p w:rsidR="00DB3813" w:rsidRPr="00DB3813" w:rsidRDefault="00DB3813" w:rsidP="00DB3813">
      <w:pPr>
        <w:numPr>
          <w:ilvl w:val="0"/>
          <w:numId w:val="14"/>
        </w:numPr>
        <w:tabs>
          <w:tab w:val="clear" w:pos="1425"/>
          <w:tab w:val="num" w:pos="426"/>
        </w:tabs>
        <w:spacing w:line="300" w:lineRule="exact"/>
        <w:ind w:left="0" w:firstLine="0"/>
        <w:rPr>
          <w:rFonts w:cs="Lucida Sans Unicode"/>
          <w:b/>
          <w:bCs/>
          <w:position w:val="0"/>
          <w:sz w:val="20"/>
          <w:szCs w:val="20"/>
        </w:rPr>
      </w:pPr>
      <w:r w:rsidRPr="00DB3813">
        <w:rPr>
          <w:rFonts w:cs="Lucida Sans Unicode"/>
          <w:b/>
          <w:bCs/>
          <w:position w:val="0"/>
          <w:sz w:val="20"/>
          <w:szCs w:val="20"/>
        </w:rPr>
        <w:t xml:space="preserve">Bereinigtes EBITDA erheblich auf 650 Millionen €  (+40 Prozent) </w:t>
      </w:r>
      <w:r>
        <w:rPr>
          <w:rFonts w:cs="Lucida Sans Unicode"/>
          <w:b/>
          <w:bCs/>
          <w:position w:val="0"/>
          <w:sz w:val="20"/>
          <w:szCs w:val="20"/>
        </w:rPr>
        <w:tab/>
      </w:r>
      <w:r w:rsidRPr="00DB3813">
        <w:rPr>
          <w:rFonts w:cs="Lucida Sans Unicode"/>
          <w:b/>
          <w:bCs/>
          <w:position w:val="0"/>
          <w:sz w:val="20"/>
          <w:szCs w:val="20"/>
        </w:rPr>
        <w:t>verbessert</w:t>
      </w:r>
    </w:p>
    <w:p w:rsidR="00DB3813" w:rsidRPr="00DB3813" w:rsidRDefault="00DB3813" w:rsidP="00DB3813">
      <w:pPr>
        <w:numPr>
          <w:ilvl w:val="0"/>
          <w:numId w:val="14"/>
        </w:numPr>
        <w:tabs>
          <w:tab w:val="clear" w:pos="1425"/>
          <w:tab w:val="num" w:pos="426"/>
        </w:tabs>
        <w:spacing w:line="300" w:lineRule="exact"/>
        <w:ind w:left="0" w:firstLine="0"/>
        <w:rPr>
          <w:rFonts w:cs="Lucida Sans Unicode"/>
          <w:b/>
          <w:bCs/>
          <w:position w:val="0"/>
          <w:sz w:val="20"/>
          <w:szCs w:val="20"/>
        </w:rPr>
      </w:pPr>
      <w:r w:rsidRPr="00DB3813">
        <w:rPr>
          <w:rFonts w:cs="Lucida Sans Unicode"/>
          <w:b/>
          <w:bCs/>
          <w:position w:val="0"/>
          <w:sz w:val="20"/>
          <w:szCs w:val="20"/>
        </w:rPr>
        <w:t>Bereinigte EBITDA-Marge mit 19 Prozent auf hohem Niveau</w:t>
      </w:r>
    </w:p>
    <w:p w:rsidR="008F6F80" w:rsidRDefault="00DB3813" w:rsidP="00DB3813">
      <w:pPr>
        <w:numPr>
          <w:ilvl w:val="0"/>
          <w:numId w:val="14"/>
        </w:numPr>
        <w:tabs>
          <w:tab w:val="clear" w:pos="1425"/>
          <w:tab w:val="num" w:pos="426"/>
        </w:tabs>
        <w:spacing w:line="300" w:lineRule="exact"/>
        <w:ind w:left="0" w:firstLine="0"/>
        <w:rPr>
          <w:rFonts w:cs="Lucida Sans Unicode"/>
          <w:b/>
          <w:bCs/>
          <w:position w:val="0"/>
          <w:sz w:val="20"/>
          <w:szCs w:val="20"/>
        </w:rPr>
      </w:pPr>
      <w:r w:rsidRPr="008F6F80">
        <w:rPr>
          <w:rFonts w:cs="Lucida Sans Unicode"/>
          <w:b/>
          <w:bCs/>
          <w:position w:val="0"/>
          <w:sz w:val="20"/>
          <w:szCs w:val="20"/>
        </w:rPr>
        <w:t xml:space="preserve">Bereinigtes Konzernergebnis steigt </w:t>
      </w:r>
      <w:r w:rsidR="00C97AD9">
        <w:rPr>
          <w:rFonts w:cs="Lucida Sans Unicode"/>
          <w:b/>
          <w:bCs/>
          <w:position w:val="0"/>
          <w:sz w:val="20"/>
          <w:szCs w:val="20"/>
        </w:rPr>
        <w:t xml:space="preserve">wesentlich </w:t>
      </w:r>
      <w:r w:rsidRPr="008F6F80">
        <w:rPr>
          <w:rFonts w:cs="Lucida Sans Unicode"/>
          <w:b/>
          <w:bCs/>
          <w:position w:val="0"/>
          <w:sz w:val="20"/>
          <w:szCs w:val="20"/>
        </w:rPr>
        <w:t xml:space="preserve">auf 320 Millionen € </w:t>
      </w:r>
    </w:p>
    <w:p w:rsidR="008F6F80" w:rsidRPr="0039125D" w:rsidRDefault="008F6F80" w:rsidP="0039125D">
      <w:pPr>
        <w:spacing w:line="300" w:lineRule="exact"/>
        <w:ind w:left="426"/>
        <w:rPr>
          <w:rFonts w:cs="Lucida Sans Unicode"/>
          <w:bCs/>
          <w:position w:val="0"/>
          <w:sz w:val="16"/>
          <w:szCs w:val="16"/>
        </w:rPr>
      </w:pPr>
      <w:r w:rsidRPr="0039125D">
        <w:rPr>
          <w:rFonts w:cs="Lucida Sans Unicode"/>
          <w:b/>
          <w:bCs/>
          <w:position w:val="0"/>
          <w:sz w:val="20"/>
          <w:szCs w:val="20"/>
        </w:rPr>
        <w:t>(+ 6</w:t>
      </w:r>
      <w:r w:rsidR="00C97AD9" w:rsidRPr="0039125D">
        <w:rPr>
          <w:rFonts w:cs="Lucida Sans Unicode"/>
          <w:b/>
          <w:bCs/>
          <w:position w:val="0"/>
          <w:sz w:val="20"/>
          <w:szCs w:val="20"/>
        </w:rPr>
        <w:t>3</w:t>
      </w:r>
      <w:r w:rsidRPr="0039125D">
        <w:rPr>
          <w:rFonts w:cs="Lucida Sans Unicode"/>
          <w:b/>
          <w:bCs/>
          <w:position w:val="0"/>
          <w:sz w:val="20"/>
          <w:szCs w:val="20"/>
        </w:rPr>
        <w:t xml:space="preserve"> Prozent)</w:t>
      </w:r>
      <w:r w:rsidR="0027719B" w:rsidRPr="0039125D">
        <w:rPr>
          <w:rFonts w:cs="Lucida Sans Unicode"/>
          <w:b/>
          <w:bCs/>
          <w:position w:val="0"/>
          <w:sz w:val="20"/>
          <w:szCs w:val="20"/>
        </w:rPr>
        <w:t xml:space="preserve"> </w:t>
      </w:r>
    </w:p>
    <w:p w:rsidR="00DB3813" w:rsidRPr="008F6F80" w:rsidRDefault="00DB3813" w:rsidP="00DB3813">
      <w:pPr>
        <w:numPr>
          <w:ilvl w:val="0"/>
          <w:numId w:val="14"/>
        </w:numPr>
        <w:tabs>
          <w:tab w:val="clear" w:pos="1425"/>
          <w:tab w:val="num" w:pos="426"/>
        </w:tabs>
        <w:spacing w:line="300" w:lineRule="exact"/>
        <w:ind w:left="0" w:firstLine="0"/>
        <w:rPr>
          <w:rFonts w:cs="Lucida Sans Unicode"/>
          <w:b/>
          <w:bCs/>
          <w:position w:val="0"/>
          <w:sz w:val="20"/>
          <w:szCs w:val="20"/>
        </w:rPr>
      </w:pPr>
      <w:r w:rsidRPr="008F6F80">
        <w:rPr>
          <w:rFonts w:cs="Lucida Sans Unicode"/>
          <w:b/>
          <w:bCs/>
          <w:position w:val="0"/>
          <w:sz w:val="20"/>
          <w:szCs w:val="20"/>
        </w:rPr>
        <w:t xml:space="preserve">Ausblick für das Gesamtjahr angehoben: Umsatz leicht über Vorjahr, </w:t>
      </w:r>
      <w:r w:rsidRPr="008F6F80">
        <w:rPr>
          <w:rFonts w:cs="Lucida Sans Unicode"/>
          <w:b/>
          <w:bCs/>
          <w:position w:val="0"/>
          <w:sz w:val="20"/>
          <w:szCs w:val="20"/>
        </w:rPr>
        <w:tab/>
        <w:t>bereinigtes EBITDA bei mindestens 2,2 Milliarden € erwartet</w:t>
      </w:r>
    </w:p>
    <w:p w:rsidR="00DB3813" w:rsidRDefault="00DB3813" w:rsidP="00DB3813">
      <w:pPr>
        <w:spacing w:line="300" w:lineRule="exact"/>
        <w:ind w:left="0"/>
        <w:rPr>
          <w:rFonts w:cs="Lucida Sans Unicode"/>
          <w:b/>
          <w:bCs/>
          <w:position w:val="0"/>
          <w:sz w:val="20"/>
          <w:szCs w:val="20"/>
        </w:rPr>
      </w:pPr>
    </w:p>
    <w:p w:rsidR="00DB3813" w:rsidRPr="00DB3813" w:rsidRDefault="00DB3813" w:rsidP="00DB3813">
      <w:pPr>
        <w:spacing w:line="300" w:lineRule="exact"/>
        <w:ind w:left="0"/>
        <w:rPr>
          <w:rFonts w:cs="Lucida Sans Unicode"/>
          <w:b/>
          <w:bCs/>
          <w:position w:val="0"/>
          <w:sz w:val="20"/>
          <w:szCs w:val="20"/>
        </w:rPr>
      </w:pPr>
    </w:p>
    <w:p w:rsidR="00DB3813" w:rsidRPr="00DB3813" w:rsidRDefault="00DB3813" w:rsidP="0039125D">
      <w:pPr>
        <w:spacing w:line="300" w:lineRule="atLeast"/>
        <w:rPr>
          <w:sz w:val="20"/>
          <w:szCs w:val="20"/>
        </w:rPr>
      </w:pPr>
      <w:r w:rsidRPr="00DB3813">
        <w:rPr>
          <w:rFonts w:cs="Lucida Sans Unicode"/>
          <w:b/>
          <w:sz w:val="20"/>
          <w:szCs w:val="20"/>
        </w:rPr>
        <w:t>Essen</w:t>
      </w:r>
      <w:r w:rsidRPr="00DB3813">
        <w:rPr>
          <w:rFonts w:cs="Lucida Sans Unicode"/>
          <w:sz w:val="20"/>
          <w:szCs w:val="20"/>
        </w:rPr>
        <w:t xml:space="preserve">. </w:t>
      </w:r>
      <w:r w:rsidR="002E2066">
        <w:rPr>
          <w:rFonts w:cs="Lucida Sans Unicode"/>
          <w:sz w:val="20"/>
          <w:szCs w:val="20"/>
        </w:rPr>
        <w:t xml:space="preserve">Mit einem starken Ergebnis ist </w:t>
      </w:r>
      <w:r w:rsidRPr="00DB3813">
        <w:rPr>
          <w:rFonts w:cs="Lucida Sans Unicode"/>
          <w:sz w:val="20"/>
          <w:szCs w:val="20"/>
        </w:rPr>
        <w:t xml:space="preserve">Evonik Industries in das Geschäftsjahr 2015 gestartet. Das Spezialchemieunternehmen erzielte eines der </w:t>
      </w:r>
      <w:r w:rsidR="002E2066">
        <w:rPr>
          <w:rFonts w:cs="Lucida Sans Unicode"/>
          <w:sz w:val="20"/>
          <w:szCs w:val="20"/>
        </w:rPr>
        <w:t xml:space="preserve">besten </w:t>
      </w:r>
      <w:r w:rsidRPr="00DB3813">
        <w:rPr>
          <w:sz w:val="20"/>
          <w:szCs w:val="20"/>
        </w:rPr>
        <w:t>Quartal</w:t>
      </w:r>
      <w:r w:rsidR="00885420">
        <w:rPr>
          <w:sz w:val="20"/>
          <w:szCs w:val="20"/>
        </w:rPr>
        <w:t>sergebnisse</w:t>
      </w:r>
      <w:r w:rsidR="002E2066">
        <w:rPr>
          <w:sz w:val="20"/>
          <w:szCs w:val="20"/>
        </w:rPr>
        <w:t xml:space="preserve"> seit 2009</w:t>
      </w:r>
      <w:r w:rsidRPr="00DB3813">
        <w:rPr>
          <w:sz w:val="20"/>
          <w:szCs w:val="20"/>
        </w:rPr>
        <w:t xml:space="preserve">.   </w:t>
      </w:r>
    </w:p>
    <w:p w:rsidR="00DB3813" w:rsidRDefault="00DB3813" w:rsidP="0039125D">
      <w:pPr>
        <w:spacing w:line="300" w:lineRule="atLeast"/>
      </w:pPr>
      <w:r>
        <w:t xml:space="preserve"> </w:t>
      </w:r>
    </w:p>
    <w:p w:rsidR="00DB3813" w:rsidRPr="00DB3813" w:rsidRDefault="00DB3813" w:rsidP="0039125D">
      <w:pPr>
        <w:spacing w:line="300" w:lineRule="atLeast"/>
        <w:rPr>
          <w:sz w:val="20"/>
          <w:szCs w:val="20"/>
        </w:rPr>
      </w:pPr>
      <w:r w:rsidRPr="00DB3813">
        <w:rPr>
          <w:sz w:val="20"/>
          <w:szCs w:val="20"/>
        </w:rPr>
        <w:t>„Der positive Trend aus dem zweiten Halbjahr 2014 hat sich</w:t>
      </w:r>
      <w:r w:rsidR="00101D94">
        <w:rPr>
          <w:sz w:val="20"/>
          <w:szCs w:val="20"/>
        </w:rPr>
        <w:t xml:space="preserve"> </w:t>
      </w:r>
      <w:r w:rsidR="00C97AD9">
        <w:rPr>
          <w:sz w:val="20"/>
          <w:szCs w:val="20"/>
        </w:rPr>
        <w:t>fortgesetzt</w:t>
      </w:r>
      <w:r w:rsidRPr="00DB3813">
        <w:rPr>
          <w:sz w:val="20"/>
          <w:szCs w:val="20"/>
        </w:rPr>
        <w:t xml:space="preserve">“, stellte </w:t>
      </w:r>
      <w:r w:rsidRPr="00DB3813">
        <w:rPr>
          <w:b/>
          <w:sz w:val="20"/>
          <w:szCs w:val="20"/>
        </w:rPr>
        <w:t>Klaus Engel, Vorstandsvorsitzender der Evonik Industries AG</w:t>
      </w:r>
      <w:r w:rsidRPr="00DB3813">
        <w:rPr>
          <w:sz w:val="20"/>
          <w:szCs w:val="20"/>
        </w:rPr>
        <w:t xml:space="preserve">, heute anlässlich der Vorstellung der wirtschaftlichen Eckdaten für das erste Quartal fest. „Erfreulich </w:t>
      </w:r>
      <w:r w:rsidR="00101D94">
        <w:rPr>
          <w:sz w:val="20"/>
          <w:szCs w:val="20"/>
        </w:rPr>
        <w:t xml:space="preserve">an unserer deutlichen Ergebnissteigerung </w:t>
      </w:r>
      <w:r w:rsidRPr="00DB3813">
        <w:rPr>
          <w:sz w:val="20"/>
          <w:szCs w:val="20"/>
        </w:rPr>
        <w:t xml:space="preserve">ist, dass drei Viertel unserer 22 Geschäftsgebiete ihre Ergebnisse gegenüber dem Vorjahr verbessern konnten“, so Engel weiter. Mit Blick auf das Gesamtjahr zeigte er sich optimistisch: „Unsere bisher prognostizierten Ziele </w:t>
      </w:r>
      <w:r w:rsidR="0027719B">
        <w:rPr>
          <w:sz w:val="20"/>
          <w:szCs w:val="20"/>
        </w:rPr>
        <w:t xml:space="preserve">für 2015 </w:t>
      </w:r>
      <w:r w:rsidRPr="00DB3813">
        <w:rPr>
          <w:sz w:val="20"/>
          <w:szCs w:val="20"/>
        </w:rPr>
        <w:t>werden wir übertreffen.“</w:t>
      </w:r>
    </w:p>
    <w:p w:rsidR="00DB3813" w:rsidRDefault="00DB3813" w:rsidP="00DB3813">
      <w:pPr>
        <w:jc w:val="both"/>
      </w:pPr>
    </w:p>
    <w:p w:rsidR="00DB3813" w:rsidRPr="00DB3813" w:rsidRDefault="00885420" w:rsidP="00524815">
      <w:pPr>
        <w:spacing w:line="300" w:lineRule="atLeast"/>
        <w:rPr>
          <w:sz w:val="20"/>
          <w:szCs w:val="20"/>
        </w:rPr>
      </w:pPr>
      <w:r>
        <w:rPr>
          <w:sz w:val="20"/>
          <w:szCs w:val="20"/>
        </w:rPr>
        <w:t>D</w:t>
      </w:r>
      <w:r w:rsidR="00DB3813" w:rsidRPr="00DB3813">
        <w:rPr>
          <w:sz w:val="20"/>
          <w:szCs w:val="20"/>
        </w:rPr>
        <w:t xml:space="preserve">ie Segmente Nutrition &amp; Care sowie Resource Efficiency verzeichneten ein dynamisches Wachstum. Bei weltweit lebhafter Nachfrage </w:t>
      </w:r>
      <w:r>
        <w:rPr>
          <w:sz w:val="20"/>
          <w:szCs w:val="20"/>
        </w:rPr>
        <w:t>konnten</w:t>
      </w:r>
      <w:r w:rsidR="00DB3813" w:rsidRPr="00DB3813">
        <w:rPr>
          <w:sz w:val="20"/>
          <w:szCs w:val="20"/>
        </w:rPr>
        <w:t xml:space="preserve"> die Absatzmengen im Vergleich zum Vorjahr </w:t>
      </w:r>
      <w:r w:rsidR="00101D94">
        <w:rPr>
          <w:sz w:val="20"/>
          <w:szCs w:val="20"/>
        </w:rPr>
        <w:t xml:space="preserve">deutlich </w:t>
      </w:r>
      <w:r w:rsidR="00DB3813" w:rsidRPr="00DB3813">
        <w:rPr>
          <w:sz w:val="20"/>
          <w:szCs w:val="20"/>
        </w:rPr>
        <w:t>gesteigert</w:t>
      </w:r>
      <w:r>
        <w:rPr>
          <w:sz w:val="20"/>
          <w:szCs w:val="20"/>
        </w:rPr>
        <w:t xml:space="preserve"> werden</w:t>
      </w:r>
      <w:r w:rsidR="00DB3813" w:rsidRPr="00DB3813">
        <w:rPr>
          <w:sz w:val="20"/>
          <w:szCs w:val="20"/>
        </w:rPr>
        <w:t xml:space="preserve">. </w:t>
      </w:r>
      <w:r w:rsidR="0094673B">
        <w:rPr>
          <w:sz w:val="20"/>
          <w:szCs w:val="20"/>
        </w:rPr>
        <w:t>Deshalb</w:t>
      </w:r>
      <w:r w:rsidR="00DB3813" w:rsidRPr="00DB3813">
        <w:rPr>
          <w:sz w:val="20"/>
          <w:szCs w:val="20"/>
        </w:rPr>
        <w:t xml:space="preserve"> </w:t>
      </w:r>
      <w:r w:rsidR="002E2066">
        <w:rPr>
          <w:sz w:val="20"/>
          <w:szCs w:val="20"/>
        </w:rPr>
        <w:t xml:space="preserve">sind </w:t>
      </w:r>
      <w:r w:rsidR="00DB3813" w:rsidRPr="00DB3813">
        <w:rPr>
          <w:sz w:val="20"/>
          <w:szCs w:val="20"/>
        </w:rPr>
        <w:t xml:space="preserve">im vergangenen Jahr in Betrieb genommene Produktionsanlagen </w:t>
      </w:r>
      <w:r w:rsidR="002E2066">
        <w:rPr>
          <w:sz w:val="20"/>
          <w:szCs w:val="20"/>
        </w:rPr>
        <w:t>bereits gut ausgelastet.</w:t>
      </w:r>
      <w:r w:rsidR="00DB3813" w:rsidRPr="00DB3813">
        <w:rPr>
          <w:sz w:val="20"/>
          <w:szCs w:val="20"/>
        </w:rPr>
        <w:t xml:space="preserve"> Gleichzeitig zogen die Verkaufspreise im Segment Nutrition &amp; Care deutlich an, während sie im Segment Performance Materials vor allem infolge des geringeren Rohölpreises nochmals nachgaben. Insgesamt </w:t>
      </w:r>
      <w:r w:rsidR="003F2209" w:rsidRPr="003F2209">
        <w:rPr>
          <w:sz w:val="20"/>
          <w:szCs w:val="20"/>
        </w:rPr>
        <w:t xml:space="preserve">glichen sich die Preiseffekte der Segmente aus, so dass die Verkaufspreise im Konzern stabil </w:t>
      </w:r>
      <w:r w:rsidR="00DB3813" w:rsidRPr="00DB3813">
        <w:rPr>
          <w:sz w:val="20"/>
          <w:szCs w:val="20"/>
        </w:rPr>
        <w:t xml:space="preserve">blieben. Das bereinigte EBITDA </w:t>
      </w:r>
      <w:r>
        <w:rPr>
          <w:sz w:val="20"/>
          <w:szCs w:val="20"/>
        </w:rPr>
        <w:t xml:space="preserve">des </w:t>
      </w:r>
      <w:r w:rsidR="002E2066">
        <w:rPr>
          <w:sz w:val="20"/>
          <w:szCs w:val="20"/>
        </w:rPr>
        <w:t>Unternehmens</w:t>
      </w:r>
      <w:r>
        <w:rPr>
          <w:sz w:val="20"/>
          <w:szCs w:val="20"/>
        </w:rPr>
        <w:t xml:space="preserve"> </w:t>
      </w:r>
      <w:r w:rsidR="00DB3813" w:rsidRPr="00DB3813">
        <w:rPr>
          <w:sz w:val="20"/>
          <w:szCs w:val="20"/>
        </w:rPr>
        <w:t xml:space="preserve">verbesserte sich </w:t>
      </w:r>
      <w:r w:rsidR="00DB3813" w:rsidRPr="00DB3813">
        <w:rPr>
          <w:sz w:val="20"/>
          <w:szCs w:val="20"/>
        </w:rPr>
        <w:lastRenderedPageBreak/>
        <w:t xml:space="preserve">sowohl gegenüber den Vorquartalen als auch </w:t>
      </w:r>
      <w:r w:rsidR="00101D94">
        <w:rPr>
          <w:sz w:val="20"/>
          <w:szCs w:val="20"/>
        </w:rPr>
        <w:t>im Vergleich zum</w:t>
      </w:r>
      <w:r w:rsidR="00DB3813" w:rsidRPr="00DB3813">
        <w:rPr>
          <w:sz w:val="20"/>
          <w:szCs w:val="20"/>
        </w:rPr>
        <w:t xml:space="preserve"> Vorjahresquartal erheblich. Auch </w:t>
      </w:r>
      <w:r w:rsidR="00101D94">
        <w:rPr>
          <w:sz w:val="20"/>
          <w:szCs w:val="20"/>
        </w:rPr>
        <w:t xml:space="preserve">daran hatten </w:t>
      </w:r>
      <w:r w:rsidR="00DB3813" w:rsidRPr="00DB3813">
        <w:rPr>
          <w:sz w:val="20"/>
          <w:szCs w:val="20"/>
        </w:rPr>
        <w:t xml:space="preserve">die Segmente Nutrition &amp; Care sowie Resource Efficiency </w:t>
      </w:r>
      <w:r w:rsidR="00101D94">
        <w:rPr>
          <w:sz w:val="20"/>
          <w:szCs w:val="20"/>
        </w:rPr>
        <w:t>wesentlichen Anteil. Währungseffekte wirkten zusätzlich positiv auf das Umsatz- und Ergebniswachstum.</w:t>
      </w:r>
    </w:p>
    <w:p w:rsidR="00DB3813" w:rsidRDefault="00DB3813" w:rsidP="00DB3813">
      <w:pPr>
        <w:spacing w:line="300" w:lineRule="atLeast"/>
        <w:jc w:val="both"/>
        <w:rPr>
          <w:sz w:val="20"/>
          <w:szCs w:val="20"/>
        </w:rPr>
      </w:pPr>
    </w:p>
    <w:p w:rsidR="008F6F80" w:rsidRPr="008F6F80" w:rsidRDefault="008F6F80" w:rsidP="00891CE7">
      <w:pPr>
        <w:spacing w:after="120" w:line="300" w:lineRule="atLeast"/>
        <w:rPr>
          <w:b/>
          <w:sz w:val="20"/>
          <w:szCs w:val="20"/>
        </w:rPr>
      </w:pPr>
      <w:r w:rsidRPr="008F6F80">
        <w:rPr>
          <w:b/>
          <w:sz w:val="20"/>
          <w:szCs w:val="20"/>
        </w:rPr>
        <w:t>Ausblick 2015</w:t>
      </w:r>
      <w:r>
        <w:rPr>
          <w:b/>
          <w:sz w:val="20"/>
          <w:szCs w:val="20"/>
        </w:rPr>
        <w:t xml:space="preserve"> wird angehoben</w:t>
      </w:r>
    </w:p>
    <w:p w:rsidR="00885420" w:rsidRPr="00F274E1" w:rsidRDefault="00885420" w:rsidP="00885420">
      <w:pPr>
        <w:spacing w:line="300" w:lineRule="atLeast"/>
        <w:rPr>
          <w:sz w:val="20"/>
          <w:szCs w:val="20"/>
        </w:rPr>
      </w:pPr>
      <w:r w:rsidRPr="00F274E1">
        <w:rPr>
          <w:sz w:val="20"/>
          <w:szCs w:val="20"/>
        </w:rPr>
        <w:t xml:space="preserve">Vor dem Hintergrund der </w:t>
      </w:r>
      <w:r w:rsidR="008A3CCA">
        <w:rPr>
          <w:sz w:val="20"/>
          <w:szCs w:val="20"/>
        </w:rPr>
        <w:t>positiven Geschäf</w:t>
      </w:r>
      <w:r w:rsidR="006B3C32">
        <w:rPr>
          <w:sz w:val="20"/>
          <w:szCs w:val="20"/>
        </w:rPr>
        <w:t>t</w:t>
      </w:r>
      <w:r w:rsidR="008A3CCA">
        <w:rPr>
          <w:sz w:val="20"/>
          <w:szCs w:val="20"/>
        </w:rPr>
        <w:t>sentwicklung</w:t>
      </w:r>
      <w:r w:rsidRPr="00F274E1">
        <w:rPr>
          <w:sz w:val="20"/>
          <w:szCs w:val="20"/>
        </w:rPr>
        <w:t xml:space="preserve"> im ersten Quartal hebt Evonik den Ausblick für das Gesamtjahr an. Es wird weiterhin mit einem leicht höheren Umsatz (2014: 12,9 Milliarden €) gerechnet. Für das bereinigte EBITDA wird </w:t>
      </w:r>
      <w:r w:rsidR="006B3C32">
        <w:rPr>
          <w:sz w:val="20"/>
          <w:szCs w:val="20"/>
        </w:rPr>
        <w:t xml:space="preserve">nun </w:t>
      </w:r>
      <w:r w:rsidRPr="00F274E1">
        <w:rPr>
          <w:sz w:val="20"/>
          <w:szCs w:val="20"/>
        </w:rPr>
        <w:t xml:space="preserve">ein Wert von mindestens 2,2 Milliarden € (2014: 1.882 Millionen €) erwartet, nachdem zu Beginn des Geschäftsjahres von einer leichten Zunahme ausgegangen wurde. In der </w:t>
      </w:r>
      <w:r w:rsidR="006B3C32">
        <w:rPr>
          <w:sz w:val="20"/>
          <w:szCs w:val="20"/>
        </w:rPr>
        <w:t>erwarteten</w:t>
      </w:r>
      <w:r w:rsidR="006B3C32" w:rsidRPr="00F274E1">
        <w:rPr>
          <w:sz w:val="20"/>
          <w:szCs w:val="20"/>
        </w:rPr>
        <w:t xml:space="preserve"> </w:t>
      </w:r>
      <w:r w:rsidRPr="00F274E1">
        <w:rPr>
          <w:sz w:val="20"/>
          <w:szCs w:val="20"/>
        </w:rPr>
        <w:t xml:space="preserve">Umsatz- und Ergebnisentwicklung sind </w:t>
      </w:r>
      <w:r w:rsidR="006B3C32">
        <w:rPr>
          <w:sz w:val="20"/>
          <w:szCs w:val="20"/>
        </w:rPr>
        <w:t xml:space="preserve">im Vergleich zur </w:t>
      </w:r>
      <w:r w:rsidR="006B3C32" w:rsidRPr="00F274E1">
        <w:rPr>
          <w:sz w:val="20"/>
          <w:szCs w:val="20"/>
        </w:rPr>
        <w:t xml:space="preserve"> </w:t>
      </w:r>
      <w:r w:rsidR="006B3C32">
        <w:rPr>
          <w:sz w:val="20"/>
          <w:szCs w:val="20"/>
        </w:rPr>
        <w:t xml:space="preserve">Prognose vom Jahresbeginn nun </w:t>
      </w:r>
      <w:r w:rsidRPr="00F274E1">
        <w:rPr>
          <w:sz w:val="20"/>
          <w:szCs w:val="20"/>
        </w:rPr>
        <w:t>positive Einflüsse aus Wechselkurseffekten enthalten (</w:t>
      </w:r>
      <w:r w:rsidR="008A3CCA">
        <w:rPr>
          <w:sz w:val="20"/>
          <w:szCs w:val="20"/>
        </w:rPr>
        <w:t xml:space="preserve">zugrunde liegender </w:t>
      </w:r>
      <w:r w:rsidRPr="00F274E1">
        <w:rPr>
          <w:sz w:val="20"/>
          <w:szCs w:val="20"/>
        </w:rPr>
        <w:t>Wechselkurs Euro/US-Dollar:</w:t>
      </w:r>
      <w:r w:rsidR="008577CD">
        <w:rPr>
          <w:sz w:val="20"/>
          <w:szCs w:val="20"/>
        </w:rPr>
        <w:t xml:space="preserve"> </w:t>
      </w:r>
      <w:r w:rsidRPr="00F274E1">
        <w:rPr>
          <w:sz w:val="20"/>
          <w:szCs w:val="20"/>
        </w:rPr>
        <w:t>1,13 US-$, zuvor:</w:t>
      </w:r>
      <w:r w:rsidR="006B3C32">
        <w:rPr>
          <w:sz w:val="20"/>
          <w:szCs w:val="20"/>
        </w:rPr>
        <w:t xml:space="preserve"> rund </w:t>
      </w:r>
      <w:r w:rsidRPr="00F274E1">
        <w:rPr>
          <w:sz w:val="20"/>
          <w:szCs w:val="20"/>
        </w:rPr>
        <w:t>1,30</w:t>
      </w:r>
      <w:r w:rsidR="006B3C32">
        <w:rPr>
          <w:sz w:val="20"/>
          <w:szCs w:val="20"/>
        </w:rPr>
        <w:t xml:space="preserve"> </w:t>
      </w:r>
      <w:r w:rsidRPr="00F274E1">
        <w:rPr>
          <w:sz w:val="20"/>
          <w:szCs w:val="20"/>
        </w:rPr>
        <w:t>US-$)</w:t>
      </w:r>
      <w:r w:rsidR="00ED541E">
        <w:rPr>
          <w:sz w:val="20"/>
          <w:szCs w:val="20"/>
        </w:rPr>
        <w:t>.</w:t>
      </w:r>
    </w:p>
    <w:p w:rsidR="00885420" w:rsidRDefault="00885420" w:rsidP="00DB3813">
      <w:pPr>
        <w:spacing w:line="300" w:lineRule="atLeast"/>
        <w:jc w:val="both"/>
        <w:rPr>
          <w:sz w:val="20"/>
          <w:szCs w:val="20"/>
        </w:rPr>
      </w:pPr>
    </w:p>
    <w:p w:rsidR="00885420" w:rsidRPr="00885420" w:rsidRDefault="00885420" w:rsidP="00891CE7">
      <w:pPr>
        <w:spacing w:after="120" w:line="300" w:lineRule="atLeast"/>
        <w:rPr>
          <w:b/>
          <w:sz w:val="20"/>
          <w:szCs w:val="20"/>
        </w:rPr>
      </w:pPr>
      <w:r w:rsidRPr="00885420">
        <w:rPr>
          <w:b/>
          <w:sz w:val="20"/>
          <w:szCs w:val="20"/>
        </w:rPr>
        <w:t>Entwicklung in den Segmenten</w:t>
      </w:r>
    </w:p>
    <w:p w:rsidR="00885420" w:rsidRPr="00F274E1" w:rsidRDefault="000A227A" w:rsidP="00885420">
      <w:pPr>
        <w:spacing w:line="300" w:lineRule="atLeast"/>
        <w:rPr>
          <w:sz w:val="20"/>
          <w:szCs w:val="20"/>
        </w:rPr>
      </w:pPr>
      <w:r>
        <w:rPr>
          <w:sz w:val="20"/>
          <w:szCs w:val="20"/>
        </w:rPr>
        <w:t xml:space="preserve">Evonik hat zu Jahresbeginn 2015 seine Führungs- und Portfoliostruktur umgebaut. </w:t>
      </w:r>
      <w:r w:rsidR="00885420" w:rsidRPr="00F274E1">
        <w:rPr>
          <w:sz w:val="20"/>
          <w:szCs w:val="20"/>
        </w:rPr>
        <w:t xml:space="preserve">Die drei operativen Chemiesegmente Nutrition &amp; Care, Resource Efficiency und Performance Materials werden von rechtlich </w:t>
      </w:r>
      <w:r w:rsidR="0094673B">
        <w:rPr>
          <w:sz w:val="20"/>
          <w:szCs w:val="20"/>
        </w:rPr>
        <w:t>eigen</w:t>
      </w:r>
      <w:r w:rsidR="00885420" w:rsidRPr="00F274E1">
        <w:rPr>
          <w:sz w:val="20"/>
          <w:szCs w:val="20"/>
        </w:rPr>
        <w:t>ständigen GmbHs geführt und haben größere unternehmerische Freiheiten als die bisherigen Segmente</w:t>
      </w:r>
      <w:r w:rsidR="008F6F80">
        <w:rPr>
          <w:sz w:val="20"/>
          <w:szCs w:val="20"/>
        </w:rPr>
        <w:t xml:space="preserve"> Consumer, Health &amp; Nutrition, Resource Efficiency und Specialty Materials.</w:t>
      </w:r>
      <w:r w:rsidR="00885420" w:rsidRPr="00F274E1">
        <w:rPr>
          <w:sz w:val="20"/>
          <w:szCs w:val="20"/>
        </w:rPr>
        <w:t xml:space="preserve"> </w:t>
      </w:r>
    </w:p>
    <w:p w:rsidR="00885420" w:rsidRDefault="00885420" w:rsidP="00524815">
      <w:pPr>
        <w:spacing w:line="300" w:lineRule="atLeast"/>
        <w:rPr>
          <w:sz w:val="20"/>
          <w:szCs w:val="20"/>
        </w:rPr>
      </w:pPr>
    </w:p>
    <w:p w:rsidR="00DB3813" w:rsidRDefault="00DB3813" w:rsidP="00524815">
      <w:pPr>
        <w:spacing w:line="300" w:lineRule="atLeast"/>
        <w:rPr>
          <w:sz w:val="20"/>
          <w:szCs w:val="20"/>
        </w:rPr>
      </w:pPr>
      <w:r w:rsidRPr="00524815">
        <w:rPr>
          <w:sz w:val="20"/>
          <w:szCs w:val="20"/>
        </w:rPr>
        <w:t xml:space="preserve">Im Segment </w:t>
      </w:r>
      <w:r w:rsidRPr="00524815">
        <w:rPr>
          <w:b/>
          <w:sz w:val="20"/>
          <w:szCs w:val="20"/>
        </w:rPr>
        <w:t>Nutrition &amp; Care</w:t>
      </w:r>
      <w:r w:rsidR="006B3C32">
        <w:rPr>
          <w:sz w:val="20"/>
          <w:szCs w:val="20"/>
        </w:rPr>
        <w:t xml:space="preserve"> </w:t>
      </w:r>
      <w:r w:rsidR="00885420">
        <w:rPr>
          <w:sz w:val="20"/>
          <w:szCs w:val="20"/>
        </w:rPr>
        <w:t>konnte</w:t>
      </w:r>
      <w:r w:rsidRPr="00524815">
        <w:rPr>
          <w:sz w:val="20"/>
          <w:szCs w:val="20"/>
        </w:rPr>
        <w:t xml:space="preserve"> </w:t>
      </w:r>
      <w:r w:rsidR="000A227A">
        <w:rPr>
          <w:sz w:val="20"/>
          <w:szCs w:val="20"/>
        </w:rPr>
        <w:t>bei einem Umsatz von 1.229 Millionen € (Vorjahr: 962 Millionen €</w:t>
      </w:r>
      <w:r w:rsidR="00C97AD9">
        <w:rPr>
          <w:sz w:val="20"/>
          <w:szCs w:val="20"/>
        </w:rPr>
        <w:t>, + 28 Prozent</w:t>
      </w:r>
      <w:r w:rsidR="000A227A">
        <w:rPr>
          <w:sz w:val="20"/>
          <w:szCs w:val="20"/>
        </w:rPr>
        <w:t xml:space="preserve">) </w:t>
      </w:r>
      <w:r w:rsidRPr="00524815">
        <w:rPr>
          <w:sz w:val="20"/>
          <w:szCs w:val="20"/>
        </w:rPr>
        <w:t xml:space="preserve">das bereinigte EBITDA erheblich </w:t>
      </w:r>
      <w:r w:rsidR="00C97AD9">
        <w:rPr>
          <w:sz w:val="20"/>
          <w:szCs w:val="20"/>
        </w:rPr>
        <w:t>auf</w:t>
      </w:r>
      <w:r w:rsidRPr="00524815">
        <w:rPr>
          <w:sz w:val="20"/>
          <w:szCs w:val="20"/>
        </w:rPr>
        <w:t xml:space="preserve"> 353 Millionen € </w:t>
      </w:r>
      <w:r w:rsidR="008A3CCA">
        <w:rPr>
          <w:sz w:val="20"/>
          <w:szCs w:val="20"/>
        </w:rPr>
        <w:t>(Vor</w:t>
      </w:r>
      <w:r w:rsidRPr="00524815">
        <w:rPr>
          <w:sz w:val="20"/>
          <w:szCs w:val="20"/>
        </w:rPr>
        <w:t>jahresquartal</w:t>
      </w:r>
      <w:r w:rsidR="008A3CCA">
        <w:rPr>
          <w:sz w:val="20"/>
          <w:szCs w:val="20"/>
        </w:rPr>
        <w:t>: 186 Millionen €)</w:t>
      </w:r>
      <w:r w:rsidR="00C97AD9">
        <w:rPr>
          <w:sz w:val="20"/>
          <w:szCs w:val="20"/>
        </w:rPr>
        <w:t xml:space="preserve"> gesteigert werden</w:t>
      </w:r>
      <w:r w:rsidRPr="00524815">
        <w:rPr>
          <w:sz w:val="20"/>
          <w:szCs w:val="20"/>
        </w:rPr>
        <w:t>. Die bereinigte EBITDA-Marge lag mit 28,7 Prozent auf einem hervorragenden Niveau. Das Segment profitierte von gestiegenen Mengen</w:t>
      </w:r>
      <w:r w:rsidR="008A3CCA">
        <w:rPr>
          <w:sz w:val="20"/>
          <w:szCs w:val="20"/>
        </w:rPr>
        <w:t xml:space="preserve"> und</w:t>
      </w:r>
      <w:r w:rsidRPr="00524815">
        <w:rPr>
          <w:sz w:val="20"/>
          <w:szCs w:val="20"/>
        </w:rPr>
        <w:t xml:space="preserve"> deutlich höheren Verkaufspreisen</w:t>
      </w:r>
      <w:r w:rsidR="008A3CCA">
        <w:rPr>
          <w:sz w:val="20"/>
          <w:szCs w:val="20"/>
        </w:rPr>
        <w:t>, insbesondere bei Aminosäuren für die Tierernährung.</w:t>
      </w:r>
      <w:r w:rsidRPr="00524815">
        <w:rPr>
          <w:sz w:val="20"/>
          <w:szCs w:val="20"/>
        </w:rPr>
        <w:t xml:space="preserve">  </w:t>
      </w:r>
    </w:p>
    <w:p w:rsidR="00891CE7" w:rsidRPr="00524815" w:rsidRDefault="00891CE7" w:rsidP="00524815">
      <w:pPr>
        <w:spacing w:line="300" w:lineRule="atLeast"/>
        <w:rPr>
          <w:sz w:val="20"/>
          <w:szCs w:val="20"/>
        </w:rPr>
      </w:pPr>
    </w:p>
    <w:p w:rsidR="00DB3813" w:rsidRPr="00524815" w:rsidRDefault="00DB3813" w:rsidP="00524815">
      <w:pPr>
        <w:spacing w:line="300" w:lineRule="atLeast"/>
        <w:rPr>
          <w:sz w:val="20"/>
          <w:szCs w:val="20"/>
        </w:rPr>
      </w:pPr>
      <w:r w:rsidRPr="00524815">
        <w:rPr>
          <w:sz w:val="20"/>
          <w:szCs w:val="20"/>
        </w:rPr>
        <w:t xml:space="preserve">Das Segment </w:t>
      </w:r>
      <w:r w:rsidRPr="00524815">
        <w:rPr>
          <w:b/>
          <w:sz w:val="20"/>
          <w:szCs w:val="20"/>
        </w:rPr>
        <w:t>Resource Efficiency</w:t>
      </w:r>
      <w:r w:rsidRPr="00524815">
        <w:rPr>
          <w:sz w:val="20"/>
          <w:szCs w:val="20"/>
        </w:rPr>
        <w:t xml:space="preserve"> </w:t>
      </w:r>
      <w:r w:rsidR="006B3C32">
        <w:rPr>
          <w:sz w:val="20"/>
          <w:szCs w:val="20"/>
        </w:rPr>
        <w:t xml:space="preserve"> </w:t>
      </w:r>
      <w:r w:rsidRPr="00524815">
        <w:rPr>
          <w:sz w:val="20"/>
          <w:szCs w:val="20"/>
        </w:rPr>
        <w:t xml:space="preserve">verzeichnete </w:t>
      </w:r>
      <w:r w:rsidR="00C7371D" w:rsidRPr="00524815">
        <w:rPr>
          <w:sz w:val="20"/>
          <w:szCs w:val="20"/>
        </w:rPr>
        <w:t xml:space="preserve">bei stabilen Verkaufspreisen </w:t>
      </w:r>
      <w:r w:rsidRPr="00524815">
        <w:rPr>
          <w:sz w:val="20"/>
          <w:szCs w:val="20"/>
        </w:rPr>
        <w:t>eine höhere Nachfrage nach seinen Produkten.</w:t>
      </w:r>
      <w:r w:rsidR="000A227A">
        <w:rPr>
          <w:sz w:val="20"/>
          <w:szCs w:val="20"/>
        </w:rPr>
        <w:t xml:space="preserve"> Der Umsatz betrug 1.124 Millionen € und lag damit über dem </w:t>
      </w:r>
      <w:r w:rsidR="00C97AD9">
        <w:rPr>
          <w:sz w:val="20"/>
          <w:szCs w:val="20"/>
        </w:rPr>
        <w:t>des</w:t>
      </w:r>
      <w:r w:rsidR="00C832EB">
        <w:rPr>
          <w:sz w:val="20"/>
          <w:szCs w:val="20"/>
        </w:rPr>
        <w:t xml:space="preserve"> ersten Quartal</w:t>
      </w:r>
      <w:r w:rsidR="00C97AD9">
        <w:rPr>
          <w:sz w:val="20"/>
          <w:szCs w:val="20"/>
        </w:rPr>
        <w:t>s</w:t>
      </w:r>
      <w:r w:rsidR="00C832EB">
        <w:rPr>
          <w:sz w:val="20"/>
          <w:szCs w:val="20"/>
        </w:rPr>
        <w:t xml:space="preserve"> 2014 (999 Millionen €</w:t>
      </w:r>
      <w:r w:rsidR="00C97AD9">
        <w:rPr>
          <w:sz w:val="20"/>
          <w:szCs w:val="20"/>
        </w:rPr>
        <w:t>, + 13 Prozent</w:t>
      </w:r>
      <w:r w:rsidR="00C832EB">
        <w:rPr>
          <w:sz w:val="20"/>
          <w:szCs w:val="20"/>
        </w:rPr>
        <w:t>)</w:t>
      </w:r>
      <w:r w:rsidR="008F6F80">
        <w:rPr>
          <w:sz w:val="20"/>
          <w:szCs w:val="20"/>
        </w:rPr>
        <w:t>.</w:t>
      </w:r>
      <w:r w:rsidR="000A227A">
        <w:rPr>
          <w:sz w:val="20"/>
          <w:szCs w:val="20"/>
        </w:rPr>
        <w:t xml:space="preserve"> </w:t>
      </w:r>
      <w:r w:rsidRPr="00524815">
        <w:rPr>
          <w:sz w:val="20"/>
          <w:szCs w:val="20"/>
        </w:rPr>
        <w:t xml:space="preserve">Nahezu alle Geschäfte trugen zur erfolgreichen Entwicklung bei. Das bereinigte EBITDA erhöhte sich um 10 Prozent auf 244 Millionen €. </w:t>
      </w:r>
      <w:r w:rsidR="00891CE7">
        <w:rPr>
          <w:sz w:val="20"/>
          <w:szCs w:val="20"/>
        </w:rPr>
        <w:br/>
      </w:r>
      <w:r w:rsidRPr="00524815">
        <w:rPr>
          <w:sz w:val="20"/>
          <w:szCs w:val="20"/>
        </w:rPr>
        <w:lastRenderedPageBreak/>
        <w:t xml:space="preserve">Die bereinigte EBITDA-Marge lag mit 21,7 Prozent </w:t>
      </w:r>
      <w:r w:rsidR="008A3CCA">
        <w:rPr>
          <w:sz w:val="20"/>
          <w:szCs w:val="20"/>
        </w:rPr>
        <w:t>auf einem weiterhin sehr gute</w:t>
      </w:r>
      <w:r w:rsidR="006B3C32">
        <w:rPr>
          <w:sz w:val="20"/>
          <w:szCs w:val="20"/>
        </w:rPr>
        <w:t>n</w:t>
      </w:r>
      <w:r w:rsidR="008A3CCA">
        <w:rPr>
          <w:sz w:val="20"/>
          <w:szCs w:val="20"/>
        </w:rPr>
        <w:t xml:space="preserve"> Niveau</w:t>
      </w:r>
      <w:r w:rsidRPr="00524815">
        <w:rPr>
          <w:sz w:val="20"/>
          <w:szCs w:val="20"/>
        </w:rPr>
        <w:t>.</w:t>
      </w:r>
    </w:p>
    <w:p w:rsidR="00891CE7" w:rsidRDefault="00891CE7" w:rsidP="00524815">
      <w:pPr>
        <w:spacing w:line="300" w:lineRule="atLeast"/>
        <w:rPr>
          <w:sz w:val="20"/>
          <w:szCs w:val="20"/>
        </w:rPr>
      </w:pPr>
    </w:p>
    <w:p w:rsidR="00DB3813" w:rsidRPr="00524815" w:rsidRDefault="00DB3813" w:rsidP="00524815">
      <w:pPr>
        <w:spacing w:line="300" w:lineRule="atLeast"/>
        <w:rPr>
          <w:sz w:val="20"/>
          <w:szCs w:val="20"/>
        </w:rPr>
      </w:pPr>
      <w:r w:rsidRPr="00524815">
        <w:rPr>
          <w:sz w:val="20"/>
          <w:szCs w:val="20"/>
        </w:rPr>
        <w:t xml:space="preserve">Der Umsatz des Segments </w:t>
      </w:r>
      <w:r w:rsidRPr="00524815">
        <w:rPr>
          <w:b/>
          <w:sz w:val="20"/>
          <w:szCs w:val="20"/>
        </w:rPr>
        <w:t>Performance Materials</w:t>
      </w:r>
      <w:r w:rsidRPr="00524815">
        <w:rPr>
          <w:sz w:val="20"/>
          <w:szCs w:val="20"/>
        </w:rPr>
        <w:t xml:space="preserve"> blieb mit 851 Millionen € um 15 Prozent unter dem Vorjahreswert.</w:t>
      </w:r>
      <w:r w:rsidR="00C7371D">
        <w:rPr>
          <w:sz w:val="20"/>
          <w:szCs w:val="20"/>
        </w:rPr>
        <w:t xml:space="preserve"> </w:t>
      </w:r>
      <w:r w:rsidR="0094673B">
        <w:rPr>
          <w:sz w:val="20"/>
          <w:szCs w:val="20"/>
        </w:rPr>
        <w:t xml:space="preserve">Das bereinigte EBITDA lag bei 72 Millionen €. </w:t>
      </w:r>
      <w:r w:rsidRPr="00524815">
        <w:rPr>
          <w:sz w:val="20"/>
          <w:szCs w:val="20"/>
        </w:rPr>
        <w:t xml:space="preserve"> Die bereinigte EBITDA-Marge erhöhte sich leicht auf 8,5 Prozent.  </w:t>
      </w:r>
      <w:r w:rsidR="0094673B">
        <w:rPr>
          <w:sz w:val="20"/>
          <w:szCs w:val="20"/>
        </w:rPr>
        <w:t>G</w:t>
      </w:r>
      <w:r w:rsidRPr="00524815">
        <w:rPr>
          <w:sz w:val="20"/>
          <w:szCs w:val="20"/>
        </w:rPr>
        <w:t>eringere Absatzmengen</w:t>
      </w:r>
      <w:r w:rsidR="0094673B">
        <w:rPr>
          <w:sz w:val="20"/>
          <w:szCs w:val="20"/>
        </w:rPr>
        <w:t xml:space="preserve">, aber </w:t>
      </w:r>
      <w:r w:rsidRPr="00524815">
        <w:rPr>
          <w:sz w:val="20"/>
          <w:szCs w:val="20"/>
        </w:rPr>
        <w:t xml:space="preserve"> </w:t>
      </w:r>
      <w:r w:rsidR="008A3CCA">
        <w:rPr>
          <w:sz w:val="20"/>
          <w:szCs w:val="20"/>
        </w:rPr>
        <w:t xml:space="preserve">insbesondere nachgebende </w:t>
      </w:r>
      <w:r w:rsidRPr="00524815">
        <w:rPr>
          <w:sz w:val="20"/>
          <w:szCs w:val="20"/>
        </w:rPr>
        <w:t>Verkaufspreise</w:t>
      </w:r>
      <w:r w:rsidR="008F6F80">
        <w:rPr>
          <w:sz w:val="20"/>
          <w:szCs w:val="20"/>
        </w:rPr>
        <w:t xml:space="preserve"> aufgrund des gesunkenen Rohölpreises </w:t>
      </w:r>
      <w:r w:rsidR="00643DA2">
        <w:rPr>
          <w:sz w:val="20"/>
          <w:szCs w:val="20"/>
        </w:rPr>
        <w:t xml:space="preserve">beeinflussten ursächlich </w:t>
      </w:r>
      <w:r w:rsidRPr="00524815">
        <w:rPr>
          <w:sz w:val="20"/>
          <w:szCs w:val="20"/>
        </w:rPr>
        <w:t xml:space="preserve">die Entwicklung in diesem Segment. </w:t>
      </w:r>
    </w:p>
    <w:p w:rsidR="00DB3813" w:rsidRDefault="00DB3813" w:rsidP="00524815"/>
    <w:p w:rsidR="00DB3813" w:rsidRDefault="00DB3813" w:rsidP="00524815"/>
    <w:p w:rsidR="00DB3813" w:rsidRDefault="00DB3813" w:rsidP="00524815">
      <w:r>
        <w:t xml:space="preserve">  </w:t>
      </w:r>
    </w:p>
    <w:p w:rsidR="00885420" w:rsidRDefault="00885420">
      <w:pPr>
        <w:spacing w:line="240" w:lineRule="auto"/>
        <w:ind w:left="0" w:right="0"/>
        <w:rPr>
          <w:b/>
          <w:bCs/>
        </w:rPr>
      </w:pPr>
    </w:p>
    <w:p w:rsidR="00DB3813" w:rsidRPr="00D941D1" w:rsidRDefault="00DB3813" w:rsidP="00DB3813">
      <w:pPr>
        <w:spacing w:after="120"/>
        <w:rPr>
          <w:b/>
          <w:bCs/>
        </w:rPr>
      </w:pPr>
      <w:r w:rsidRPr="00D941D1">
        <w:rPr>
          <w:b/>
          <w:bCs/>
        </w:rPr>
        <w:t>Evonik-Konzern: Ergebnisrechnung im Überblick</w:t>
      </w:r>
    </w:p>
    <w:tbl>
      <w:tblPr>
        <w:tblW w:w="93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1254"/>
        <w:gridCol w:w="1304"/>
        <w:gridCol w:w="1383"/>
      </w:tblGrid>
      <w:tr w:rsidR="00DB3813" w:rsidRPr="00D941D1" w:rsidTr="00FD361E">
        <w:trPr>
          <w:trHeight w:val="504"/>
        </w:trPr>
        <w:tc>
          <w:tcPr>
            <w:tcW w:w="5387" w:type="dxa"/>
            <w:shd w:val="clear" w:color="auto" w:fill="auto"/>
          </w:tcPr>
          <w:p w:rsidR="00DB3813" w:rsidRPr="00D941D1" w:rsidRDefault="00DB3813" w:rsidP="00FD361E">
            <w:pPr>
              <w:rPr>
                <w:b/>
                <w:bCs/>
              </w:rPr>
            </w:pPr>
            <w:r w:rsidRPr="00D941D1">
              <w:rPr>
                <w:b/>
                <w:bCs/>
              </w:rPr>
              <w:t>(in Mio. €)</w:t>
            </w:r>
          </w:p>
        </w:tc>
        <w:tc>
          <w:tcPr>
            <w:tcW w:w="1254" w:type="dxa"/>
            <w:shd w:val="clear" w:color="auto" w:fill="C0C0C0"/>
          </w:tcPr>
          <w:p w:rsidR="00DB3813" w:rsidRPr="00D941D1" w:rsidRDefault="00DB3813" w:rsidP="00FD361E">
            <w:pPr>
              <w:jc w:val="center"/>
              <w:rPr>
                <w:b/>
                <w:bCs/>
              </w:rPr>
            </w:pPr>
            <w:r w:rsidRPr="00D941D1">
              <w:rPr>
                <w:b/>
                <w:bCs/>
              </w:rPr>
              <w:t>Q1/201</w:t>
            </w:r>
            <w:r>
              <w:rPr>
                <w:b/>
                <w:bCs/>
              </w:rPr>
              <w:t>5</w:t>
            </w:r>
          </w:p>
        </w:tc>
        <w:tc>
          <w:tcPr>
            <w:tcW w:w="1304" w:type="dxa"/>
            <w:shd w:val="clear" w:color="auto" w:fill="auto"/>
          </w:tcPr>
          <w:p w:rsidR="00DB3813" w:rsidRPr="00D941D1" w:rsidRDefault="00DB3813" w:rsidP="00FD361E">
            <w:pPr>
              <w:jc w:val="center"/>
              <w:rPr>
                <w:b/>
                <w:bCs/>
              </w:rPr>
            </w:pPr>
            <w:r w:rsidRPr="00D941D1">
              <w:rPr>
                <w:b/>
                <w:bCs/>
              </w:rPr>
              <w:t>Q1/201</w:t>
            </w:r>
            <w:r>
              <w:rPr>
                <w:b/>
                <w:bCs/>
              </w:rPr>
              <w:t>4</w:t>
            </w:r>
          </w:p>
        </w:tc>
        <w:tc>
          <w:tcPr>
            <w:tcW w:w="1383" w:type="dxa"/>
            <w:shd w:val="clear" w:color="auto" w:fill="auto"/>
          </w:tcPr>
          <w:p w:rsidR="00DB3813" w:rsidRPr="00D941D1" w:rsidRDefault="00DB3813" w:rsidP="00FD361E">
            <w:pPr>
              <w:jc w:val="center"/>
              <w:rPr>
                <w:b/>
                <w:bCs/>
              </w:rPr>
            </w:pPr>
            <w:r>
              <w:rPr>
                <w:b/>
                <w:bCs/>
              </w:rPr>
              <w:t>Veränd.</w:t>
            </w:r>
          </w:p>
          <w:p w:rsidR="00DB3813" w:rsidRPr="00D941D1" w:rsidRDefault="00DB3813" w:rsidP="00FD361E">
            <w:pPr>
              <w:jc w:val="center"/>
              <w:rPr>
                <w:b/>
                <w:bCs/>
              </w:rPr>
            </w:pPr>
            <w:r w:rsidRPr="00D941D1">
              <w:rPr>
                <w:b/>
                <w:bCs/>
              </w:rPr>
              <w:t>in %</w:t>
            </w:r>
          </w:p>
        </w:tc>
      </w:tr>
      <w:tr w:rsidR="00DB3813" w:rsidRPr="00B13E9A" w:rsidTr="00FD361E">
        <w:tc>
          <w:tcPr>
            <w:tcW w:w="5387" w:type="dxa"/>
            <w:shd w:val="clear" w:color="auto" w:fill="auto"/>
          </w:tcPr>
          <w:p w:rsidR="00DB3813" w:rsidRPr="00B13E9A" w:rsidRDefault="00DB3813" w:rsidP="00FD361E">
            <w:pPr>
              <w:rPr>
                <w:bCs/>
              </w:rPr>
            </w:pPr>
            <w:r w:rsidRPr="00B13E9A">
              <w:rPr>
                <w:bCs/>
              </w:rPr>
              <w:t>Umsatz</w:t>
            </w:r>
          </w:p>
        </w:tc>
        <w:tc>
          <w:tcPr>
            <w:tcW w:w="1254" w:type="dxa"/>
            <w:shd w:val="clear" w:color="auto" w:fill="C0C0C0"/>
          </w:tcPr>
          <w:p w:rsidR="00DB3813" w:rsidRPr="00B13E9A" w:rsidRDefault="00DB3813" w:rsidP="00FD361E">
            <w:pPr>
              <w:jc w:val="right"/>
              <w:rPr>
                <w:bCs/>
              </w:rPr>
            </w:pPr>
            <w:r>
              <w:rPr>
                <w:bCs/>
              </w:rPr>
              <w:t>3.425</w:t>
            </w:r>
          </w:p>
        </w:tc>
        <w:tc>
          <w:tcPr>
            <w:tcW w:w="1304" w:type="dxa"/>
            <w:shd w:val="clear" w:color="auto" w:fill="auto"/>
          </w:tcPr>
          <w:p w:rsidR="00DB3813" w:rsidRPr="00B13E9A" w:rsidRDefault="00DB3813" w:rsidP="00FD361E">
            <w:pPr>
              <w:ind w:right="120"/>
              <w:jc w:val="right"/>
              <w:rPr>
                <w:bCs/>
              </w:rPr>
            </w:pPr>
            <w:r>
              <w:rPr>
                <w:bCs/>
              </w:rPr>
              <w:t>3.201</w:t>
            </w:r>
          </w:p>
        </w:tc>
        <w:tc>
          <w:tcPr>
            <w:tcW w:w="1383" w:type="dxa"/>
            <w:shd w:val="clear" w:color="auto" w:fill="auto"/>
          </w:tcPr>
          <w:p w:rsidR="00DB3813" w:rsidRPr="00B13E9A" w:rsidRDefault="00DB3813" w:rsidP="00FD361E">
            <w:pPr>
              <w:jc w:val="right"/>
              <w:rPr>
                <w:bCs/>
              </w:rPr>
            </w:pPr>
            <w:r>
              <w:rPr>
                <w:bCs/>
              </w:rPr>
              <w:t>7</w:t>
            </w:r>
          </w:p>
        </w:tc>
      </w:tr>
      <w:tr w:rsidR="00DB3813" w:rsidRPr="00B13E9A" w:rsidTr="00FD361E">
        <w:tc>
          <w:tcPr>
            <w:tcW w:w="5387" w:type="dxa"/>
            <w:shd w:val="clear" w:color="auto" w:fill="auto"/>
          </w:tcPr>
          <w:p w:rsidR="00DB3813" w:rsidRPr="00B13E9A" w:rsidRDefault="00DB3813" w:rsidP="00FD361E">
            <w:pPr>
              <w:rPr>
                <w:bCs/>
              </w:rPr>
            </w:pPr>
            <w:r w:rsidRPr="00B13E9A">
              <w:rPr>
                <w:bCs/>
              </w:rPr>
              <w:t>Bereinigtes EBITDA</w:t>
            </w:r>
          </w:p>
        </w:tc>
        <w:tc>
          <w:tcPr>
            <w:tcW w:w="1254" w:type="dxa"/>
            <w:shd w:val="clear" w:color="auto" w:fill="C0C0C0"/>
          </w:tcPr>
          <w:p w:rsidR="00DB3813" w:rsidRPr="00B13E9A" w:rsidRDefault="00DB3813" w:rsidP="00FD361E">
            <w:pPr>
              <w:jc w:val="right"/>
              <w:rPr>
                <w:bCs/>
              </w:rPr>
            </w:pPr>
            <w:r>
              <w:rPr>
                <w:bCs/>
              </w:rPr>
              <w:t>650</w:t>
            </w:r>
          </w:p>
        </w:tc>
        <w:tc>
          <w:tcPr>
            <w:tcW w:w="1304" w:type="dxa"/>
            <w:shd w:val="clear" w:color="auto" w:fill="auto"/>
          </w:tcPr>
          <w:p w:rsidR="00DB3813" w:rsidRPr="00B13E9A" w:rsidRDefault="00DB3813" w:rsidP="00FD361E">
            <w:pPr>
              <w:ind w:right="120"/>
              <w:jc w:val="right"/>
              <w:rPr>
                <w:bCs/>
              </w:rPr>
            </w:pPr>
            <w:r>
              <w:rPr>
                <w:bCs/>
              </w:rPr>
              <w:t>465</w:t>
            </w:r>
          </w:p>
        </w:tc>
        <w:tc>
          <w:tcPr>
            <w:tcW w:w="1383" w:type="dxa"/>
            <w:shd w:val="clear" w:color="auto" w:fill="auto"/>
          </w:tcPr>
          <w:p w:rsidR="00DB3813" w:rsidRPr="00B13E9A" w:rsidRDefault="00DB3813" w:rsidP="00FD361E">
            <w:pPr>
              <w:jc w:val="right"/>
              <w:rPr>
                <w:bCs/>
              </w:rPr>
            </w:pPr>
            <w:r>
              <w:rPr>
                <w:bCs/>
              </w:rPr>
              <w:t>40</w:t>
            </w:r>
          </w:p>
        </w:tc>
      </w:tr>
      <w:tr w:rsidR="00DB3813" w:rsidRPr="00B13E9A" w:rsidTr="00FD361E">
        <w:tc>
          <w:tcPr>
            <w:tcW w:w="5387" w:type="dxa"/>
            <w:shd w:val="clear" w:color="auto" w:fill="auto"/>
          </w:tcPr>
          <w:p w:rsidR="00DB3813" w:rsidRPr="00B13E9A" w:rsidRDefault="00DB3813" w:rsidP="00FD361E">
            <w:pPr>
              <w:rPr>
                <w:bCs/>
              </w:rPr>
            </w:pPr>
            <w:r w:rsidRPr="00B13E9A">
              <w:rPr>
                <w:bCs/>
              </w:rPr>
              <w:t>Bereinigtes EBIT</w:t>
            </w:r>
          </w:p>
        </w:tc>
        <w:tc>
          <w:tcPr>
            <w:tcW w:w="1254" w:type="dxa"/>
            <w:shd w:val="clear" w:color="auto" w:fill="C0C0C0"/>
          </w:tcPr>
          <w:p w:rsidR="00DB3813" w:rsidRPr="00B13E9A" w:rsidRDefault="00DB3813" w:rsidP="00FD361E">
            <w:pPr>
              <w:jc w:val="right"/>
              <w:rPr>
                <w:bCs/>
              </w:rPr>
            </w:pPr>
            <w:r>
              <w:rPr>
                <w:bCs/>
              </w:rPr>
              <w:t>485</w:t>
            </w:r>
          </w:p>
        </w:tc>
        <w:tc>
          <w:tcPr>
            <w:tcW w:w="1304" w:type="dxa"/>
            <w:shd w:val="clear" w:color="auto" w:fill="auto"/>
          </w:tcPr>
          <w:p w:rsidR="00DB3813" w:rsidRPr="00B13E9A" w:rsidRDefault="00DB3813" w:rsidP="00FD361E">
            <w:pPr>
              <w:ind w:right="120"/>
              <w:jc w:val="right"/>
              <w:rPr>
                <w:bCs/>
              </w:rPr>
            </w:pPr>
            <w:r>
              <w:rPr>
                <w:bCs/>
              </w:rPr>
              <w:t>318</w:t>
            </w:r>
          </w:p>
        </w:tc>
        <w:tc>
          <w:tcPr>
            <w:tcW w:w="1383" w:type="dxa"/>
            <w:shd w:val="clear" w:color="auto" w:fill="auto"/>
          </w:tcPr>
          <w:p w:rsidR="00DB3813" w:rsidRPr="00B13E9A" w:rsidRDefault="00DB3813" w:rsidP="00FD361E">
            <w:pPr>
              <w:jc w:val="right"/>
              <w:rPr>
                <w:bCs/>
              </w:rPr>
            </w:pPr>
            <w:r>
              <w:rPr>
                <w:bCs/>
              </w:rPr>
              <w:t>53</w:t>
            </w:r>
          </w:p>
        </w:tc>
      </w:tr>
      <w:tr w:rsidR="00DB3813" w:rsidRPr="00B13E9A" w:rsidTr="00FD361E">
        <w:tc>
          <w:tcPr>
            <w:tcW w:w="5387" w:type="dxa"/>
            <w:shd w:val="clear" w:color="auto" w:fill="auto"/>
          </w:tcPr>
          <w:p w:rsidR="00DB3813" w:rsidRPr="00B13E9A" w:rsidRDefault="00DB3813" w:rsidP="00FD361E">
            <w:pPr>
              <w:rPr>
                <w:bCs/>
              </w:rPr>
            </w:pPr>
            <w:r w:rsidRPr="00B13E9A">
              <w:rPr>
                <w:bCs/>
              </w:rPr>
              <w:t>Bereinigungen</w:t>
            </w:r>
          </w:p>
        </w:tc>
        <w:tc>
          <w:tcPr>
            <w:tcW w:w="1254" w:type="dxa"/>
            <w:shd w:val="clear" w:color="auto" w:fill="C0C0C0"/>
          </w:tcPr>
          <w:p w:rsidR="00DB3813" w:rsidRPr="00B13E9A" w:rsidRDefault="00DB3813" w:rsidP="00FD361E">
            <w:pPr>
              <w:jc w:val="right"/>
              <w:rPr>
                <w:bCs/>
              </w:rPr>
            </w:pPr>
            <w:r>
              <w:rPr>
                <w:bCs/>
              </w:rPr>
              <w:t>-37</w:t>
            </w:r>
          </w:p>
        </w:tc>
        <w:tc>
          <w:tcPr>
            <w:tcW w:w="1304" w:type="dxa"/>
            <w:shd w:val="clear" w:color="auto" w:fill="auto"/>
          </w:tcPr>
          <w:p w:rsidR="00DB3813" w:rsidRPr="00B13E9A" w:rsidRDefault="00DB3813" w:rsidP="00FD361E">
            <w:pPr>
              <w:ind w:right="120"/>
              <w:jc w:val="right"/>
              <w:rPr>
                <w:bCs/>
              </w:rPr>
            </w:pPr>
            <w:r>
              <w:rPr>
                <w:bCs/>
              </w:rPr>
              <w:t>-19</w:t>
            </w:r>
          </w:p>
        </w:tc>
        <w:tc>
          <w:tcPr>
            <w:tcW w:w="1383" w:type="dxa"/>
            <w:shd w:val="clear" w:color="auto" w:fill="auto"/>
          </w:tcPr>
          <w:p w:rsidR="00DB3813" w:rsidRPr="00B13E9A" w:rsidRDefault="00DB3813" w:rsidP="00FD361E">
            <w:pPr>
              <w:jc w:val="right"/>
              <w:rPr>
                <w:bCs/>
              </w:rPr>
            </w:pPr>
          </w:p>
        </w:tc>
      </w:tr>
      <w:tr w:rsidR="00DB3813" w:rsidRPr="00B13E9A" w:rsidTr="00FD361E">
        <w:tc>
          <w:tcPr>
            <w:tcW w:w="5387" w:type="dxa"/>
            <w:shd w:val="clear" w:color="auto" w:fill="auto"/>
          </w:tcPr>
          <w:p w:rsidR="00DB3813" w:rsidRPr="00B13E9A" w:rsidRDefault="006F4365" w:rsidP="00FD361E">
            <w:pPr>
              <w:rPr>
                <w:bCs/>
              </w:rPr>
            </w:pPr>
            <w:r>
              <w:rPr>
                <w:bCs/>
              </w:rPr>
              <w:t>Finanz</w:t>
            </w:r>
            <w:r w:rsidR="00DB3813" w:rsidRPr="00B13E9A">
              <w:rPr>
                <w:bCs/>
              </w:rPr>
              <w:t>ergebnis</w:t>
            </w:r>
          </w:p>
        </w:tc>
        <w:tc>
          <w:tcPr>
            <w:tcW w:w="1254" w:type="dxa"/>
            <w:shd w:val="clear" w:color="auto" w:fill="C0C0C0"/>
          </w:tcPr>
          <w:p w:rsidR="00DB3813" w:rsidRPr="00B13E9A" w:rsidRDefault="006F4365" w:rsidP="00FD361E">
            <w:pPr>
              <w:jc w:val="right"/>
              <w:rPr>
                <w:bCs/>
              </w:rPr>
            </w:pPr>
            <w:r>
              <w:rPr>
                <w:bCs/>
              </w:rPr>
              <w:t>-63</w:t>
            </w:r>
          </w:p>
        </w:tc>
        <w:tc>
          <w:tcPr>
            <w:tcW w:w="1304" w:type="dxa"/>
            <w:shd w:val="clear" w:color="auto" w:fill="auto"/>
          </w:tcPr>
          <w:p w:rsidR="00DB3813" w:rsidRPr="00B13E9A" w:rsidRDefault="006F4365" w:rsidP="00FD361E">
            <w:pPr>
              <w:ind w:right="120"/>
              <w:jc w:val="right"/>
              <w:rPr>
                <w:bCs/>
              </w:rPr>
            </w:pPr>
            <w:r>
              <w:rPr>
                <w:bCs/>
              </w:rPr>
              <w:t>-83</w:t>
            </w:r>
          </w:p>
        </w:tc>
        <w:tc>
          <w:tcPr>
            <w:tcW w:w="1383" w:type="dxa"/>
            <w:shd w:val="clear" w:color="auto" w:fill="auto"/>
          </w:tcPr>
          <w:p w:rsidR="00DB3813" w:rsidRPr="00B13E9A" w:rsidRDefault="00DB3813" w:rsidP="00FD361E">
            <w:pPr>
              <w:jc w:val="right"/>
              <w:rPr>
                <w:bCs/>
              </w:rPr>
            </w:pPr>
          </w:p>
        </w:tc>
      </w:tr>
      <w:tr w:rsidR="00DB3813" w:rsidRPr="00B13E9A" w:rsidTr="00FD361E">
        <w:tc>
          <w:tcPr>
            <w:tcW w:w="5387" w:type="dxa"/>
            <w:shd w:val="clear" w:color="auto" w:fill="auto"/>
          </w:tcPr>
          <w:p w:rsidR="00DB3813" w:rsidRPr="00B13E9A" w:rsidRDefault="00DB3813" w:rsidP="00FD361E">
            <w:pPr>
              <w:rPr>
                <w:bCs/>
              </w:rPr>
            </w:pPr>
            <w:r w:rsidRPr="00B13E9A">
              <w:rPr>
                <w:bCs/>
              </w:rPr>
              <w:t>Ergebnis vor Ertragsteuern fortgeführter Aktivitäten</w:t>
            </w:r>
          </w:p>
        </w:tc>
        <w:tc>
          <w:tcPr>
            <w:tcW w:w="1254" w:type="dxa"/>
            <w:shd w:val="clear" w:color="auto" w:fill="C0C0C0"/>
          </w:tcPr>
          <w:p w:rsidR="00DB3813" w:rsidRPr="00B13E9A" w:rsidRDefault="00DB3813" w:rsidP="00FD361E">
            <w:pPr>
              <w:jc w:val="right"/>
              <w:rPr>
                <w:bCs/>
              </w:rPr>
            </w:pPr>
            <w:r>
              <w:rPr>
                <w:bCs/>
              </w:rPr>
              <w:t>385</w:t>
            </w:r>
          </w:p>
        </w:tc>
        <w:tc>
          <w:tcPr>
            <w:tcW w:w="1304" w:type="dxa"/>
            <w:shd w:val="clear" w:color="auto" w:fill="auto"/>
          </w:tcPr>
          <w:p w:rsidR="00DB3813" w:rsidRPr="00B13E9A" w:rsidRDefault="00DB3813" w:rsidP="00FD361E">
            <w:pPr>
              <w:ind w:right="120"/>
              <w:jc w:val="right"/>
              <w:rPr>
                <w:bCs/>
              </w:rPr>
            </w:pPr>
            <w:r>
              <w:rPr>
                <w:bCs/>
              </w:rPr>
              <w:t>216</w:t>
            </w:r>
          </w:p>
        </w:tc>
        <w:tc>
          <w:tcPr>
            <w:tcW w:w="1383" w:type="dxa"/>
            <w:shd w:val="clear" w:color="auto" w:fill="auto"/>
          </w:tcPr>
          <w:p w:rsidR="00DB3813" w:rsidRPr="00B13E9A" w:rsidRDefault="00DB3813" w:rsidP="00FD361E">
            <w:pPr>
              <w:jc w:val="right"/>
              <w:rPr>
                <w:bCs/>
              </w:rPr>
            </w:pPr>
            <w:r>
              <w:rPr>
                <w:bCs/>
              </w:rPr>
              <w:t>78</w:t>
            </w:r>
          </w:p>
        </w:tc>
      </w:tr>
      <w:tr w:rsidR="00DB3813" w:rsidRPr="00B13E9A" w:rsidTr="00FD361E">
        <w:tc>
          <w:tcPr>
            <w:tcW w:w="5387" w:type="dxa"/>
            <w:shd w:val="clear" w:color="auto" w:fill="auto"/>
          </w:tcPr>
          <w:p w:rsidR="00DB3813" w:rsidRPr="00B13E9A" w:rsidRDefault="00DB3813" w:rsidP="00FD361E">
            <w:pPr>
              <w:jc w:val="both"/>
              <w:rPr>
                <w:bCs/>
              </w:rPr>
            </w:pPr>
            <w:r w:rsidRPr="00B13E9A">
              <w:rPr>
                <w:bCs/>
              </w:rPr>
              <w:t>Ertragsteuern</w:t>
            </w:r>
          </w:p>
        </w:tc>
        <w:tc>
          <w:tcPr>
            <w:tcW w:w="1254" w:type="dxa"/>
            <w:shd w:val="clear" w:color="auto" w:fill="C0C0C0"/>
          </w:tcPr>
          <w:p w:rsidR="00DB3813" w:rsidRPr="00B13E9A" w:rsidRDefault="00DB3813" w:rsidP="00FD361E">
            <w:pPr>
              <w:jc w:val="right"/>
              <w:rPr>
                <w:bCs/>
              </w:rPr>
            </w:pPr>
            <w:r>
              <w:rPr>
                <w:bCs/>
              </w:rPr>
              <w:t>-115</w:t>
            </w:r>
          </w:p>
        </w:tc>
        <w:tc>
          <w:tcPr>
            <w:tcW w:w="1304" w:type="dxa"/>
            <w:shd w:val="clear" w:color="auto" w:fill="auto"/>
          </w:tcPr>
          <w:p w:rsidR="00DB3813" w:rsidRPr="00B13E9A" w:rsidRDefault="00DB3813" w:rsidP="00FD361E">
            <w:pPr>
              <w:ind w:right="120"/>
              <w:jc w:val="right"/>
              <w:rPr>
                <w:bCs/>
              </w:rPr>
            </w:pPr>
            <w:r>
              <w:rPr>
                <w:bCs/>
              </w:rPr>
              <w:t>-63</w:t>
            </w:r>
          </w:p>
        </w:tc>
        <w:tc>
          <w:tcPr>
            <w:tcW w:w="1383" w:type="dxa"/>
            <w:shd w:val="clear" w:color="auto" w:fill="auto"/>
          </w:tcPr>
          <w:p w:rsidR="00DB3813" w:rsidRPr="00B13E9A" w:rsidRDefault="00DB3813" w:rsidP="00FD361E">
            <w:pPr>
              <w:jc w:val="right"/>
              <w:rPr>
                <w:bCs/>
              </w:rPr>
            </w:pPr>
          </w:p>
        </w:tc>
      </w:tr>
      <w:tr w:rsidR="00DB3813" w:rsidRPr="00B13E9A" w:rsidTr="00FD361E">
        <w:tc>
          <w:tcPr>
            <w:tcW w:w="5387" w:type="dxa"/>
            <w:shd w:val="clear" w:color="auto" w:fill="auto"/>
          </w:tcPr>
          <w:p w:rsidR="00DB3813" w:rsidRPr="00B13E9A" w:rsidRDefault="00DB3813" w:rsidP="00FD361E">
            <w:pPr>
              <w:rPr>
                <w:bCs/>
              </w:rPr>
            </w:pPr>
            <w:r>
              <w:rPr>
                <w:bCs/>
              </w:rPr>
              <w:t>Ergebnis nach Steuern fortgeführter Aktivitäten</w:t>
            </w:r>
          </w:p>
        </w:tc>
        <w:tc>
          <w:tcPr>
            <w:tcW w:w="1254" w:type="dxa"/>
            <w:shd w:val="clear" w:color="auto" w:fill="C0C0C0"/>
          </w:tcPr>
          <w:p w:rsidR="00DB3813" w:rsidRDefault="00DB3813" w:rsidP="00FD361E">
            <w:pPr>
              <w:jc w:val="right"/>
              <w:rPr>
                <w:bCs/>
              </w:rPr>
            </w:pPr>
            <w:r>
              <w:rPr>
                <w:bCs/>
              </w:rPr>
              <w:t>270</w:t>
            </w:r>
          </w:p>
        </w:tc>
        <w:tc>
          <w:tcPr>
            <w:tcW w:w="1304" w:type="dxa"/>
            <w:shd w:val="clear" w:color="auto" w:fill="auto"/>
          </w:tcPr>
          <w:p w:rsidR="00DB3813" w:rsidRDefault="00DB3813" w:rsidP="00FD361E">
            <w:pPr>
              <w:ind w:right="120"/>
              <w:jc w:val="right"/>
              <w:rPr>
                <w:bCs/>
              </w:rPr>
            </w:pPr>
            <w:r>
              <w:rPr>
                <w:bCs/>
              </w:rPr>
              <w:t>153</w:t>
            </w:r>
          </w:p>
        </w:tc>
        <w:tc>
          <w:tcPr>
            <w:tcW w:w="1383" w:type="dxa"/>
            <w:shd w:val="clear" w:color="auto" w:fill="auto"/>
          </w:tcPr>
          <w:p w:rsidR="00DB3813" w:rsidRPr="00B13E9A" w:rsidRDefault="00DB3813" w:rsidP="00FD361E">
            <w:pPr>
              <w:jc w:val="right"/>
              <w:rPr>
                <w:bCs/>
              </w:rPr>
            </w:pPr>
            <w:r>
              <w:rPr>
                <w:bCs/>
              </w:rPr>
              <w:t>76</w:t>
            </w:r>
          </w:p>
        </w:tc>
      </w:tr>
      <w:tr w:rsidR="00DB3813" w:rsidRPr="00B13E9A" w:rsidTr="00FD361E">
        <w:tc>
          <w:tcPr>
            <w:tcW w:w="5387" w:type="dxa"/>
            <w:shd w:val="clear" w:color="auto" w:fill="auto"/>
          </w:tcPr>
          <w:p w:rsidR="00DB3813" w:rsidRPr="00B13E9A" w:rsidRDefault="00DB3813" w:rsidP="00FD361E">
            <w:pPr>
              <w:rPr>
                <w:bCs/>
              </w:rPr>
            </w:pPr>
            <w:r w:rsidRPr="00B13E9A">
              <w:rPr>
                <w:bCs/>
              </w:rPr>
              <w:t xml:space="preserve">Ergebnis </w:t>
            </w:r>
            <w:r>
              <w:rPr>
                <w:bCs/>
              </w:rPr>
              <w:t>nach</w:t>
            </w:r>
            <w:r w:rsidRPr="00B13E9A">
              <w:rPr>
                <w:bCs/>
              </w:rPr>
              <w:t xml:space="preserve"> </w:t>
            </w:r>
            <w:r>
              <w:rPr>
                <w:bCs/>
              </w:rPr>
              <w:t>Steuern</w:t>
            </w:r>
            <w:r w:rsidRPr="00B13E9A">
              <w:rPr>
                <w:bCs/>
              </w:rPr>
              <w:t xml:space="preserve"> nicht fortgeführter Aktivitäten</w:t>
            </w:r>
          </w:p>
        </w:tc>
        <w:tc>
          <w:tcPr>
            <w:tcW w:w="1254" w:type="dxa"/>
            <w:shd w:val="clear" w:color="auto" w:fill="C0C0C0"/>
          </w:tcPr>
          <w:p w:rsidR="00DB3813" w:rsidRPr="00B13E9A" w:rsidRDefault="00DB3813" w:rsidP="00FD361E">
            <w:pPr>
              <w:jc w:val="right"/>
              <w:rPr>
                <w:bCs/>
              </w:rPr>
            </w:pPr>
            <w:r>
              <w:rPr>
                <w:bCs/>
              </w:rPr>
              <w:t>-11</w:t>
            </w:r>
          </w:p>
        </w:tc>
        <w:tc>
          <w:tcPr>
            <w:tcW w:w="1304" w:type="dxa"/>
            <w:shd w:val="clear" w:color="auto" w:fill="auto"/>
          </w:tcPr>
          <w:p w:rsidR="00DB3813" w:rsidRPr="00B13E9A" w:rsidRDefault="00DB3813" w:rsidP="00FD361E">
            <w:pPr>
              <w:ind w:right="120"/>
              <w:jc w:val="right"/>
              <w:rPr>
                <w:bCs/>
              </w:rPr>
            </w:pPr>
            <w:r>
              <w:rPr>
                <w:bCs/>
              </w:rPr>
              <w:t>17</w:t>
            </w:r>
          </w:p>
        </w:tc>
        <w:tc>
          <w:tcPr>
            <w:tcW w:w="1383" w:type="dxa"/>
            <w:shd w:val="clear" w:color="auto" w:fill="auto"/>
          </w:tcPr>
          <w:p w:rsidR="00DB3813" w:rsidRPr="00B13E9A" w:rsidRDefault="00DB3813" w:rsidP="00FD361E">
            <w:pPr>
              <w:jc w:val="right"/>
              <w:rPr>
                <w:bCs/>
              </w:rPr>
            </w:pPr>
          </w:p>
        </w:tc>
      </w:tr>
      <w:tr w:rsidR="00DB3813" w:rsidRPr="00B13E9A" w:rsidTr="00FD361E">
        <w:tc>
          <w:tcPr>
            <w:tcW w:w="5387" w:type="dxa"/>
            <w:shd w:val="clear" w:color="auto" w:fill="auto"/>
          </w:tcPr>
          <w:p w:rsidR="00DB3813" w:rsidRPr="00B13E9A" w:rsidRDefault="00DB3813" w:rsidP="00FD361E">
            <w:pPr>
              <w:jc w:val="both"/>
              <w:rPr>
                <w:bCs/>
              </w:rPr>
            </w:pPr>
            <w:r w:rsidRPr="00B13E9A">
              <w:rPr>
                <w:bCs/>
              </w:rPr>
              <w:t>Ergebnis nach Steuern</w:t>
            </w:r>
          </w:p>
        </w:tc>
        <w:tc>
          <w:tcPr>
            <w:tcW w:w="1254" w:type="dxa"/>
            <w:shd w:val="clear" w:color="auto" w:fill="C0C0C0"/>
          </w:tcPr>
          <w:p w:rsidR="00DB3813" w:rsidRPr="00B13E9A" w:rsidRDefault="00DB3813" w:rsidP="00FD361E">
            <w:pPr>
              <w:jc w:val="right"/>
              <w:rPr>
                <w:bCs/>
              </w:rPr>
            </w:pPr>
            <w:r>
              <w:rPr>
                <w:bCs/>
              </w:rPr>
              <w:t>259</w:t>
            </w:r>
          </w:p>
        </w:tc>
        <w:tc>
          <w:tcPr>
            <w:tcW w:w="1304" w:type="dxa"/>
            <w:shd w:val="clear" w:color="auto" w:fill="auto"/>
          </w:tcPr>
          <w:p w:rsidR="00DB3813" w:rsidRPr="00B13E9A" w:rsidRDefault="00DB3813" w:rsidP="00FD361E">
            <w:pPr>
              <w:ind w:right="120"/>
              <w:jc w:val="right"/>
              <w:rPr>
                <w:bCs/>
              </w:rPr>
            </w:pPr>
            <w:r>
              <w:rPr>
                <w:bCs/>
              </w:rPr>
              <w:t>170</w:t>
            </w:r>
          </w:p>
        </w:tc>
        <w:tc>
          <w:tcPr>
            <w:tcW w:w="1383" w:type="dxa"/>
            <w:shd w:val="clear" w:color="auto" w:fill="auto"/>
          </w:tcPr>
          <w:p w:rsidR="00DB3813" w:rsidRPr="00B13E9A" w:rsidRDefault="00DB3813" w:rsidP="00FD361E">
            <w:pPr>
              <w:jc w:val="right"/>
              <w:rPr>
                <w:bCs/>
              </w:rPr>
            </w:pPr>
            <w:r>
              <w:rPr>
                <w:bCs/>
              </w:rPr>
              <w:t>52</w:t>
            </w:r>
          </w:p>
        </w:tc>
      </w:tr>
      <w:tr w:rsidR="00DB3813" w:rsidRPr="00B13E9A" w:rsidTr="00FD361E">
        <w:tc>
          <w:tcPr>
            <w:tcW w:w="5387" w:type="dxa"/>
            <w:shd w:val="clear" w:color="auto" w:fill="auto"/>
          </w:tcPr>
          <w:p w:rsidR="00DB3813" w:rsidRPr="00B13E9A" w:rsidRDefault="00DB3813" w:rsidP="00FD361E">
            <w:pPr>
              <w:jc w:val="both"/>
              <w:rPr>
                <w:bCs/>
              </w:rPr>
            </w:pPr>
            <w:r>
              <w:rPr>
                <w:bCs/>
              </w:rPr>
              <w:t xml:space="preserve">Davon Ergebnis </w:t>
            </w:r>
            <w:r w:rsidRPr="00B13E9A">
              <w:rPr>
                <w:bCs/>
              </w:rPr>
              <w:t>anderer Gesellschafter</w:t>
            </w:r>
          </w:p>
        </w:tc>
        <w:tc>
          <w:tcPr>
            <w:tcW w:w="1254" w:type="dxa"/>
            <w:shd w:val="clear" w:color="auto" w:fill="C0C0C0"/>
          </w:tcPr>
          <w:p w:rsidR="00DB3813" w:rsidRPr="00B13E9A" w:rsidRDefault="00DB3813" w:rsidP="00FD361E">
            <w:pPr>
              <w:jc w:val="right"/>
              <w:rPr>
                <w:bCs/>
              </w:rPr>
            </w:pPr>
            <w:r>
              <w:rPr>
                <w:bCs/>
              </w:rPr>
              <w:t>3</w:t>
            </w:r>
          </w:p>
        </w:tc>
        <w:tc>
          <w:tcPr>
            <w:tcW w:w="1304" w:type="dxa"/>
            <w:shd w:val="clear" w:color="auto" w:fill="auto"/>
          </w:tcPr>
          <w:p w:rsidR="00DB3813" w:rsidRPr="00B13E9A" w:rsidRDefault="00DB3813" w:rsidP="00FD361E">
            <w:pPr>
              <w:ind w:right="120"/>
              <w:jc w:val="right"/>
              <w:rPr>
                <w:bCs/>
              </w:rPr>
            </w:pPr>
            <w:r>
              <w:rPr>
                <w:bCs/>
              </w:rPr>
              <w:t>4</w:t>
            </w:r>
          </w:p>
        </w:tc>
        <w:tc>
          <w:tcPr>
            <w:tcW w:w="1383" w:type="dxa"/>
            <w:shd w:val="clear" w:color="auto" w:fill="auto"/>
          </w:tcPr>
          <w:p w:rsidR="00DB3813" w:rsidRPr="00B13E9A" w:rsidRDefault="00DB3813" w:rsidP="00FD361E">
            <w:pPr>
              <w:jc w:val="right"/>
              <w:rPr>
                <w:bCs/>
              </w:rPr>
            </w:pPr>
          </w:p>
        </w:tc>
      </w:tr>
      <w:tr w:rsidR="00DB3813" w:rsidRPr="00B13E9A" w:rsidTr="00FD361E">
        <w:tc>
          <w:tcPr>
            <w:tcW w:w="5387" w:type="dxa"/>
            <w:shd w:val="clear" w:color="auto" w:fill="auto"/>
          </w:tcPr>
          <w:p w:rsidR="00DB3813" w:rsidRPr="00AF2A30" w:rsidRDefault="00DB3813" w:rsidP="00FD361E">
            <w:pPr>
              <w:jc w:val="both"/>
              <w:rPr>
                <w:b/>
                <w:bCs/>
              </w:rPr>
            </w:pPr>
            <w:r w:rsidRPr="00AF2A30">
              <w:rPr>
                <w:b/>
                <w:bCs/>
              </w:rPr>
              <w:t>Konzernergebnis</w:t>
            </w:r>
          </w:p>
        </w:tc>
        <w:tc>
          <w:tcPr>
            <w:tcW w:w="1254" w:type="dxa"/>
            <w:shd w:val="clear" w:color="auto" w:fill="C0C0C0"/>
          </w:tcPr>
          <w:p w:rsidR="00DB3813" w:rsidRPr="00B13E9A" w:rsidRDefault="00DB3813" w:rsidP="00FD361E">
            <w:pPr>
              <w:jc w:val="right"/>
              <w:rPr>
                <w:bCs/>
              </w:rPr>
            </w:pPr>
            <w:r>
              <w:rPr>
                <w:bCs/>
              </w:rPr>
              <w:t>256</w:t>
            </w:r>
          </w:p>
        </w:tc>
        <w:tc>
          <w:tcPr>
            <w:tcW w:w="1304" w:type="dxa"/>
            <w:shd w:val="clear" w:color="auto" w:fill="auto"/>
          </w:tcPr>
          <w:p w:rsidR="00DB3813" w:rsidRPr="00B13E9A" w:rsidRDefault="006F4365" w:rsidP="00FD361E">
            <w:pPr>
              <w:ind w:right="120"/>
              <w:jc w:val="right"/>
              <w:rPr>
                <w:bCs/>
              </w:rPr>
            </w:pPr>
            <w:r>
              <w:rPr>
                <w:bCs/>
              </w:rPr>
              <w:t>1</w:t>
            </w:r>
            <w:r w:rsidR="00DB3813">
              <w:rPr>
                <w:bCs/>
              </w:rPr>
              <w:t>66</w:t>
            </w:r>
          </w:p>
        </w:tc>
        <w:tc>
          <w:tcPr>
            <w:tcW w:w="1383" w:type="dxa"/>
            <w:shd w:val="clear" w:color="auto" w:fill="auto"/>
          </w:tcPr>
          <w:p w:rsidR="00DB3813" w:rsidRPr="00B13E9A" w:rsidRDefault="00DB3813" w:rsidP="00FD361E">
            <w:pPr>
              <w:jc w:val="right"/>
              <w:rPr>
                <w:bCs/>
              </w:rPr>
            </w:pPr>
            <w:r>
              <w:rPr>
                <w:bCs/>
              </w:rPr>
              <w:t>54</w:t>
            </w:r>
          </w:p>
        </w:tc>
      </w:tr>
      <w:tr w:rsidR="00DB3813" w:rsidRPr="00B13E9A" w:rsidTr="00FD361E">
        <w:tc>
          <w:tcPr>
            <w:tcW w:w="5387" w:type="dxa"/>
            <w:shd w:val="clear" w:color="auto" w:fill="auto"/>
          </w:tcPr>
          <w:p w:rsidR="00DB3813" w:rsidRPr="00AF2A30" w:rsidRDefault="00DB3813" w:rsidP="00FD361E">
            <w:pPr>
              <w:jc w:val="both"/>
              <w:rPr>
                <w:b/>
                <w:bCs/>
              </w:rPr>
            </w:pPr>
            <w:r w:rsidRPr="00AF2A30">
              <w:rPr>
                <w:b/>
                <w:bCs/>
              </w:rPr>
              <w:t>Bereinigtes Konzernergebnis</w:t>
            </w:r>
          </w:p>
        </w:tc>
        <w:tc>
          <w:tcPr>
            <w:tcW w:w="1254" w:type="dxa"/>
            <w:shd w:val="clear" w:color="auto" w:fill="C0C0C0"/>
          </w:tcPr>
          <w:p w:rsidR="00DB3813" w:rsidRPr="00B13E9A" w:rsidRDefault="00DB3813" w:rsidP="00FD361E">
            <w:pPr>
              <w:jc w:val="right"/>
              <w:rPr>
                <w:bCs/>
              </w:rPr>
            </w:pPr>
            <w:r>
              <w:rPr>
                <w:bCs/>
              </w:rPr>
              <w:t>320</w:t>
            </w:r>
          </w:p>
        </w:tc>
        <w:tc>
          <w:tcPr>
            <w:tcW w:w="1304" w:type="dxa"/>
            <w:shd w:val="clear" w:color="auto" w:fill="auto"/>
          </w:tcPr>
          <w:p w:rsidR="00DB3813" w:rsidRPr="00B13E9A" w:rsidRDefault="006F4365" w:rsidP="00CC6A8F">
            <w:pPr>
              <w:ind w:right="120"/>
              <w:jc w:val="right"/>
              <w:rPr>
                <w:bCs/>
              </w:rPr>
            </w:pPr>
            <w:r>
              <w:rPr>
                <w:bCs/>
              </w:rPr>
              <w:t>19</w:t>
            </w:r>
            <w:r w:rsidR="00CC6A8F">
              <w:rPr>
                <w:bCs/>
              </w:rPr>
              <w:t>6</w:t>
            </w:r>
          </w:p>
        </w:tc>
        <w:tc>
          <w:tcPr>
            <w:tcW w:w="1383" w:type="dxa"/>
            <w:shd w:val="clear" w:color="auto" w:fill="auto"/>
          </w:tcPr>
          <w:p w:rsidR="00DB3813" w:rsidRPr="00B13E9A" w:rsidRDefault="00DB3813" w:rsidP="004F69FA">
            <w:pPr>
              <w:jc w:val="right"/>
              <w:rPr>
                <w:bCs/>
              </w:rPr>
            </w:pPr>
            <w:r>
              <w:rPr>
                <w:bCs/>
              </w:rPr>
              <w:t>6</w:t>
            </w:r>
            <w:r w:rsidR="006F4365">
              <w:rPr>
                <w:bCs/>
              </w:rPr>
              <w:t>3</w:t>
            </w:r>
          </w:p>
        </w:tc>
      </w:tr>
    </w:tbl>
    <w:p w:rsidR="00DB3813" w:rsidRPr="00B13E9A" w:rsidRDefault="00DB3813" w:rsidP="00DB3813">
      <w:pPr>
        <w:rPr>
          <w:bCs/>
        </w:rPr>
      </w:pPr>
      <w:r w:rsidRPr="00B13E9A">
        <w:rPr>
          <w:bCs/>
        </w:rPr>
        <w:t>Vorjahreszahlen angepasst</w:t>
      </w:r>
    </w:p>
    <w:p w:rsidR="00DB3813" w:rsidRPr="00B13E9A" w:rsidRDefault="00DB3813" w:rsidP="00DB3813">
      <w:pPr>
        <w:rPr>
          <w:bCs/>
        </w:rPr>
      </w:pPr>
    </w:p>
    <w:p w:rsidR="00DB3813" w:rsidRPr="00D941D1" w:rsidRDefault="00DB3813" w:rsidP="00DB3813">
      <w:pPr>
        <w:spacing w:after="120"/>
        <w:rPr>
          <w:b/>
          <w:bCs/>
        </w:rPr>
      </w:pPr>
      <w:r w:rsidRPr="00D941D1">
        <w:rPr>
          <w:b/>
          <w:bCs/>
        </w:rPr>
        <w:t>Entwicklung in den Segmenten</w:t>
      </w:r>
    </w:p>
    <w:tbl>
      <w:tblPr>
        <w:tblW w:w="9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31"/>
        <w:gridCol w:w="1134"/>
        <w:gridCol w:w="1134"/>
        <w:gridCol w:w="1276"/>
        <w:gridCol w:w="1275"/>
        <w:gridCol w:w="993"/>
      </w:tblGrid>
      <w:tr w:rsidR="00DB3813" w:rsidRPr="00B13E9A" w:rsidTr="00356881">
        <w:tc>
          <w:tcPr>
            <w:tcW w:w="2694" w:type="dxa"/>
            <w:vMerge w:val="restart"/>
            <w:shd w:val="clear" w:color="auto" w:fill="auto"/>
          </w:tcPr>
          <w:p w:rsidR="00DB3813" w:rsidRPr="00B13E9A" w:rsidRDefault="00DB3813" w:rsidP="00FD361E">
            <w:pPr>
              <w:rPr>
                <w:bCs/>
              </w:rPr>
            </w:pPr>
          </w:p>
        </w:tc>
        <w:tc>
          <w:tcPr>
            <w:tcW w:w="3499" w:type="dxa"/>
            <w:gridSpan w:val="3"/>
            <w:shd w:val="clear" w:color="auto" w:fill="auto"/>
          </w:tcPr>
          <w:p w:rsidR="00DB3813" w:rsidRPr="00BE5DBC" w:rsidRDefault="00DB3813" w:rsidP="00FD361E">
            <w:pPr>
              <w:jc w:val="center"/>
              <w:rPr>
                <w:b/>
                <w:bCs/>
              </w:rPr>
            </w:pPr>
            <w:r w:rsidRPr="00BE5DBC">
              <w:rPr>
                <w:b/>
                <w:bCs/>
              </w:rPr>
              <w:t>Umsatz</w:t>
            </w:r>
          </w:p>
        </w:tc>
        <w:tc>
          <w:tcPr>
            <w:tcW w:w="3544" w:type="dxa"/>
            <w:gridSpan w:val="3"/>
            <w:shd w:val="clear" w:color="auto" w:fill="auto"/>
          </w:tcPr>
          <w:p w:rsidR="00DB3813" w:rsidRPr="00BE5DBC" w:rsidRDefault="00DB3813" w:rsidP="00FD361E">
            <w:pPr>
              <w:jc w:val="center"/>
              <w:rPr>
                <w:b/>
                <w:bCs/>
              </w:rPr>
            </w:pPr>
            <w:r w:rsidRPr="00BE5DBC">
              <w:rPr>
                <w:b/>
                <w:bCs/>
              </w:rPr>
              <w:t>Bereinigtes EBITDA</w:t>
            </w:r>
          </w:p>
        </w:tc>
      </w:tr>
      <w:tr w:rsidR="00DB3813" w:rsidRPr="00B13E9A" w:rsidTr="00356881">
        <w:tc>
          <w:tcPr>
            <w:tcW w:w="2694" w:type="dxa"/>
            <w:vMerge/>
            <w:shd w:val="clear" w:color="auto" w:fill="auto"/>
          </w:tcPr>
          <w:p w:rsidR="00DB3813" w:rsidRPr="00B13E9A" w:rsidRDefault="00DB3813" w:rsidP="00FD361E">
            <w:pPr>
              <w:rPr>
                <w:bCs/>
              </w:rPr>
            </w:pPr>
          </w:p>
        </w:tc>
        <w:tc>
          <w:tcPr>
            <w:tcW w:w="1231" w:type="dxa"/>
            <w:shd w:val="clear" w:color="auto" w:fill="C0C0C0"/>
          </w:tcPr>
          <w:p w:rsidR="00DB3813" w:rsidRPr="00BE5DBC" w:rsidRDefault="00DB3813" w:rsidP="00FD361E">
            <w:pPr>
              <w:jc w:val="center"/>
              <w:rPr>
                <w:b/>
                <w:bCs/>
                <w:sz w:val="16"/>
                <w:szCs w:val="16"/>
              </w:rPr>
            </w:pPr>
            <w:r w:rsidRPr="00BE5DBC">
              <w:rPr>
                <w:b/>
                <w:bCs/>
                <w:sz w:val="16"/>
                <w:szCs w:val="16"/>
              </w:rPr>
              <w:t>Q1/201</w:t>
            </w:r>
            <w:r>
              <w:rPr>
                <w:b/>
                <w:bCs/>
                <w:sz w:val="16"/>
                <w:szCs w:val="16"/>
              </w:rPr>
              <w:t>5</w:t>
            </w:r>
            <w:r w:rsidRPr="00BE5DBC">
              <w:rPr>
                <w:b/>
                <w:bCs/>
                <w:sz w:val="16"/>
                <w:szCs w:val="16"/>
              </w:rPr>
              <w:br/>
              <w:t>in Mio. €</w:t>
            </w:r>
          </w:p>
        </w:tc>
        <w:tc>
          <w:tcPr>
            <w:tcW w:w="1134" w:type="dxa"/>
            <w:shd w:val="clear" w:color="auto" w:fill="auto"/>
          </w:tcPr>
          <w:p w:rsidR="00DB3813" w:rsidRPr="00BE5DBC" w:rsidRDefault="00DB3813" w:rsidP="00FD361E">
            <w:pPr>
              <w:jc w:val="center"/>
              <w:rPr>
                <w:b/>
                <w:bCs/>
                <w:sz w:val="16"/>
                <w:szCs w:val="16"/>
              </w:rPr>
            </w:pPr>
            <w:r w:rsidRPr="00BE5DBC">
              <w:rPr>
                <w:b/>
                <w:bCs/>
                <w:sz w:val="16"/>
                <w:szCs w:val="16"/>
              </w:rPr>
              <w:t>Q1/201</w:t>
            </w:r>
            <w:r>
              <w:rPr>
                <w:b/>
                <w:bCs/>
                <w:sz w:val="16"/>
                <w:szCs w:val="16"/>
              </w:rPr>
              <w:t>4</w:t>
            </w:r>
            <w:r w:rsidRPr="00BE5DBC">
              <w:rPr>
                <w:b/>
                <w:bCs/>
                <w:sz w:val="16"/>
                <w:szCs w:val="16"/>
              </w:rPr>
              <w:br/>
              <w:t>in Mio. €</w:t>
            </w:r>
          </w:p>
        </w:tc>
        <w:tc>
          <w:tcPr>
            <w:tcW w:w="1134" w:type="dxa"/>
            <w:shd w:val="clear" w:color="auto" w:fill="auto"/>
          </w:tcPr>
          <w:p w:rsidR="00DB3813" w:rsidRPr="00BE5DBC" w:rsidRDefault="00DB3813" w:rsidP="00FD361E">
            <w:pPr>
              <w:jc w:val="center"/>
              <w:rPr>
                <w:b/>
                <w:bCs/>
                <w:sz w:val="16"/>
                <w:szCs w:val="16"/>
              </w:rPr>
            </w:pPr>
            <w:r w:rsidRPr="00BE5DBC">
              <w:rPr>
                <w:b/>
                <w:bCs/>
                <w:sz w:val="16"/>
                <w:szCs w:val="16"/>
              </w:rPr>
              <w:t xml:space="preserve">Veränd. </w:t>
            </w:r>
            <w:r>
              <w:rPr>
                <w:b/>
                <w:bCs/>
                <w:sz w:val="16"/>
                <w:szCs w:val="16"/>
              </w:rPr>
              <w:br/>
            </w:r>
            <w:r w:rsidRPr="00BE5DBC">
              <w:rPr>
                <w:b/>
                <w:bCs/>
                <w:sz w:val="16"/>
                <w:szCs w:val="16"/>
              </w:rPr>
              <w:t>in %</w:t>
            </w:r>
          </w:p>
        </w:tc>
        <w:tc>
          <w:tcPr>
            <w:tcW w:w="1276" w:type="dxa"/>
            <w:shd w:val="clear" w:color="auto" w:fill="C0C0C0"/>
          </w:tcPr>
          <w:p w:rsidR="00DB3813" w:rsidRPr="00BE5DBC" w:rsidRDefault="00DB3813" w:rsidP="00FD361E">
            <w:pPr>
              <w:jc w:val="center"/>
              <w:rPr>
                <w:b/>
                <w:bCs/>
                <w:sz w:val="16"/>
                <w:szCs w:val="16"/>
              </w:rPr>
            </w:pPr>
            <w:r w:rsidRPr="00BE5DBC">
              <w:rPr>
                <w:b/>
                <w:bCs/>
                <w:sz w:val="16"/>
                <w:szCs w:val="16"/>
              </w:rPr>
              <w:t>Q1/201</w:t>
            </w:r>
            <w:r>
              <w:rPr>
                <w:b/>
                <w:bCs/>
                <w:sz w:val="16"/>
                <w:szCs w:val="16"/>
              </w:rPr>
              <w:t>5</w:t>
            </w:r>
            <w:r w:rsidRPr="00BE5DBC">
              <w:rPr>
                <w:b/>
                <w:bCs/>
                <w:sz w:val="16"/>
                <w:szCs w:val="16"/>
              </w:rPr>
              <w:br/>
              <w:t>in Mio. €</w:t>
            </w:r>
          </w:p>
        </w:tc>
        <w:tc>
          <w:tcPr>
            <w:tcW w:w="1275" w:type="dxa"/>
            <w:shd w:val="clear" w:color="auto" w:fill="auto"/>
          </w:tcPr>
          <w:p w:rsidR="00DB3813" w:rsidRPr="00BE5DBC" w:rsidRDefault="00DB3813" w:rsidP="00FD361E">
            <w:pPr>
              <w:jc w:val="center"/>
              <w:rPr>
                <w:b/>
                <w:bCs/>
                <w:sz w:val="16"/>
                <w:szCs w:val="16"/>
              </w:rPr>
            </w:pPr>
            <w:r w:rsidRPr="00BE5DBC">
              <w:rPr>
                <w:b/>
                <w:bCs/>
                <w:sz w:val="16"/>
                <w:szCs w:val="16"/>
              </w:rPr>
              <w:t>Q1/201</w:t>
            </w:r>
            <w:r>
              <w:rPr>
                <w:b/>
                <w:bCs/>
                <w:sz w:val="16"/>
                <w:szCs w:val="16"/>
              </w:rPr>
              <w:t>4</w:t>
            </w:r>
            <w:r w:rsidRPr="00BE5DBC">
              <w:rPr>
                <w:b/>
                <w:bCs/>
                <w:sz w:val="16"/>
                <w:szCs w:val="16"/>
              </w:rPr>
              <w:br/>
              <w:t>in Mio. €</w:t>
            </w:r>
          </w:p>
        </w:tc>
        <w:tc>
          <w:tcPr>
            <w:tcW w:w="993" w:type="dxa"/>
            <w:shd w:val="clear" w:color="auto" w:fill="auto"/>
          </w:tcPr>
          <w:p w:rsidR="00DB3813" w:rsidRPr="00BE5DBC" w:rsidRDefault="00DB3813" w:rsidP="00FD361E">
            <w:pPr>
              <w:jc w:val="center"/>
              <w:rPr>
                <w:b/>
                <w:bCs/>
                <w:sz w:val="16"/>
                <w:szCs w:val="16"/>
              </w:rPr>
            </w:pPr>
            <w:r w:rsidRPr="00BE5DBC">
              <w:rPr>
                <w:b/>
                <w:bCs/>
                <w:sz w:val="16"/>
                <w:szCs w:val="16"/>
              </w:rPr>
              <w:t>Veränd. in %</w:t>
            </w:r>
          </w:p>
        </w:tc>
      </w:tr>
      <w:tr w:rsidR="00DB3813" w:rsidRPr="008D56C4" w:rsidTr="00356881">
        <w:tc>
          <w:tcPr>
            <w:tcW w:w="2694" w:type="dxa"/>
            <w:shd w:val="clear" w:color="auto" w:fill="auto"/>
          </w:tcPr>
          <w:p w:rsidR="00DB3813" w:rsidRPr="00BE5DBC" w:rsidRDefault="00DB3813" w:rsidP="00FD361E">
            <w:pPr>
              <w:rPr>
                <w:bCs/>
              </w:rPr>
            </w:pPr>
            <w:r w:rsidRPr="00BE5DBC">
              <w:rPr>
                <w:bCs/>
              </w:rPr>
              <w:t>Nutrition</w:t>
            </w:r>
            <w:r w:rsidR="00210AE9">
              <w:rPr>
                <w:bCs/>
              </w:rPr>
              <w:t xml:space="preserve"> &amp; </w:t>
            </w:r>
            <w:r>
              <w:rPr>
                <w:bCs/>
              </w:rPr>
              <w:t>Care</w:t>
            </w:r>
          </w:p>
        </w:tc>
        <w:tc>
          <w:tcPr>
            <w:tcW w:w="1231" w:type="dxa"/>
            <w:shd w:val="clear" w:color="auto" w:fill="C0C0C0"/>
            <w:vAlign w:val="center"/>
          </w:tcPr>
          <w:p w:rsidR="00DB3813" w:rsidRPr="00BE5DBC" w:rsidRDefault="00DB3813" w:rsidP="00FD361E">
            <w:pPr>
              <w:jc w:val="right"/>
              <w:rPr>
                <w:bCs/>
              </w:rPr>
            </w:pPr>
            <w:r>
              <w:rPr>
                <w:bCs/>
              </w:rPr>
              <w:t>1.229</w:t>
            </w:r>
          </w:p>
        </w:tc>
        <w:tc>
          <w:tcPr>
            <w:tcW w:w="1134" w:type="dxa"/>
            <w:shd w:val="clear" w:color="auto" w:fill="auto"/>
            <w:vAlign w:val="center"/>
          </w:tcPr>
          <w:p w:rsidR="00DB3813" w:rsidRPr="00A02C86" w:rsidRDefault="00DB3813" w:rsidP="00FD361E">
            <w:pPr>
              <w:jc w:val="right"/>
              <w:rPr>
                <w:bCs/>
                <w:lang w:val="en-US"/>
              </w:rPr>
            </w:pPr>
            <w:r>
              <w:rPr>
                <w:bCs/>
                <w:lang w:val="en-US"/>
              </w:rPr>
              <w:t>962</w:t>
            </w:r>
          </w:p>
        </w:tc>
        <w:tc>
          <w:tcPr>
            <w:tcW w:w="1134" w:type="dxa"/>
            <w:shd w:val="clear" w:color="auto" w:fill="auto"/>
            <w:vAlign w:val="center"/>
          </w:tcPr>
          <w:p w:rsidR="00DB3813" w:rsidRPr="00A02C86" w:rsidRDefault="00DB3813" w:rsidP="00FD361E">
            <w:pPr>
              <w:jc w:val="right"/>
              <w:rPr>
                <w:bCs/>
                <w:lang w:val="en-US"/>
              </w:rPr>
            </w:pPr>
            <w:r>
              <w:rPr>
                <w:bCs/>
                <w:lang w:val="en-US"/>
              </w:rPr>
              <w:t>28</w:t>
            </w:r>
          </w:p>
        </w:tc>
        <w:tc>
          <w:tcPr>
            <w:tcW w:w="1276" w:type="dxa"/>
            <w:shd w:val="clear" w:color="auto" w:fill="C0C0C0"/>
            <w:vAlign w:val="center"/>
          </w:tcPr>
          <w:p w:rsidR="00DB3813" w:rsidRPr="00A02C86" w:rsidRDefault="00DB3813" w:rsidP="00FD361E">
            <w:pPr>
              <w:jc w:val="right"/>
              <w:rPr>
                <w:bCs/>
                <w:lang w:val="en-US"/>
              </w:rPr>
            </w:pPr>
            <w:r>
              <w:rPr>
                <w:bCs/>
                <w:lang w:val="en-US"/>
              </w:rPr>
              <w:t>353</w:t>
            </w:r>
          </w:p>
        </w:tc>
        <w:tc>
          <w:tcPr>
            <w:tcW w:w="1275" w:type="dxa"/>
            <w:shd w:val="clear" w:color="auto" w:fill="auto"/>
            <w:vAlign w:val="center"/>
          </w:tcPr>
          <w:p w:rsidR="00DB3813" w:rsidRPr="00A02C86" w:rsidRDefault="00DB3813" w:rsidP="00FD361E">
            <w:pPr>
              <w:jc w:val="right"/>
              <w:rPr>
                <w:bCs/>
                <w:lang w:val="en-US"/>
              </w:rPr>
            </w:pPr>
            <w:r>
              <w:rPr>
                <w:bCs/>
                <w:lang w:val="en-US"/>
              </w:rPr>
              <w:t>186</w:t>
            </w:r>
          </w:p>
        </w:tc>
        <w:tc>
          <w:tcPr>
            <w:tcW w:w="993" w:type="dxa"/>
            <w:shd w:val="clear" w:color="auto" w:fill="auto"/>
            <w:vAlign w:val="center"/>
          </w:tcPr>
          <w:p w:rsidR="00DB3813" w:rsidRPr="00A02C86" w:rsidRDefault="00DB3813" w:rsidP="00FD361E">
            <w:pPr>
              <w:jc w:val="right"/>
              <w:rPr>
                <w:bCs/>
                <w:lang w:val="en-US"/>
              </w:rPr>
            </w:pPr>
            <w:r>
              <w:rPr>
                <w:bCs/>
                <w:lang w:val="en-US"/>
              </w:rPr>
              <w:t>90</w:t>
            </w:r>
          </w:p>
        </w:tc>
      </w:tr>
      <w:tr w:rsidR="00DB3813" w:rsidRPr="008D56C4" w:rsidTr="00356881">
        <w:tc>
          <w:tcPr>
            <w:tcW w:w="2694" w:type="dxa"/>
            <w:shd w:val="clear" w:color="auto" w:fill="auto"/>
          </w:tcPr>
          <w:p w:rsidR="00DB3813" w:rsidRPr="00A02C86" w:rsidRDefault="00DB3813" w:rsidP="00FD361E">
            <w:pPr>
              <w:rPr>
                <w:bCs/>
                <w:lang w:val="en-US"/>
              </w:rPr>
            </w:pPr>
            <w:r w:rsidRPr="00A02C86">
              <w:rPr>
                <w:bCs/>
                <w:lang w:val="en-US"/>
              </w:rPr>
              <w:t>Resource Efficiency</w:t>
            </w:r>
          </w:p>
        </w:tc>
        <w:tc>
          <w:tcPr>
            <w:tcW w:w="1231" w:type="dxa"/>
            <w:shd w:val="clear" w:color="auto" w:fill="C0C0C0"/>
            <w:vAlign w:val="center"/>
          </w:tcPr>
          <w:p w:rsidR="00DB3813" w:rsidRPr="00A02C86" w:rsidRDefault="00DB3813" w:rsidP="00FD361E">
            <w:pPr>
              <w:jc w:val="right"/>
              <w:rPr>
                <w:bCs/>
                <w:lang w:val="en-US"/>
              </w:rPr>
            </w:pPr>
            <w:r>
              <w:rPr>
                <w:bCs/>
                <w:lang w:val="en-US"/>
              </w:rPr>
              <w:t>1.124</w:t>
            </w:r>
          </w:p>
        </w:tc>
        <w:tc>
          <w:tcPr>
            <w:tcW w:w="1134" w:type="dxa"/>
            <w:shd w:val="clear" w:color="auto" w:fill="auto"/>
            <w:vAlign w:val="center"/>
          </w:tcPr>
          <w:p w:rsidR="00DB3813" w:rsidRPr="00A02C86" w:rsidRDefault="00DB3813" w:rsidP="00FD361E">
            <w:pPr>
              <w:jc w:val="right"/>
              <w:rPr>
                <w:bCs/>
                <w:lang w:val="en-US"/>
              </w:rPr>
            </w:pPr>
            <w:r>
              <w:rPr>
                <w:bCs/>
                <w:lang w:val="en-US"/>
              </w:rPr>
              <w:t>999</w:t>
            </w:r>
          </w:p>
        </w:tc>
        <w:tc>
          <w:tcPr>
            <w:tcW w:w="1134" w:type="dxa"/>
            <w:shd w:val="clear" w:color="auto" w:fill="auto"/>
            <w:vAlign w:val="center"/>
          </w:tcPr>
          <w:p w:rsidR="00DB3813" w:rsidRPr="00A02C86" w:rsidRDefault="00DB3813" w:rsidP="00FD361E">
            <w:pPr>
              <w:jc w:val="right"/>
              <w:rPr>
                <w:bCs/>
                <w:lang w:val="en-US"/>
              </w:rPr>
            </w:pPr>
            <w:r>
              <w:rPr>
                <w:bCs/>
                <w:lang w:val="en-US"/>
              </w:rPr>
              <w:t>13</w:t>
            </w:r>
          </w:p>
        </w:tc>
        <w:tc>
          <w:tcPr>
            <w:tcW w:w="1276" w:type="dxa"/>
            <w:shd w:val="clear" w:color="auto" w:fill="C0C0C0"/>
            <w:vAlign w:val="center"/>
          </w:tcPr>
          <w:p w:rsidR="00DB3813" w:rsidRPr="00A02C86" w:rsidRDefault="00DB3813" w:rsidP="00FD361E">
            <w:pPr>
              <w:jc w:val="right"/>
              <w:rPr>
                <w:bCs/>
                <w:lang w:val="en-US"/>
              </w:rPr>
            </w:pPr>
            <w:r>
              <w:rPr>
                <w:bCs/>
                <w:lang w:val="en-US"/>
              </w:rPr>
              <w:t>244</w:t>
            </w:r>
          </w:p>
        </w:tc>
        <w:tc>
          <w:tcPr>
            <w:tcW w:w="1275" w:type="dxa"/>
            <w:shd w:val="clear" w:color="auto" w:fill="auto"/>
            <w:vAlign w:val="center"/>
          </w:tcPr>
          <w:p w:rsidR="00DB3813" w:rsidRPr="00A02C86" w:rsidRDefault="00DB3813" w:rsidP="00FD361E">
            <w:pPr>
              <w:jc w:val="right"/>
              <w:rPr>
                <w:bCs/>
                <w:lang w:val="en-US"/>
              </w:rPr>
            </w:pPr>
            <w:r>
              <w:rPr>
                <w:bCs/>
                <w:lang w:val="en-US"/>
              </w:rPr>
              <w:t>221</w:t>
            </w:r>
          </w:p>
        </w:tc>
        <w:tc>
          <w:tcPr>
            <w:tcW w:w="993" w:type="dxa"/>
            <w:shd w:val="clear" w:color="auto" w:fill="auto"/>
            <w:vAlign w:val="center"/>
          </w:tcPr>
          <w:p w:rsidR="00DB3813" w:rsidRPr="00A02C86" w:rsidRDefault="00DB3813" w:rsidP="00FD361E">
            <w:pPr>
              <w:jc w:val="right"/>
              <w:rPr>
                <w:bCs/>
                <w:lang w:val="en-US"/>
              </w:rPr>
            </w:pPr>
            <w:r>
              <w:rPr>
                <w:bCs/>
                <w:lang w:val="en-US"/>
              </w:rPr>
              <w:t>10</w:t>
            </w:r>
          </w:p>
        </w:tc>
      </w:tr>
      <w:tr w:rsidR="00DB3813" w:rsidRPr="00B13E9A" w:rsidTr="00356881">
        <w:tc>
          <w:tcPr>
            <w:tcW w:w="2694" w:type="dxa"/>
            <w:shd w:val="clear" w:color="auto" w:fill="auto"/>
          </w:tcPr>
          <w:p w:rsidR="00DB3813" w:rsidRPr="00A02C86" w:rsidRDefault="00DB3813" w:rsidP="00FD361E">
            <w:pPr>
              <w:rPr>
                <w:bCs/>
                <w:lang w:val="en-US"/>
              </w:rPr>
            </w:pPr>
            <w:r>
              <w:rPr>
                <w:bCs/>
                <w:lang w:val="en-US"/>
              </w:rPr>
              <w:t>Performance</w:t>
            </w:r>
            <w:r w:rsidRPr="00A02C86">
              <w:rPr>
                <w:bCs/>
                <w:lang w:val="en-US"/>
              </w:rPr>
              <w:t xml:space="preserve"> Materials</w:t>
            </w:r>
          </w:p>
        </w:tc>
        <w:tc>
          <w:tcPr>
            <w:tcW w:w="1231" w:type="dxa"/>
            <w:shd w:val="clear" w:color="auto" w:fill="C0C0C0"/>
            <w:vAlign w:val="center"/>
          </w:tcPr>
          <w:p w:rsidR="00DB3813" w:rsidRPr="00A02C86" w:rsidRDefault="00DB3813" w:rsidP="00FD361E">
            <w:pPr>
              <w:jc w:val="right"/>
              <w:rPr>
                <w:bCs/>
                <w:lang w:val="en-US"/>
              </w:rPr>
            </w:pPr>
            <w:r>
              <w:rPr>
                <w:bCs/>
                <w:lang w:val="en-US"/>
              </w:rPr>
              <w:t>851</w:t>
            </w:r>
          </w:p>
        </w:tc>
        <w:tc>
          <w:tcPr>
            <w:tcW w:w="1134" w:type="dxa"/>
            <w:shd w:val="clear" w:color="auto" w:fill="auto"/>
            <w:vAlign w:val="center"/>
          </w:tcPr>
          <w:p w:rsidR="00DB3813" w:rsidRPr="00A02C86" w:rsidRDefault="00DB3813" w:rsidP="00FD361E">
            <w:pPr>
              <w:jc w:val="right"/>
              <w:rPr>
                <w:bCs/>
                <w:lang w:val="en-US"/>
              </w:rPr>
            </w:pPr>
            <w:r>
              <w:rPr>
                <w:bCs/>
                <w:lang w:val="en-US"/>
              </w:rPr>
              <w:t>999</w:t>
            </w:r>
          </w:p>
        </w:tc>
        <w:tc>
          <w:tcPr>
            <w:tcW w:w="1134" w:type="dxa"/>
            <w:shd w:val="clear" w:color="auto" w:fill="auto"/>
            <w:vAlign w:val="center"/>
          </w:tcPr>
          <w:p w:rsidR="00DB3813" w:rsidRPr="00A02C86" w:rsidRDefault="00DB3813" w:rsidP="00FD361E">
            <w:pPr>
              <w:jc w:val="right"/>
              <w:rPr>
                <w:bCs/>
                <w:lang w:val="en-US"/>
              </w:rPr>
            </w:pPr>
            <w:r>
              <w:rPr>
                <w:bCs/>
                <w:lang w:val="en-US"/>
              </w:rPr>
              <w:t>-15</w:t>
            </w:r>
          </w:p>
        </w:tc>
        <w:tc>
          <w:tcPr>
            <w:tcW w:w="1276" w:type="dxa"/>
            <w:shd w:val="clear" w:color="auto" w:fill="C0C0C0"/>
            <w:vAlign w:val="center"/>
          </w:tcPr>
          <w:p w:rsidR="00DB3813" w:rsidRPr="00A02C86" w:rsidRDefault="00DB3813" w:rsidP="00FD361E">
            <w:pPr>
              <w:jc w:val="right"/>
              <w:rPr>
                <w:bCs/>
                <w:lang w:val="en-US"/>
              </w:rPr>
            </w:pPr>
            <w:r>
              <w:rPr>
                <w:bCs/>
                <w:lang w:val="en-US"/>
              </w:rPr>
              <w:t>72</w:t>
            </w:r>
          </w:p>
        </w:tc>
        <w:tc>
          <w:tcPr>
            <w:tcW w:w="1275" w:type="dxa"/>
            <w:shd w:val="clear" w:color="auto" w:fill="auto"/>
            <w:vAlign w:val="center"/>
          </w:tcPr>
          <w:p w:rsidR="00DB3813" w:rsidRPr="00A02C86" w:rsidRDefault="00DB3813" w:rsidP="00FD361E">
            <w:pPr>
              <w:jc w:val="right"/>
              <w:rPr>
                <w:bCs/>
                <w:lang w:val="en-US"/>
              </w:rPr>
            </w:pPr>
            <w:r>
              <w:rPr>
                <w:bCs/>
                <w:lang w:val="en-US"/>
              </w:rPr>
              <w:t>80</w:t>
            </w:r>
          </w:p>
        </w:tc>
        <w:tc>
          <w:tcPr>
            <w:tcW w:w="993" w:type="dxa"/>
            <w:shd w:val="clear" w:color="auto" w:fill="auto"/>
            <w:vAlign w:val="center"/>
          </w:tcPr>
          <w:p w:rsidR="00DB3813" w:rsidRPr="00B13E9A" w:rsidRDefault="00DB3813" w:rsidP="00FD361E">
            <w:pPr>
              <w:jc w:val="right"/>
              <w:rPr>
                <w:bCs/>
              </w:rPr>
            </w:pPr>
            <w:r>
              <w:rPr>
                <w:bCs/>
              </w:rPr>
              <w:t>-10</w:t>
            </w:r>
          </w:p>
        </w:tc>
      </w:tr>
      <w:tr w:rsidR="00DB3813" w:rsidRPr="00B13E9A" w:rsidTr="00356881">
        <w:tc>
          <w:tcPr>
            <w:tcW w:w="2694" w:type="dxa"/>
            <w:shd w:val="clear" w:color="auto" w:fill="auto"/>
          </w:tcPr>
          <w:p w:rsidR="00DB3813" w:rsidRPr="00B13E9A" w:rsidRDefault="00DB3813" w:rsidP="00FD361E">
            <w:pPr>
              <w:rPr>
                <w:bCs/>
              </w:rPr>
            </w:pPr>
            <w:r w:rsidRPr="00B13E9A">
              <w:rPr>
                <w:bCs/>
              </w:rPr>
              <w:t>Services</w:t>
            </w:r>
          </w:p>
        </w:tc>
        <w:tc>
          <w:tcPr>
            <w:tcW w:w="1231" w:type="dxa"/>
            <w:shd w:val="clear" w:color="auto" w:fill="C0C0C0"/>
            <w:vAlign w:val="center"/>
          </w:tcPr>
          <w:p w:rsidR="00DB3813" w:rsidRPr="00B13E9A" w:rsidRDefault="00DB3813" w:rsidP="00FD361E">
            <w:pPr>
              <w:jc w:val="right"/>
              <w:rPr>
                <w:bCs/>
              </w:rPr>
            </w:pPr>
            <w:r>
              <w:rPr>
                <w:bCs/>
              </w:rPr>
              <w:t>207</w:t>
            </w:r>
          </w:p>
        </w:tc>
        <w:tc>
          <w:tcPr>
            <w:tcW w:w="1134" w:type="dxa"/>
            <w:shd w:val="clear" w:color="auto" w:fill="auto"/>
            <w:vAlign w:val="center"/>
          </w:tcPr>
          <w:p w:rsidR="00DB3813" w:rsidRPr="00B13E9A" w:rsidRDefault="00DB3813" w:rsidP="00FD361E">
            <w:pPr>
              <w:jc w:val="right"/>
              <w:rPr>
                <w:bCs/>
              </w:rPr>
            </w:pPr>
            <w:r>
              <w:rPr>
                <w:bCs/>
              </w:rPr>
              <w:t>231</w:t>
            </w:r>
          </w:p>
        </w:tc>
        <w:tc>
          <w:tcPr>
            <w:tcW w:w="1134" w:type="dxa"/>
            <w:shd w:val="clear" w:color="auto" w:fill="auto"/>
            <w:vAlign w:val="center"/>
          </w:tcPr>
          <w:p w:rsidR="00DB3813" w:rsidRPr="00B13E9A" w:rsidRDefault="00DB3813" w:rsidP="00FD361E">
            <w:pPr>
              <w:jc w:val="right"/>
              <w:rPr>
                <w:bCs/>
              </w:rPr>
            </w:pPr>
            <w:r>
              <w:rPr>
                <w:bCs/>
              </w:rPr>
              <w:t>-10</w:t>
            </w:r>
          </w:p>
        </w:tc>
        <w:tc>
          <w:tcPr>
            <w:tcW w:w="1276" w:type="dxa"/>
            <w:shd w:val="clear" w:color="auto" w:fill="C0C0C0"/>
            <w:vAlign w:val="center"/>
          </w:tcPr>
          <w:p w:rsidR="00DB3813" w:rsidRPr="00B13E9A" w:rsidRDefault="00DB3813" w:rsidP="00FD361E">
            <w:pPr>
              <w:jc w:val="right"/>
              <w:rPr>
                <w:bCs/>
              </w:rPr>
            </w:pPr>
            <w:r>
              <w:rPr>
                <w:bCs/>
              </w:rPr>
              <w:t>46</w:t>
            </w:r>
          </w:p>
        </w:tc>
        <w:tc>
          <w:tcPr>
            <w:tcW w:w="1275" w:type="dxa"/>
            <w:shd w:val="clear" w:color="auto" w:fill="auto"/>
            <w:vAlign w:val="center"/>
          </w:tcPr>
          <w:p w:rsidR="00DB3813" w:rsidRPr="00B13E9A" w:rsidRDefault="00DB3813" w:rsidP="00FD361E">
            <w:pPr>
              <w:jc w:val="right"/>
              <w:rPr>
                <w:bCs/>
              </w:rPr>
            </w:pPr>
            <w:r>
              <w:rPr>
                <w:bCs/>
              </w:rPr>
              <w:t>43</w:t>
            </w:r>
          </w:p>
        </w:tc>
        <w:tc>
          <w:tcPr>
            <w:tcW w:w="993" w:type="dxa"/>
            <w:shd w:val="clear" w:color="auto" w:fill="auto"/>
            <w:vAlign w:val="center"/>
          </w:tcPr>
          <w:p w:rsidR="00DB3813" w:rsidRPr="00B13E9A" w:rsidRDefault="00DB3813" w:rsidP="00FD361E">
            <w:pPr>
              <w:jc w:val="right"/>
              <w:rPr>
                <w:bCs/>
              </w:rPr>
            </w:pPr>
            <w:r>
              <w:rPr>
                <w:bCs/>
              </w:rPr>
              <w:t>7</w:t>
            </w:r>
          </w:p>
        </w:tc>
      </w:tr>
      <w:tr w:rsidR="00DB3813" w:rsidRPr="00B13E9A" w:rsidTr="00356881">
        <w:tc>
          <w:tcPr>
            <w:tcW w:w="2694" w:type="dxa"/>
            <w:shd w:val="clear" w:color="auto" w:fill="auto"/>
          </w:tcPr>
          <w:p w:rsidR="00DB3813" w:rsidRPr="00B13E9A" w:rsidRDefault="00DB3813" w:rsidP="00FD361E">
            <w:pPr>
              <w:rPr>
                <w:bCs/>
              </w:rPr>
            </w:pPr>
            <w:r w:rsidRPr="00B13E9A">
              <w:rPr>
                <w:bCs/>
              </w:rPr>
              <w:t>Sonstige Aktivitäten</w:t>
            </w:r>
          </w:p>
        </w:tc>
        <w:tc>
          <w:tcPr>
            <w:tcW w:w="1231" w:type="dxa"/>
            <w:shd w:val="clear" w:color="auto" w:fill="C0C0C0"/>
            <w:vAlign w:val="center"/>
          </w:tcPr>
          <w:p w:rsidR="00DB3813" w:rsidRPr="00B13E9A" w:rsidRDefault="006F4365" w:rsidP="00FD361E">
            <w:pPr>
              <w:jc w:val="right"/>
              <w:rPr>
                <w:bCs/>
              </w:rPr>
            </w:pPr>
            <w:r>
              <w:rPr>
                <w:bCs/>
              </w:rPr>
              <w:t>14</w:t>
            </w:r>
          </w:p>
        </w:tc>
        <w:tc>
          <w:tcPr>
            <w:tcW w:w="1134" w:type="dxa"/>
            <w:shd w:val="clear" w:color="auto" w:fill="auto"/>
            <w:vAlign w:val="center"/>
          </w:tcPr>
          <w:p w:rsidR="00DB3813" w:rsidRPr="00B13E9A" w:rsidRDefault="006F4365" w:rsidP="00FD361E">
            <w:pPr>
              <w:jc w:val="right"/>
              <w:rPr>
                <w:bCs/>
              </w:rPr>
            </w:pPr>
            <w:r>
              <w:rPr>
                <w:bCs/>
              </w:rPr>
              <w:t>10</w:t>
            </w:r>
          </w:p>
        </w:tc>
        <w:tc>
          <w:tcPr>
            <w:tcW w:w="1134" w:type="dxa"/>
            <w:shd w:val="clear" w:color="auto" w:fill="auto"/>
            <w:vAlign w:val="center"/>
          </w:tcPr>
          <w:p w:rsidR="00DB3813" w:rsidRPr="00B13E9A" w:rsidRDefault="006F4365" w:rsidP="00FD361E">
            <w:pPr>
              <w:jc w:val="right"/>
              <w:rPr>
                <w:bCs/>
              </w:rPr>
            </w:pPr>
            <w:r>
              <w:rPr>
                <w:bCs/>
              </w:rPr>
              <w:t>-</w:t>
            </w:r>
          </w:p>
        </w:tc>
        <w:tc>
          <w:tcPr>
            <w:tcW w:w="1276" w:type="dxa"/>
            <w:shd w:val="clear" w:color="auto" w:fill="C0C0C0"/>
            <w:vAlign w:val="center"/>
          </w:tcPr>
          <w:p w:rsidR="00DB3813" w:rsidRPr="00B13E9A" w:rsidRDefault="006F4365" w:rsidP="00FD361E">
            <w:pPr>
              <w:jc w:val="right"/>
              <w:rPr>
                <w:bCs/>
              </w:rPr>
            </w:pPr>
            <w:r>
              <w:rPr>
                <w:bCs/>
              </w:rPr>
              <w:t>-65</w:t>
            </w:r>
          </w:p>
        </w:tc>
        <w:tc>
          <w:tcPr>
            <w:tcW w:w="1275" w:type="dxa"/>
            <w:shd w:val="clear" w:color="auto" w:fill="auto"/>
            <w:vAlign w:val="center"/>
          </w:tcPr>
          <w:p w:rsidR="00DB3813" w:rsidRPr="00B13E9A" w:rsidRDefault="006F4365" w:rsidP="00FD361E">
            <w:pPr>
              <w:jc w:val="right"/>
              <w:rPr>
                <w:bCs/>
              </w:rPr>
            </w:pPr>
            <w:r>
              <w:rPr>
                <w:bCs/>
              </w:rPr>
              <w:t>-65</w:t>
            </w:r>
          </w:p>
        </w:tc>
        <w:tc>
          <w:tcPr>
            <w:tcW w:w="993" w:type="dxa"/>
            <w:shd w:val="clear" w:color="auto" w:fill="auto"/>
            <w:vAlign w:val="center"/>
          </w:tcPr>
          <w:p w:rsidR="00DB3813" w:rsidRPr="00B13E9A" w:rsidRDefault="006F4365" w:rsidP="00FD361E">
            <w:pPr>
              <w:jc w:val="right"/>
              <w:rPr>
                <w:bCs/>
              </w:rPr>
            </w:pPr>
            <w:r>
              <w:rPr>
                <w:bCs/>
              </w:rPr>
              <w:t>-</w:t>
            </w:r>
          </w:p>
        </w:tc>
      </w:tr>
      <w:tr w:rsidR="00DB3813" w:rsidRPr="00B13E9A" w:rsidTr="00356881">
        <w:tc>
          <w:tcPr>
            <w:tcW w:w="2694" w:type="dxa"/>
            <w:shd w:val="clear" w:color="auto" w:fill="auto"/>
          </w:tcPr>
          <w:p w:rsidR="00DB3813" w:rsidRPr="00AF2A30" w:rsidRDefault="00DB3813" w:rsidP="00FD361E">
            <w:pPr>
              <w:rPr>
                <w:b/>
                <w:bCs/>
              </w:rPr>
            </w:pPr>
            <w:r w:rsidRPr="00AF2A30">
              <w:rPr>
                <w:b/>
                <w:bCs/>
              </w:rPr>
              <w:t>Konzern</w:t>
            </w:r>
          </w:p>
        </w:tc>
        <w:tc>
          <w:tcPr>
            <w:tcW w:w="1231" w:type="dxa"/>
            <w:shd w:val="clear" w:color="auto" w:fill="C0C0C0"/>
            <w:vAlign w:val="center"/>
          </w:tcPr>
          <w:p w:rsidR="00DB3813" w:rsidRPr="00B13E9A" w:rsidRDefault="00DB3813" w:rsidP="00FD361E">
            <w:pPr>
              <w:jc w:val="right"/>
              <w:rPr>
                <w:bCs/>
              </w:rPr>
            </w:pPr>
            <w:r>
              <w:rPr>
                <w:bCs/>
              </w:rPr>
              <w:t>3.425</w:t>
            </w:r>
          </w:p>
        </w:tc>
        <w:tc>
          <w:tcPr>
            <w:tcW w:w="1134" w:type="dxa"/>
            <w:shd w:val="clear" w:color="auto" w:fill="auto"/>
            <w:vAlign w:val="center"/>
          </w:tcPr>
          <w:p w:rsidR="00DB3813" w:rsidRPr="00B13E9A" w:rsidRDefault="00DB3813" w:rsidP="00FD361E">
            <w:pPr>
              <w:jc w:val="right"/>
              <w:rPr>
                <w:bCs/>
              </w:rPr>
            </w:pPr>
            <w:r>
              <w:rPr>
                <w:bCs/>
              </w:rPr>
              <w:t>3.201</w:t>
            </w:r>
          </w:p>
        </w:tc>
        <w:tc>
          <w:tcPr>
            <w:tcW w:w="1134" w:type="dxa"/>
            <w:shd w:val="clear" w:color="auto" w:fill="auto"/>
            <w:vAlign w:val="center"/>
          </w:tcPr>
          <w:p w:rsidR="00DB3813" w:rsidRPr="00B13E9A" w:rsidRDefault="00DB3813" w:rsidP="00FD361E">
            <w:pPr>
              <w:jc w:val="right"/>
              <w:rPr>
                <w:bCs/>
              </w:rPr>
            </w:pPr>
            <w:r>
              <w:rPr>
                <w:bCs/>
              </w:rPr>
              <w:t>7</w:t>
            </w:r>
          </w:p>
        </w:tc>
        <w:tc>
          <w:tcPr>
            <w:tcW w:w="1276" w:type="dxa"/>
            <w:shd w:val="clear" w:color="auto" w:fill="C0C0C0"/>
            <w:vAlign w:val="center"/>
          </w:tcPr>
          <w:p w:rsidR="00DB3813" w:rsidRPr="00B13E9A" w:rsidRDefault="00DB3813" w:rsidP="00FD361E">
            <w:pPr>
              <w:jc w:val="right"/>
              <w:rPr>
                <w:bCs/>
              </w:rPr>
            </w:pPr>
            <w:r>
              <w:rPr>
                <w:bCs/>
              </w:rPr>
              <w:t>650</w:t>
            </w:r>
          </w:p>
        </w:tc>
        <w:tc>
          <w:tcPr>
            <w:tcW w:w="1275" w:type="dxa"/>
            <w:shd w:val="clear" w:color="auto" w:fill="auto"/>
            <w:vAlign w:val="center"/>
          </w:tcPr>
          <w:p w:rsidR="00DB3813" w:rsidRPr="00B13E9A" w:rsidRDefault="00DB3813" w:rsidP="00FD361E">
            <w:pPr>
              <w:jc w:val="right"/>
              <w:rPr>
                <w:bCs/>
              </w:rPr>
            </w:pPr>
            <w:r>
              <w:rPr>
                <w:bCs/>
              </w:rPr>
              <w:t>465</w:t>
            </w:r>
          </w:p>
        </w:tc>
        <w:tc>
          <w:tcPr>
            <w:tcW w:w="993" w:type="dxa"/>
            <w:shd w:val="clear" w:color="auto" w:fill="auto"/>
            <w:vAlign w:val="center"/>
          </w:tcPr>
          <w:p w:rsidR="00DB3813" w:rsidRPr="00B13E9A" w:rsidRDefault="00DB3813" w:rsidP="00FD361E">
            <w:pPr>
              <w:jc w:val="right"/>
              <w:rPr>
                <w:bCs/>
              </w:rPr>
            </w:pPr>
            <w:r>
              <w:rPr>
                <w:bCs/>
              </w:rPr>
              <w:t>40</w:t>
            </w:r>
          </w:p>
        </w:tc>
      </w:tr>
    </w:tbl>
    <w:p w:rsidR="00DB3813" w:rsidRDefault="00DB3813" w:rsidP="00DB3813">
      <w:pPr>
        <w:ind w:left="142"/>
        <w:rPr>
          <w:bCs/>
        </w:rPr>
      </w:pPr>
      <w:r>
        <w:rPr>
          <w:bCs/>
        </w:rPr>
        <w:t>Vorjahreszahlen angepasst</w:t>
      </w:r>
    </w:p>
    <w:p w:rsidR="00DB3813" w:rsidRDefault="00DB3813" w:rsidP="00DB3813">
      <w:pPr>
        <w:rPr>
          <w:bCs/>
        </w:rPr>
      </w:pPr>
    </w:p>
    <w:p w:rsidR="00885420" w:rsidRDefault="00885420">
      <w:pPr>
        <w:spacing w:line="240" w:lineRule="auto"/>
        <w:ind w:left="0" w:right="0"/>
        <w:rPr>
          <w:b/>
          <w:bCs/>
        </w:rPr>
      </w:pPr>
      <w:r>
        <w:rPr>
          <w:b/>
          <w:bCs/>
        </w:rPr>
        <w:br w:type="page"/>
      </w:r>
    </w:p>
    <w:p w:rsidR="00DB3813" w:rsidRPr="00D941D1" w:rsidRDefault="00DB3813" w:rsidP="00DB3813">
      <w:pPr>
        <w:spacing w:after="120"/>
        <w:rPr>
          <w:b/>
          <w:bCs/>
        </w:rPr>
      </w:pPr>
      <w:r w:rsidRPr="00D941D1">
        <w:rPr>
          <w:b/>
          <w:bCs/>
        </w:rPr>
        <w:lastRenderedPageBreak/>
        <w:t>Mitarbeiter nach Segmenten</w:t>
      </w:r>
    </w:p>
    <w:tbl>
      <w:tblPr>
        <w:tblW w:w="8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2172"/>
        <w:gridCol w:w="2173"/>
      </w:tblGrid>
      <w:tr w:rsidR="00DB3813" w:rsidRPr="00BE5DBC" w:rsidTr="00FD361E">
        <w:tc>
          <w:tcPr>
            <w:tcW w:w="4122" w:type="dxa"/>
            <w:shd w:val="clear" w:color="auto" w:fill="auto"/>
          </w:tcPr>
          <w:p w:rsidR="00DB3813" w:rsidRPr="00B13E9A" w:rsidRDefault="00DB3813" w:rsidP="00FD361E">
            <w:pPr>
              <w:rPr>
                <w:bCs/>
              </w:rPr>
            </w:pPr>
          </w:p>
        </w:tc>
        <w:tc>
          <w:tcPr>
            <w:tcW w:w="2172" w:type="dxa"/>
            <w:shd w:val="clear" w:color="auto" w:fill="auto"/>
          </w:tcPr>
          <w:p w:rsidR="00DB3813" w:rsidRPr="00BE5DBC" w:rsidRDefault="00DB3813" w:rsidP="00FD361E">
            <w:pPr>
              <w:jc w:val="center"/>
              <w:rPr>
                <w:b/>
                <w:bCs/>
              </w:rPr>
            </w:pPr>
            <w:r w:rsidRPr="00BE5DBC">
              <w:rPr>
                <w:b/>
                <w:bCs/>
              </w:rPr>
              <w:t>31.03.201</w:t>
            </w:r>
            <w:r>
              <w:rPr>
                <w:b/>
                <w:bCs/>
              </w:rPr>
              <w:t>5</w:t>
            </w:r>
          </w:p>
        </w:tc>
        <w:tc>
          <w:tcPr>
            <w:tcW w:w="2173" w:type="dxa"/>
            <w:shd w:val="clear" w:color="auto" w:fill="auto"/>
          </w:tcPr>
          <w:p w:rsidR="00DB3813" w:rsidRPr="00BE5DBC" w:rsidRDefault="00DB3813" w:rsidP="00FD361E">
            <w:pPr>
              <w:jc w:val="center"/>
              <w:rPr>
                <w:b/>
                <w:bCs/>
              </w:rPr>
            </w:pPr>
            <w:r w:rsidRPr="00BE5DBC">
              <w:rPr>
                <w:b/>
                <w:bCs/>
              </w:rPr>
              <w:t>31.12.201</w:t>
            </w:r>
            <w:r>
              <w:rPr>
                <w:b/>
                <w:bCs/>
              </w:rPr>
              <w:t>4</w:t>
            </w:r>
          </w:p>
        </w:tc>
      </w:tr>
      <w:tr w:rsidR="00DB3813" w:rsidRPr="00A14C8B" w:rsidTr="00FD361E">
        <w:tc>
          <w:tcPr>
            <w:tcW w:w="4122" w:type="dxa"/>
            <w:shd w:val="clear" w:color="auto" w:fill="auto"/>
          </w:tcPr>
          <w:p w:rsidR="00DB3813" w:rsidRPr="00B13E9A" w:rsidRDefault="00DB3813" w:rsidP="00FD361E">
            <w:pPr>
              <w:rPr>
                <w:bCs/>
              </w:rPr>
            </w:pPr>
            <w:r w:rsidRPr="00B13E9A">
              <w:rPr>
                <w:bCs/>
              </w:rPr>
              <w:t>Nutrition</w:t>
            </w:r>
            <w:r w:rsidR="00210AE9">
              <w:rPr>
                <w:bCs/>
              </w:rPr>
              <w:t xml:space="preserve"> &amp; </w:t>
            </w:r>
            <w:bookmarkStart w:id="0" w:name="_GoBack"/>
            <w:bookmarkEnd w:id="0"/>
            <w:r>
              <w:rPr>
                <w:bCs/>
              </w:rPr>
              <w:t>Care</w:t>
            </w:r>
          </w:p>
        </w:tc>
        <w:tc>
          <w:tcPr>
            <w:tcW w:w="2172" w:type="dxa"/>
            <w:shd w:val="clear" w:color="auto" w:fill="auto"/>
          </w:tcPr>
          <w:p w:rsidR="00DB3813" w:rsidRPr="00A14C8B" w:rsidRDefault="00DB3813" w:rsidP="00FD361E">
            <w:pPr>
              <w:jc w:val="right"/>
              <w:rPr>
                <w:bCs/>
                <w:lang w:val="en-US"/>
              </w:rPr>
            </w:pPr>
            <w:r>
              <w:rPr>
                <w:bCs/>
                <w:lang w:val="en-US"/>
              </w:rPr>
              <w:t>6.927</w:t>
            </w:r>
          </w:p>
        </w:tc>
        <w:tc>
          <w:tcPr>
            <w:tcW w:w="2173" w:type="dxa"/>
            <w:shd w:val="clear" w:color="auto" w:fill="auto"/>
          </w:tcPr>
          <w:p w:rsidR="00DB3813" w:rsidRPr="00A14C8B" w:rsidRDefault="00DB3813" w:rsidP="00FD361E">
            <w:pPr>
              <w:jc w:val="right"/>
              <w:rPr>
                <w:bCs/>
                <w:lang w:val="en-US"/>
              </w:rPr>
            </w:pPr>
            <w:r>
              <w:rPr>
                <w:bCs/>
                <w:lang w:val="en-US"/>
              </w:rPr>
              <w:t>6.943</w:t>
            </w:r>
          </w:p>
        </w:tc>
      </w:tr>
      <w:tr w:rsidR="00DB3813" w:rsidRPr="00A14C8B" w:rsidTr="00FD361E">
        <w:tc>
          <w:tcPr>
            <w:tcW w:w="4122" w:type="dxa"/>
            <w:shd w:val="clear" w:color="auto" w:fill="auto"/>
          </w:tcPr>
          <w:p w:rsidR="00DB3813" w:rsidRPr="00A14C8B" w:rsidRDefault="00DB3813" w:rsidP="00FD361E">
            <w:pPr>
              <w:rPr>
                <w:bCs/>
                <w:lang w:val="en-US"/>
              </w:rPr>
            </w:pPr>
            <w:r w:rsidRPr="00A14C8B">
              <w:rPr>
                <w:bCs/>
                <w:lang w:val="en-US"/>
              </w:rPr>
              <w:t>Resource Efficiency</w:t>
            </w:r>
          </w:p>
        </w:tc>
        <w:tc>
          <w:tcPr>
            <w:tcW w:w="2172" w:type="dxa"/>
            <w:shd w:val="clear" w:color="auto" w:fill="auto"/>
          </w:tcPr>
          <w:p w:rsidR="00DB3813" w:rsidRPr="00A14C8B" w:rsidRDefault="00DB3813" w:rsidP="00FD361E">
            <w:pPr>
              <w:jc w:val="right"/>
              <w:rPr>
                <w:bCs/>
                <w:lang w:val="en-US"/>
              </w:rPr>
            </w:pPr>
            <w:r>
              <w:rPr>
                <w:bCs/>
                <w:lang w:val="en-US"/>
              </w:rPr>
              <w:t>7.908</w:t>
            </w:r>
          </w:p>
        </w:tc>
        <w:tc>
          <w:tcPr>
            <w:tcW w:w="2173" w:type="dxa"/>
            <w:shd w:val="clear" w:color="auto" w:fill="auto"/>
          </w:tcPr>
          <w:p w:rsidR="00DB3813" w:rsidRPr="00A14C8B" w:rsidRDefault="00DB3813" w:rsidP="00FD361E">
            <w:pPr>
              <w:jc w:val="right"/>
              <w:rPr>
                <w:bCs/>
                <w:lang w:val="en-US"/>
              </w:rPr>
            </w:pPr>
            <w:r>
              <w:rPr>
                <w:bCs/>
                <w:lang w:val="en-US"/>
              </w:rPr>
              <w:t>7.835</w:t>
            </w:r>
          </w:p>
        </w:tc>
      </w:tr>
      <w:tr w:rsidR="00DB3813" w:rsidRPr="00A14C8B" w:rsidTr="00FD361E">
        <w:tc>
          <w:tcPr>
            <w:tcW w:w="4122" w:type="dxa"/>
            <w:shd w:val="clear" w:color="auto" w:fill="auto"/>
          </w:tcPr>
          <w:p w:rsidR="00DB3813" w:rsidRPr="00A14C8B" w:rsidRDefault="00DB3813" w:rsidP="00FD361E">
            <w:pPr>
              <w:rPr>
                <w:bCs/>
                <w:lang w:val="en-US"/>
              </w:rPr>
            </w:pPr>
            <w:r>
              <w:rPr>
                <w:bCs/>
                <w:lang w:val="en-US"/>
              </w:rPr>
              <w:t>Performance</w:t>
            </w:r>
            <w:r w:rsidRPr="00A14C8B">
              <w:rPr>
                <w:bCs/>
                <w:lang w:val="en-US"/>
              </w:rPr>
              <w:t xml:space="preserve"> Materials</w:t>
            </w:r>
          </w:p>
        </w:tc>
        <w:tc>
          <w:tcPr>
            <w:tcW w:w="2172" w:type="dxa"/>
            <w:shd w:val="clear" w:color="auto" w:fill="auto"/>
          </w:tcPr>
          <w:p w:rsidR="00DB3813" w:rsidRPr="00A14C8B" w:rsidRDefault="00DB3813" w:rsidP="00FD361E">
            <w:pPr>
              <w:jc w:val="right"/>
              <w:rPr>
                <w:bCs/>
                <w:lang w:val="en-US"/>
              </w:rPr>
            </w:pPr>
            <w:r>
              <w:rPr>
                <w:bCs/>
                <w:lang w:val="en-US"/>
              </w:rPr>
              <w:t>4.346</w:t>
            </w:r>
          </w:p>
        </w:tc>
        <w:tc>
          <w:tcPr>
            <w:tcW w:w="2173" w:type="dxa"/>
            <w:shd w:val="clear" w:color="auto" w:fill="auto"/>
          </w:tcPr>
          <w:p w:rsidR="00DB3813" w:rsidRPr="00A14C8B" w:rsidRDefault="00DB3813" w:rsidP="00FD361E">
            <w:pPr>
              <w:jc w:val="right"/>
              <w:rPr>
                <w:bCs/>
                <w:lang w:val="en-US"/>
              </w:rPr>
            </w:pPr>
            <w:r>
              <w:rPr>
                <w:bCs/>
                <w:lang w:val="en-US"/>
              </w:rPr>
              <w:t>4.353</w:t>
            </w:r>
          </w:p>
        </w:tc>
      </w:tr>
      <w:tr w:rsidR="00DB3813" w:rsidRPr="00A14C8B" w:rsidTr="00FD361E">
        <w:tc>
          <w:tcPr>
            <w:tcW w:w="4122" w:type="dxa"/>
            <w:shd w:val="clear" w:color="auto" w:fill="auto"/>
          </w:tcPr>
          <w:p w:rsidR="00DB3813" w:rsidRPr="00A14C8B" w:rsidRDefault="00DB3813" w:rsidP="00FD361E">
            <w:pPr>
              <w:rPr>
                <w:bCs/>
                <w:lang w:val="en-US"/>
              </w:rPr>
            </w:pPr>
            <w:r w:rsidRPr="00A14C8B">
              <w:rPr>
                <w:bCs/>
                <w:lang w:val="en-US"/>
              </w:rPr>
              <w:t>Services</w:t>
            </w:r>
          </w:p>
        </w:tc>
        <w:tc>
          <w:tcPr>
            <w:tcW w:w="2172" w:type="dxa"/>
            <w:shd w:val="clear" w:color="auto" w:fill="auto"/>
          </w:tcPr>
          <w:p w:rsidR="00DB3813" w:rsidRPr="00A14C8B" w:rsidRDefault="00DB3813" w:rsidP="00FD361E">
            <w:pPr>
              <w:jc w:val="right"/>
              <w:rPr>
                <w:bCs/>
                <w:lang w:val="en-US"/>
              </w:rPr>
            </w:pPr>
            <w:r>
              <w:rPr>
                <w:bCs/>
                <w:lang w:val="en-US"/>
              </w:rPr>
              <w:t>12.971</w:t>
            </w:r>
          </w:p>
        </w:tc>
        <w:tc>
          <w:tcPr>
            <w:tcW w:w="2173" w:type="dxa"/>
            <w:shd w:val="clear" w:color="auto" w:fill="auto"/>
          </w:tcPr>
          <w:p w:rsidR="00DB3813" w:rsidRPr="00A14C8B" w:rsidRDefault="00DB3813" w:rsidP="00FD361E">
            <w:pPr>
              <w:jc w:val="right"/>
              <w:rPr>
                <w:bCs/>
                <w:lang w:val="en-US"/>
              </w:rPr>
            </w:pPr>
            <w:r>
              <w:rPr>
                <w:bCs/>
                <w:lang w:val="en-US"/>
              </w:rPr>
              <w:t>13.</w:t>
            </w:r>
            <w:r w:rsidR="006F4365">
              <w:rPr>
                <w:bCs/>
                <w:lang w:val="en-US"/>
              </w:rPr>
              <w:t>1</w:t>
            </w:r>
            <w:r>
              <w:rPr>
                <w:bCs/>
                <w:lang w:val="en-US"/>
              </w:rPr>
              <w:t>73</w:t>
            </w:r>
          </w:p>
        </w:tc>
      </w:tr>
      <w:tr w:rsidR="00DB3813" w:rsidRPr="00B13E9A" w:rsidTr="00FD361E">
        <w:tc>
          <w:tcPr>
            <w:tcW w:w="4122" w:type="dxa"/>
            <w:shd w:val="clear" w:color="auto" w:fill="auto"/>
          </w:tcPr>
          <w:p w:rsidR="00DB3813" w:rsidRPr="00A14C8B" w:rsidRDefault="00DB3813" w:rsidP="00FD361E">
            <w:pPr>
              <w:rPr>
                <w:bCs/>
                <w:lang w:val="en-US"/>
              </w:rPr>
            </w:pPr>
            <w:r w:rsidRPr="00A14C8B">
              <w:rPr>
                <w:bCs/>
                <w:lang w:val="en-US"/>
              </w:rPr>
              <w:t>Sonstige Aktivitäten</w:t>
            </w:r>
          </w:p>
        </w:tc>
        <w:tc>
          <w:tcPr>
            <w:tcW w:w="2172" w:type="dxa"/>
            <w:shd w:val="clear" w:color="auto" w:fill="auto"/>
          </w:tcPr>
          <w:p w:rsidR="00DB3813" w:rsidRPr="00A14C8B" w:rsidRDefault="006F4365" w:rsidP="006F4365">
            <w:pPr>
              <w:jc w:val="right"/>
              <w:rPr>
                <w:bCs/>
                <w:lang w:val="en-US"/>
              </w:rPr>
            </w:pPr>
            <w:r>
              <w:rPr>
                <w:bCs/>
                <w:lang w:val="en-US"/>
              </w:rPr>
              <w:t>923</w:t>
            </w:r>
          </w:p>
        </w:tc>
        <w:tc>
          <w:tcPr>
            <w:tcW w:w="2173" w:type="dxa"/>
            <w:shd w:val="clear" w:color="auto" w:fill="auto"/>
          </w:tcPr>
          <w:p w:rsidR="00DB3813" w:rsidRPr="00B13E9A" w:rsidRDefault="00DB3813" w:rsidP="00FD361E">
            <w:pPr>
              <w:jc w:val="right"/>
              <w:rPr>
                <w:bCs/>
              </w:rPr>
            </w:pPr>
            <w:r>
              <w:rPr>
                <w:bCs/>
              </w:rPr>
              <w:t>937</w:t>
            </w:r>
          </w:p>
        </w:tc>
      </w:tr>
      <w:tr w:rsidR="00DB3813" w:rsidRPr="00B93B7A" w:rsidTr="00FD361E">
        <w:tc>
          <w:tcPr>
            <w:tcW w:w="4122" w:type="dxa"/>
            <w:shd w:val="clear" w:color="auto" w:fill="auto"/>
          </w:tcPr>
          <w:p w:rsidR="00DB3813" w:rsidRPr="00B93B7A" w:rsidRDefault="00DB3813" w:rsidP="00FD361E">
            <w:pPr>
              <w:rPr>
                <w:b/>
                <w:bCs/>
              </w:rPr>
            </w:pPr>
            <w:r w:rsidRPr="00B93B7A">
              <w:rPr>
                <w:b/>
                <w:bCs/>
              </w:rPr>
              <w:t>Fortgeführte Aktivitäten</w:t>
            </w:r>
          </w:p>
        </w:tc>
        <w:tc>
          <w:tcPr>
            <w:tcW w:w="2172" w:type="dxa"/>
            <w:shd w:val="clear" w:color="auto" w:fill="auto"/>
          </w:tcPr>
          <w:p w:rsidR="00DB3813" w:rsidRPr="00B93B7A" w:rsidRDefault="00DB3813" w:rsidP="006F4365">
            <w:pPr>
              <w:jc w:val="right"/>
              <w:rPr>
                <w:b/>
                <w:bCs/>
              </w:rPr>
            </w:pPr>
            <w:r>
              <w:rPr>
                <w:b/>
                <w:bCs/>
              </w:rPr>
              <w:t>3</w:t>
            </w:r>
            <w:r w:rsidR="006F4365">
              <w:rPr>
                <w:b/>
                <w:bCs/>
              </w:rPr>
              <w:t>3</w:t>
            </w:r>
            <w:r>
              <w:rPr>
                <w:b/>
                <w:bCs/>
              </w:rPr>
              <w:t>.</w:t>
            </w:r>
            <w:r w:rsidR="006F4365">
              <w:rPr>
                <w:b/>
                <w:bCs/>
              </w:rPr>
              <w:t>075</w:t>
            </w:r>
          </w:p>
        </w:tc>
        <w:tc>
          <w:tcPr>
            <w:tcW w:w="2173" w:type="dxa"/>
            <w:shd w:val="clear" w:color="auto" w:fill="auto"/>
          </w:tcPr>
          <w:p w:rsidR="00DB3813" w:rsidRPr="00B93B7A" w:rsidRDefault="00DB3813" w:rsidP="00FD361E">
            <w:pPr>
              <w:jc w:val="right"/>
              <w:rPr>
                <w:b/>
                <w:bCs/>
              </w:rPr>
            </w:pPr>
            <w:r>
              <w:rPr>
                <w:b/>
                <w:bCs/>
              </w:rPr>
              <w:t>33.241</w:t>
            </w:r>
          </w:p>
        </w:tc>
      </w:tr>
      <w:tr w:rsidR="00DB3813" w:rsidRPr="00B13E9A" w:rsidTr="00FD361E">
        <w:tc>
          <w:tcPr>
            <w:tcW w:w="4122" w:type="dxa"/>
            <w:shd w:val="clear" w:color="auto" w:fill="auto"/>
          </w:tcPr>
          <w:p w:rsidR="00DB3813" w:rsidRPr="00B13E9A" w:rsidRDefault="00DB3813" w:rsidP="00FD361E">
            <w:pPr>
              <w:rPr>
                <w:bCs/>
              </w:rPr>
            </w:pPr>
            <w:r w:rsidRPr="00B13E9A">
              <w:rPr>
                <w:bCs/>
              </w:rPr>
              <w:t xml:space="preserve">Nicht fortgeführte Aktivitäten </w:t>
            </w:r>
          </w:p>
        </w:tc>
        <w:tc>
          <w:tcPr>
            <w:tcW w:w="2172" w:type="dxa"/>
            <w:shd w:val="clear" w:color="auto" w:fill="auto"/>
          </w:tcPr>
          <w:p w:rsidR="00DB3813" w:rsidRPr="00B13E9A" w:rsidRDefault="00DB3813" w:rsidP="00FD361E">
            <w:pPr>
              <w:jc w:val="right"/>
              <w:rPr>
                <w:bCs/>
              </w:rPr>
            </w:pPr>
            <w:r>
              <w:rPr>
                <w:bCs/>
              </w:rPr>
              <w:t>167</w:t>
            </w:r>
          </w:p>
        </w:tc>
        <w:tc>
          <w:tcPr>
            <w:tcW w:w="2173" w:type="dxa"/>
            <w:shd w:val="clear" w:color="auto" w:fill="auto"/>
          </w:tcPr>
          <w:p w:rsidR="00DB3813" w:rsidRPr="00B13E9A" w:rsidRDefault="00DB3813" w:rsidP="00FD361E">
            <w:pPr>
              <w:jc w:val="right"/>
              <w:rPr>
                <w:bCs/>
              </w:rPr>
            </w:pPr>
            <w:r>
              <w:rPr>
                <w:bCs/>
              </w:rPr>
              <w:t>171</w:t>
            </w:r>
          </w:p>
        </w:tc>
      </w:tr>
      <w:tr w:rsidR="00DB3813" w:rsidRPr="00BE5DBC" w:rsidTr="00FD361E">
        <w:tc>
          <w:tcPr>
            <w:tcW w:w="4122" w:type="dxa"/>
            <w:shd w:val="clear" w:color="auto" w:fill="auto"/>
          </w:tcPr>
          <w:p w:rsidR="00DB3813" w:rsidRPr="00BE5DBC" w:rsidRDefault="00DB3813" w:rsidP="00FD361E">
            <w:pPr>
              <w:rPr>
                <w:b/>
                <w:bCs/>
              </w:rPr>
            </w:pPr>
            <w:r>
              <w:rPr>
                <w:b/>
                <w:bCs/>
              </w:rPr>
              <w:t>Konzern</w:t>
            </w:r>
          </w:p>
        </w:tc>
        <w:tc>
          <w:tcPr>
            <w:tcW w:w="2172" w:type="dxa"/>
            <w:shd w:val="clear" w:color="auto" w:fill="auto"/>
          </w:tcPr>
          <w:p w:rsidR="00DB3813" w:rsidRPr="00BE5DBC" w:rsidRDefault="00DB3813" w:rsidP="00FD361E">
            <w:pPr>
              <w:jc w:val="right"/>
              <w:rPr>
                <w:b/>
                <w:bCs/>
              </w:rPr>
            </w:pPr>
            <w:r>
              <w:rPr>
                <w:b/>
                <w:bCs/>
              </w:rPr>
              <w:t>33.242</w:t>
            </w:r>
          </w:p>
        </w:tc>
        <w:tc>
          <w:tcPr>
            <w:tcW w:w="2173" w:type="dxa"/>
            <w:shd w:val="clear" w:color="auto" w:fill="auto"/>
          </w:tcPr>
          <w:p w:rsidR="00DB3813" w:rsidRPr="00BE5DBC" w:rsidRDefault="00DB3813" w:rsidP="00FD361E">
            <w:pPr>
              <w:jc w:val="right"/>
              <w:rPr>
                <w:b/>
                <w:bCs/>
              </w:rPr>
            </w:pPr>
            <w:r>
              <w:rPr>
                <w:b/>
                <w:bCs/>
              </w:rPr>
              <w:t>33.412</w:t>
            </w:r>
          </w:p>
        </w:tc>
      </w:tr>
    </w:tbl>
    <w:p w:rsidR="00DB3813" w:rsidRPr="00B13E9A" w:rsidRDefault="00DB3813" w:rsidP="00DB3813">
      <w:pPr>
        <w:rPr>
          <w:bCs/>
          <w:lang w:eastAsia="en-US"/>
        </w:rPr>
      </w:pPr>
    </w:p>
    <w:p w:rsidR="00DB3813" w:rsidRDefault="00DB3813" w:rsidP="00DB3813"/>
    <w:p w:rsidR="006E71B7" w:rsidRDefault="006E71B7" w:rsidP="002A65FE">
      <w:pPr>
        <w:spacing w:line="300" w:lineRule="atLeast"/>
        <w:ind w:left="0"/>
        <w:rPr>
          <w:rFonts w:cs="Lucida Sans Unicode"/>
          <w:sz w:val="20"/>
          <w:szCs w:val="20"/>
        </w:rPr>
      </w:pPr>
    </w:p>
    <w:p w:rsidR="00BC2C98" w:rsidRDefault="00524815" w:rsidP="00524815">
      <w:pPr>
        <w:spacing w:line="240" w:lineRule="auto"/>
        <w:ind w:left="0" w:right="0"/>
        <w:rPr>
          <w:rFonts w:cs="Lucida Sans Unicode"/>
          <w:b/>
          <w:bCs/>
          <w:szCs w:val="18"/>
        </w:rPr>
      </w:pPr>
      <w:r>
        <w:rPr>
          <w:rFonts w:cs="Lucida Sans Unicode"/>
          <w:b/>
          <w:bCs/>
          <w:szCs w:val="18"/>
        </w:rPr>
        <w:t>I</w:t>
      </w:r>
      <w:r w:rsidR="00BC2C98">
        <w:rPr>
          <w:rFonts w:cs="Lucida Sans Unicode"/>
          <w:b/>
          <w:bCs/>
          <w:szCs w:val="18"/>
        </w:rPr>
        <w:t xml:space="preserve">nformationen zum Konzern </w:t>
      </w:r>
    </w:p>
    <w:p w:rsidR="00BC2C98" w:rsidRPr="009D734A" w:rsidRDefault="00BC2C98" w:rsidP="00BC2C98">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BC2C98" w:rsidRDefault="00BC2C98" w:rsidP="00BC2C98">
      <w:pPr>
        <w:autoSpaceDE w:val="0"/>
        <w:autoSpaceDN w:val="0"/>
        <w:adjustRightInd w:val="0"/>
        <w:spacing w:line="220" w:lineRule="exact"/>
        <w:ind w:left="0" w:right="0"/>
        <w:rPr>
          <w:rFonts w:cs="Lucida Sans Unicode"/>
          <w:position w:val="0"/>
          <w:szCs w:val="18"/>
        </w:rPr>
      </w:pPr>
    </w:p>
    <w:p w:rsidR="00BC2C98" w:rsidRDefault="00BC2C98" w:rsidP="00BC2C98">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BC2C98" w:rsidRDefault="00BC2C98" w:rsidP="00BC2C98">
      <w:pPr>
        <w:spacing w:line="300" w:lineRule="exact"/>
        <w:ind w:left="0"/>
        <w:rPr>
          <w:sz w:val="22"/>
          <w:szCs w:val="22"/>
        </w:rPr>
      </w:pPr>
    </w:p>
    <w:p w:rsidR="00BC2C98" w:rsidRDefault="00BC2C98" w:rsidP="00BC2C98">
      <w:pPr>
        <w:autoSpaceDE w:val="0"/>
        <w:autoSpaceDN w:val="0"/>
        <w:adjustRightInd w:val="0"/>
        <w:spacing w:line="220" w:lineRule="exact"/>
        <w:ind w:left="0" w:right="0"/>
        <w:rPr>
          <w:rFonts w:cs="Lucida Sans Unicode"/>
          <w:b/>
          <w:position w:val="0"/>
          <w:szCs w:val="18"/>
        </w:rPr>
      </w:pPr>
    </w:p>
    <w:p w:rsidR="00BC2C98" w:rsidRPr="001B3A8C" w:rsidRDefault="00BC2C98" w:rsidP="00BC2C98">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BC2C98" w:rsidRPr="001B3A8C" w:rsidRDefault="00BC2C98" w:rsidP="00BC2C98">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9D734A" w:rsidRDefault="009D734A" w:rsidP="009D734A">
      <w:pPr>
        <w:autoSpaceDE w:val="0"/>
        <w:autoSpaceDN w:val="0"/>
        <w:adjustRightInd w:val="0"/>
        <w:spacing w:line="220" w:lineRule="exact"/>
        <w:rPr>
          <w:rFonts w:cs="Lucida Sans Unicode"/>
          <w:szCs w:val="18"/>
        </w:rPr>
      </w:pPr>
    </w:p>
    <w:sectPr w:rsidR="009D734A" w:rsidSect="00407B10">
      <w:headerReference w:type="even" r:id="rId13"/>
      <w:type w:val="continuous"/>
      <w:pgSz w:w="11906" w:h="16838" w:code="9"/>
      <w:pgMar w:top="324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73D" w:rsidRDefault="00D7573D">
      <w:r>
        <w:separator/>
      </w:r>
    </w:p>
    <w:p w:rsidR="00D7573D" w:rsidRDefault="00D7573D"/>
  </w:endnote>
  <w:endnote w:type="continuationSeparator" w:id="0">
    <w:p w:rsidR="00D7573D" w:rsidRDefault="00D7573D">
      <w:r>
        <w:continuationSeparator/>
      </w:r>
    </w:p>
    <w:p w:rsidR="00D7573D" w:rsidRDefault="00D757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48A" w:rsidRDefault="00D3248A">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10AE9">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10AE9">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48A" w:rsidRDefault="00D3248A">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10AE9">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10AE9">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73D" w:rsidRDefault="00D7573D">
      <w:r>
        <w:separator/>
      </w:r>
    </w:p>
    <w:p w:rsidR="00D7573D" w:rsidRDefault="00D7573D"/>
  </w:footnote>
  <w:footnote w:type="continuationSeparator" w:id="0">
    <w:p w:rsidR="00D7573D" w:rsidRDefault="00D7573D">
      <w:r>
        <w:continuationSeparator/>
      </w:r>
    </w:p>
    <w:p w:rsidR="00D7573D" w:rsidRDefault="00D757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48A" w:rsidRDefault="00D3248A">
    <w:pPr>
      <w:pStyle w:val="Kopfzeile"/>
      <w:ind w:left="0"/>
    </w:pPr>
  </w:p>
  <w:p w:rsidR="00D3248A" w:rsidRDefault="00D3248A">
    <w:pPr>
      <w:pStyle w:val="Kopfzeile"/>
      <w:ind w:left="0"/>
    </w:pPr>
  </w:p>
  <w:p w:rsidR="00D3248A" w:rsidRDefault="00D3248A">
    <w:pPr>
      <w:pStyle w:val="Kopfzeile"/>
      <w:ind w:left="0"/>
    </w:pPr>
  </w:p>
  <w:p w:rsidR="00D3248A" w:rsidRDefault="00D3248A">
    <w:pPr>
      <w:pStyle w:val="Kopfzeile"/>
      <w:ind w:left="0"/>
    </w:pPr>
  </w:p>
  <w:p w:rsidR="00D3248A" w:rsidRPr="00067DAF" w:rsidRDefault="00D3248A" w:rsidP="00067DAF">
    <w:pPr>
      <w:pStyle w:val="Kopfzeile"/>
      <w:ind w:left="0" w:right="-3"/>
    </w:pPr>
    <w:r>
      <w:rPr>
        <w:noProof/>
      </w:rPr>
      <w:drawing>
        <wp:anchor distT="0" distB="0" distL="114300" distR="114300" simplePos="0" relativeHeight="251659264" behindDoc="0" locked="0" layoutInCell="1" allowOverlap="1" wp14:anchorId="0A4D398D" wp14:editId="4FA59097">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DA8DDCE" wp14:editId="7251DF5B">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48A" w:rsidRDefault="00D3248A">
    <w:pPr>
      <w:pStyle w:val="Kopfzeile"/>
      <w:ind w:left="0"/>
    </w:pPr>
  </w:p>
  <w:p w:rsidR="00D3248A" w:rsidRDefault="00D3248A">
    <w:pPr>
      <w:pStyle w:val="Kopfzeile"/>
      <w:ind w:left="0"/>
    </w:pPr>
  </w:p>
  <w:p w:rsidR="00D3248A" w:rsidRDefault="00D3248A">
    <w:pPr>
      <w:pStyle w:val="Kopfzeile"/>
      <w:ind w:left="0"/>
      <w:rPr>
        <w:u w:val="single"/>
      </w:rPr>
    </w:pPr>
  </w:p>
  <w:p w:rsidR="000314E8" w:rsidRDefault="000314E8">
    <w:pPr>
      <w:pStyle w:val="Kopfzeile"/>
      <w:ind w:left="0"/>
      <w:rPr>
        <w:u w:val="single"/>
      </w:rPr>
    </w:pPr>
  </w:p>
  <w:p w:rsidR="000314E8" w:rsidRDefault="000314E8">
    <w:pPr>
      <w:pStyle w:val="Kopfzeile"/>
      <w:ind w:left="0"/>
      <w:rPr>
        <w:u w:val="single"/>
      </w:rPr>
    </w:pPr>
  </w:p>
  <w:p w:rsidR="0039125D" w:rsidRDefault="0039125D" w:rsidP="000314E8">
    <w:pPr>
      <w:spacing w:line="300" w:lineRule="exact"/>
      <w:ind w:left="0"/>
      <w:rPr>
        <w:b/>
        <w:szCs w:val="18"/>
        <w:u w:val="single"/>
      </w:rPr>
    </w:pPr>
  </w:p>
  <w:p w:rsidR="0039125D" w:rsidRDefault="0039125D" w:rsidP="000314E8">
    <w:pPr>
      <w:spacing w:line="300" w:lineRule="exact"/>
      <w:ind w:left="0"/>
      <w:rPr>
        <w:b/>
        <w:szCs w:val="18"/>
        <w:u w:val="single"/>
      </w:rPr>
    </w:pPr>
  </w:p>
  <w:p w:rsidR="000314E8" w:rsidRPr="008224A5" w:rsidRDefault="000314E8" w:rsidP="000314E8">
    <w:pPr>
      <w:spacing w:line="300" w:lineRule="exact"/>
      <w:ind w:left="0"/>
      <w:rPr>
        <w:b/>
        <w:szCs w:val="18"/>
        <w:u w:val="single"/>
      </w:rPr>
    </w:pPr>
    <w:r w:rsidRPr="008224A5">
      <w:rPr>
        <w:b/>
        <w:szCs w:val="18"/>
        <w:u w:val="single"/>
      </w:rPr>
      <w:t xml:space="preserve">Sendesperrfrist: </w:t>
    </w:r>
    <w:r>
      <w:rPr>
        <w:b/>
        <w:szCs w:val="18"/>
        <w:u w:val="single"/>
      </w:rPr>
      <w:t>6</w:t>
    </w:r>
    <w:r w:rsidRPr="008224A5">
      <w:rPr>
        <w:b/>
        <w:szCs w:val="18"/>
        <w:u w:val="single"/>
      </w:rPr>
      <w:t>. Mai 201</w:t>
    </w:r>
    <w:r>
      <w:rPr>
        <w:b/>
        <w:szCs w:val="18"/>
        <w:u w:val="single"/>
      </w:rPr>
      <w:t>5</w:t>
    </w:r>
    <w:r w:rsidRPr="008224A5">
      <w:rPr>
        <w:b/>
        <w:szCs w:val="18"/>
        <w:u w:val="single"/>
      </w:rPr>
      <w:t>, 7:</w:t>
    </w:r>
    <w:r>
      <w:rPr>
        <w:b/>
        <w:szCs w:val="18"/>
        <w:u w:val="single"/>
      </w:rPr>
      <w:t>00</w:t>
    </w:r>
    <w:r w:rsidRPr="008224A5">
      <w:rPr>
        <w:b/>
        <w:szCs w:val="18"/>
        <w:u w:val="single"/>
      </w:rPr>
      <w:t xml:space="preserve"> Uhr</w:t>
    </w:r>
  </w:p>
  <w:p w:rsidR="00D3248A" w:rsidRPr="009D5463" w:rsidRDefault="00D3248A">
    <w:pPr>
      <w:pStyle w:val="Kopfzeile"/>
      <w:ind w:left="0"/>
      <w:rPr>
        <w:u w:val="single"/>
      </w:rPr>
    </w:pPr>
    <w:r w:rsidRPr="009D5463">
      <w:rPr>
        <w:noProof/>
        <w:u w:val="single"/>
      </w:rPr>
      <w:drawing>
        <wp:anchor distT="0" distB="0" distL="114300" distR="114300" simplePos="0" relativeHeight="251658240" behindDoc="0" locked="0" layoutInCell="1" allowOverlap="1" wp14:anchorId="0A452D0F" wp14:editId="1ADE4CFA">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5463">
      <w:rPr>
        <w:noProof/>
        <w:u w:val="single"/>
      </w:rPr>
      <mc:AlternateContent>
        <mc:Choice Requires="wpg">
          <w:drawing>
            <wp:anchor distT="0" distB="0" distL="114300" distR="114300" simplePos="0" relativeHeight="251656192" behindDoc="1" locked="0" layoutInCell="1" allowOverlap="1" wp14:anchorId="5D3BD2F5" wp14:editId="5B18ED6C">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48A" w:rsidRDefault="00D324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4AF4FB2"/>
    <w:multiLevelType w:val="hybridMultilevel"/>
    <w:tmpl w:val="2A542D8C"/>
    <w:lvl w:ilvl="0" w:tplc="A31861E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02353CE"/>
    <w:multiLevelType w:val="hybridMultilevel"/>
    <w:tmpl w:val="7E200872"/>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4">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28336E4F"/>
    <w:multiLevelType w:val="hybridMultilevel"/>
    <w:tmpl w:val="33B617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2FFB671D"/>
    <w:multiLevelType w:val="hybridMultilevel"/>
    <w:tmpl w:val="2C38AE50"/>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8">
    <w:nsid w:val="373242B9"/>
    <w:multiLevelType w:val="hybridMultilevel"/>
    <w:tmpl w:val="D18C851C"/>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9">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7E611571"/>
    <w:multiLevelType w:val="hybridMultilevel"/>
    <w:tmpl w:val="DDB4C8EA"/>
    <w:lvl w:ilvl="0" w:tplc="65EEEE48">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1"/>
  </w:num>
  <w:num w:numId="17">
    <w:abstractNumId w:val="17"/>
  </w:num>
  <w:num w:numId="18">
    <w:abstractNumId w:val="18"/>
  </w:num>
  <w:num w:numId="19">
    <w:abstractNumId w:val="13"/>
  </w:num>
  <w:num w:numId="20">
    <w:abstractNumId w:val="2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463"/>
    <w:rsid w:val="000258CE"/>
    <w:rsid w:val="000259C1"/>
    <w:rsid w:val="000314E8"/>
    <w:rsid w:val="000426A4"/>
    <w:rsid w:val="000429A4"/>
    <w:rsid w:val="00067DAF"/>
    <w:rsid w:val="00072C2F"/>
    <w:rsid w:val="000A0B5A"/>
    <w:rsid w:val="000A0CA9"/>
    <w:rsid w:val="000A227A"/>
    <w:rsid w:val="000B1542"/>
    <w:rsid w:val="000C6B2F"/>
    <w:rsid w:val="000D4BBD"/>
    <w:rsid w:val="00101D94"/>
    <w:rsid w:val="00101FF2"/>
    <w:rsid w:val="00114650"/>
    <w:rsid w:val="00132FB1"/>
    <w:rsid w:val="00141D6E"/>
    <w:rsid w:val="001457FC"/>
    <w:rsid w:val="001477FE"/>
    <w:rsid w:val="00156471"/>
    <w:rsid w:val="00157016"/>
    <w:rsid w:val="00160533"/>
    <w:rsid w:val="00172FDB"/>
    <w:rsid w:val="00182A5C"/>
    <w:rsid w:val="00182FD6"/>
    <w:rsid w:val="00183DCE"/>
    <w:rsid w:val="00190903"/>
    <w:rsid w:val="0019529A"/>
    <w:rsid w:val="00195DC9"/>
    <w:rsid w:val="0019749B"/>
    <w:rsid w:val="001A246B"/>
    <w:rsid w:val="001C148C"/>
    <w:rsid w:val="001D2C68"/>
    <w:rsid w:val="001E4C5F"/>
    <w:rsid w:val="001F09D2"/>
    <w:rsid w:val="001F6653"/>
    <w:rsid w:val="00204CFD"/>
    <w:rsid w:val="00210AE9"/>
    <w:rsid w:val="002166B6"/>
    <w:rsid w:val="0021703D"/>
    <w:rsid w:val="002217E4"/>
    <w:rsid w:val="00264610"/>
    <w:rsid w:val="002717DA"/>
    <w:rsid w:val="00276356"/>
    <w:rsid w:val="0027719B"/>
    <w:rsid w:val="00296F5A"/>
    <w:rsid w:val="002A492F"/>
    <w:rsid w:val="002A551A"/>
    <w:rsid w:val="002A65FE"/>
    <w:rsid w:val="002A6E5D"/>
    <w:rsid w:val="002B4861"/>
    <w:rsid w:val="002D2281"/>
    <w:rsid w:val="002E2066"/>
    <w:rsid w:val="002F11F9"/>
    <w:rsid w:val="002F36A2"/>
    <w:rsid w:val="002F4D13"/>
    <w:rsid w:val="002F5039"/>
    <w:rsid w:val="00307B51"/>
    <w:rsid w:val="0032445B"/>
    <w:rsid w:val="003274B7"/>
    <w:rsid w:val="00333C07"/>
    <w:rsid w:val="00341896"/>
    <w:rsid w:val="0035496E"/>
    <w:rsid w:val="00355BDF"/>
    <w:rsid w:val="0035637E"/>
    <w:rsid w:val="00356881"/>
    <w:rsid w:val="00357B72"/>
    <w:rsid w:val="00367767"/>
    <w:rsid w:val="003753DA"/>
    <w:rsid w:val="0039125D"/>
    <w:rsid w:val="00392875"/>
    <w:rsid w:val="00392FBF"/>
    <w:rsid w:val="0039323B"/>
    <w:rsid w:val="00395AF0"/>
    <w:rsid w:val="003B04AA"/>
    <w:rsid w:val="003C6BED"/>
    <w:rsid w:val="003D0294"/>
    <w:rsid w:val="003E1B59"/>
    <w:rsid w:val="003E628A"/>
    <w:rsid w:val="003F1A97"/>
    <w:rsid w:val="003F2209"/>
    <w:rsid w:val="004046AF"/>
    <w:rsid w:val="00407B10"/>
    <w:rsid w:val="00434649"/>
    <w:rsid w:val="00444979"/>
    <w:rsid w:val="00461DA4"/>
    <w:rsid w:val="00481E50"/>
    <w:rsid w:val="004A269A"/>
    <w:rsid w:val="004E6F2F"/>
    <w:rsid w:val="004F69FA"/>
    <w:rsid w:val="005047EE"/>
    <w:rsid w:val="00510B78"/>
    <w:rsid w:val="00512B71"/>
    <w:rsid w:val="00524815"/>
    <w:rsid w:val="005451C4"/>
    <w:rsid w:val="0055005E"/>
    <w:rsid w:val="00551DA9"/>
    <w:rsid w:val="00554955"/>
    <w:rsid w:val="00564077"/>
    <w:rsid w:val="0057042A"/>
    <w:rsid w:val="005844AC"/>
    <w:rsid w:val="0058629B"/>
    <w:rsid w:val="005879A5"/>
    <w:rsid w:val="00590E93"/>
    <w:rsid w:val="005D543A"/>
    <w:rsid w:val="005E0237"/>
    <w:rsid w:val="005F066A"/>
    <w:rsid w:val="005F4E6A"/>
    <w:rsid w:val="00617B2D"/>
    <w:rsid w:val="0062241E"/>
    <w:rsid w:val="006279B2"/>
    <w:rsid w:val="00634C2E"/>
    <w:rsid w:val="00643DA2"/>
    <w:rsid w:val="00644B25"/>
    <w:rsid w:val="0064778C"/>
    <w:rsid w:val="00653192"/>
    <w:rsid w:val="0067243F"/>
    <w:rsid w:val="006769E9"/>
    <w:rsid w:val="006A285B"/>
    <w:rsid w:val="006A4BD0"/>
    <w:rsid w:val="006B08C8"/>
    <w:rsid w:val="006B3C32"/>
    <w:rsid w:val="006B5309"/>
    <w:rsid w:val="006C038D"/>
    <w:rsid w:val="006C5A48"/>
    <w:rsid w:val="006E6BA0"/>
    <w:rsid w:val="006E71B7"/>
    <w:rsid w:val="006F05E7"/>
    <w:rsid w:val="006F4365"/>
    <w:rsid w:val="006F450F"/>
    <w:rsid w:val="006F6B94"/>
    <w:rsid w:val="007049A3"/>
    <w:rsid w:val="00711A16"/>
    <w:rsid w:val="0072268A"/>
    <w:rsid w:val="00724DCF"/>
    <w:rsid w:val="00731DA2"/>
    <w:rsid w:val="0073706E"/>
    <w:rsid w:val="0074082E"/>
    <w:rsid w:val="00751151"/>
    <w:rsid w:val="00752B24"/>
    <w:rsid w:val="0076024A"/>
    <w:rsid w:val="00760D28"/>
    <w:rsid w:val="00762FA7"/>
    <w:rsid w:val="00775282"/>
    <w:rsid w:val="007936D9"/>
    <w:rsid w:val="007A4497"/>
    <w:rsid w:val="007D60EF"/>
    <w:rsid w:val="007F22BB"/>
    <w:rsid w:val="008017B0"/>
    <w:rsid w:val="00801C4B"/>
    <w:rsid w:val="008136C4"/>
    <w:rsid w:val="0082030B"/>
    <w:rsid w:val="0082195C"/>
    <w:rsid w:val="008224A5"/>
    <w:rsid w:val="00824C27"/>
    <w:rsid w:val="00856061"/>
    <w:rsid w:val="008577CD"/>
    <w:rsid w:val="00860375"/>
    <w:rsid w:val="00873A7F"/>
    <w:rsid w:val="00885420"/>
    <w:rsid w:val="00891CE7"/>
    <w:rsid w:val="008965F9"/>
    <w:rsid w:val="008A3CCA"/>
    <w:rsid w:val="008C15B4"/>
    <w:rsid w:val="008C1921"/>
    <w:rsid w:val="008C56FB"/>
    <w:rsid w:val="008D7D13"/>
    <w:rsid w:val="008F14CF"/>
    <w:rsid w:val="008F2A70"/>
    <w:rsid w:val="008F6F80"/>
    <w:rsid w:val="00901ED4"/>
    <w:rsid w:val="009032CD"/>
    <w:rsid w:val="00917998"/>
    <w:rsid w:val="00923E7C"/>
    <w:rsid w:val="00927677"/>
    <w:rsid w:val="0093475A"/>
    <w:rsid w:val="00934D1A"/>
    <w:rsid w:val="009366C0"/>
    <w:rsid w:val="00945CC3"/>
    <w:rsid w:val="00946403"/>
    <w:rsid w:val="0094673B"/>
    <w:rsid w:val="0094792E"/>
    <w:rsid w:val="0095118D"/>
    <w:rsid w:val="00970935"/>
    <w:rsid w:val="00971F61"/>
    <w:rsid w:val="00985458"/>
    <w:rsid w:val="0098570A"/>
    <w:rsid w:val="009A258F"/>
    <w:rsid w:val="009A5B4B"/>
    <w:rsid w:val="009A7FFC"/>
    <w:rsid w:val="009D5463"/>
    <w:rsid w:val="009D6A73"/>
    <w:rsid w:val="009D734A"/>
    <w:rsid w:val="009E687A"/>
    <w:rsid w:val="009F25C2"/>
    <w:rsid w:val="009F2D0D"/>
    <w:rsid w:val="009F2F8B"/>
    <w:rsid w:val="00A02C86"/>
    <w:rsid w:val="00A14C8B"/>
    <w:rsid w:val="00A200B5"/>
    <w:rsid w:val="00A2489F"/>
    <w:rsid w:val="00A24F51"/>
    <w:rsid w:val="00A306E3"/>
    <w:rsid w:val="00A362D1"/>
    <w:rsid w:val="00A6020C"/>
    <w:rsid w:val="00A64D60"/>
    <w:rsid w:val="00A72C03"/>
    <w:rsid w:val="00A827FD"/>
    <w:rsid w:val="00A910EA"/>
    <w:rsid w:val="00AD7F34"/>
    <w:rsid w:val="00AE79A1"/>
    <w:rsid w:val="00AF044A"/>
    <w:rsid w:val="00AF2A30"/>
    <w:rsid w:val="00AF3080"/>
    <w:rsid w:val="00B069C1"/>
    <w:rsid w:val="00B10502"/>
    <w:rsid w:val="00B10C25"/>
    <w:rsid w:val="00B14022"/>
    <w:rsid w:val="00B23C23"/>
    <w:rsid w:val="00B24731"/>
    <w:rsid w:val="00B25975"/>
    <w:rsid w:val="00B36286"/>
    <w:rsid w:val="00B36A42"/>
    <w:rsid w:val="00B520ED"/>
    <w:rsid w:val="00B6136F"/>
    <w:rsid w:val="00B6701A"/>
    <w:rsid w:val="00B70CCD"/>
    <w:rsid w:val="00B879F7"/>
    <w:rsid w:val="00BA5C2F"/>
    <w:rsid w:val="00BB0AD6"/>
    <w:rsid w:val="00BB566E"/>
    <w:rsid w:val="00BC2C98"/>
    <w:rsid w:val="00BC4B83"/>
    <w:rsid w:val="00BD2066"/>
    <w:rsid w:val="00BE5DBC"/>
    <w:rsid w:val="00BF4B27"/>
    <w:rsid w:val="00BF4D75"/>
    <w:rsid w:val="00C0752D"/>
    <w:rsid w:val="00C611B4"/>
    <w:rsid w:val="00C66326"/>
    <w:rsid w:val="00C70223"/>
    <w:rsid w:val="00C7371D"/>
    <w:rsid w:val="00C832EB"/>
    <w:rsid w:val="00C8549E"/>
    <w:rsid w:val="00C860AC"/>
    <w:rsid w:val="00C97AD9"/>
    <w:rsid w:val="00CA1DE9"/>
    <w:rsid w:val="00CA77CF"/>
    <w:rsid w:val="00CB17B7"/>
    <w:rsid w:val="00CB4FEA"/>
    <w:rsid w:val="00CB7AB1"/>
    <w:rsid w:val="00CC58A0"/>
    <w:rsid w:val="00CC673A"/>
    <w:rsid w:val="00CC6A8F"/>
    <w:rsid w:val="00CD01FA"/>
    <w:rsid w:val="00CD7372"/>
    <w:rsid w:val="00CF0BA2"/>
    <w:rsid w:val="00CF1D1E"/>
    <w:rsid w:val="00D10647"/>
    <w:rsid w:val="00D26C39"/>
    <w:rsid w:val="00D30FE0"/>
    <w:rsid w:val="00D3248A"/>
    <w:rsid w:val="00D33188"/>
    <w:rsid w:val="00D454E0"/>
    <w:rsid w:val="00D65D31"/>
    <w:rsid w:val="00D65FC7"/>
    <w:rsid w:val="00D7573D"/>
    <w:rsid w:val="00D87C75"/>
    <w:rsid w:val="00D941D1"/>
    <w:rsid w:val="00DB3813"/>
    <w:rsid w:val="00DC0B24"/>
    <w:rsid w:val="00DC0BC4"/>
    <w:rsid w:val="00DF3986"/>
    <w:rsid w:val="00E12F40"/>
    <w:rsid w:val="00E20D99"/>
    <w:rsid w:val="00E2338D"/>
    <w:rsid w:val="00E43946"/>
    <w:rsid w:val="00E43D02"/>
    <w:rsid w:val="00E4785B"/>
    <w:rsid w:val="00E51C84"/>
    <w:rsid w:val="00E60B2B"/>
    <w:rsid w:val="00E73B40"/>
    <w:rsid w:val="00E9676A"/>
    <w:rsid w:val="00EA2F77"/>
    <w:rsid w:val="00EB0AA8"/>
    <w:rsid w:val="00EC4401"/>
    <w:rsid w:val="00EC79B7"/>
    <w:rsid w:val="00ED42EE"/>
    <w:rsid w:val="00ED541E"/>
    <w:rsid w:val="00EF33CC"/>
    <w:rsid w:val="00EF4558"/>
    <w:rsid w:val="00EF611C"/>
    <w:rsid w:val="00EF7FBD"/>
    <w:rsid w:val="00F00585"/>
    <w:rsid w:val="00F00F5D"/>
    <w:rsid w:val="00F03F8F"/>
    <w:rsid w:val="00F274E1"/>
    <w:rsid w:val="00F369E5"/>
    <w:rsid w:val="00F36C6A"/>
    <w:rsid w:val="00F53917"/>
    <w:rsid w:val="00F60883"/>
    <w:rsid w:val="00F859D2"/>
    <w:rsid w:val="00FB35AF"/>
    <w:rsid w:val="00FB7B2B"/>
    <w:rsid w:val="00FD3EC4"/>
    <w:rsid w:val="00FE07FA"/>
    <w:rsid w:val="00FF1F6E"/>
    <w:rsid w:val="00FF49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KopfzeileZchn">
    <w:name w:val="Kopfzeile Zchn"/>
    <w:basedOn w:val="Absatz-Standardschriftart"/>
    <w:link w:val="Kopfzeile"/>
    <w:uiPriority w:val="99"/>
    <w:rsid w:val="009D5463"/>
    <w:rPr>
      <w:rFonts w:ascii="Lucida Sans Unicode" w:hAnsi="Lucida Sans Unicode"/>
      <w:position w:val="-2"/>
      <w:sz w:val="18"/>
      <w:szCs w:val="24"/>
    </w:rPr>
  </w:style>
  <w:style w:type="paragraph" w:customStyle="1" w:styleId="AONormal">
    <w:name w:val="AONormal"/>
    <w:uiPriority w:val="99"/>
    <w:rsid w:val="006B08C8"/>
    <w:pPr>
      <w:spacing w:line="260" w:lineRule="atLeast"/>
    </w:pPr>
    <w:rPr>
      <w:rFonts w:eastAsia="SimSun"/>
      <w:sz w:val="22"/>
      <w:szCs w:val="22"/>
      <w:lang w:eastAsia="en-US"/>
    </w:rPr>
  </w:style>
  <w:style w:type="paragraph" w:customStyle="1" w:styleId="ErsteZeile">
    <w:name w:val="Erste Zeile"/>
    <w:basedOn w:val="Standard"/>
    <w:next w:val="Standard"/>
    <w:autoRedefine/>
    <w:qFormat/>
    <w:rsid w:val="002F5039"/>
    <w:pPr>
      <w:keepNext/>
      <w:keepLines/>
      <w:spacing w:line="300" w:lineRule="exact"/>
      <w:ind w:left="57"/>
    </w:pPr>
    <w:rPr>
      <w:rFonts w:cs="Lucida Sans Unicode"/>
      <w:bCs/>
      <w:position w:val="0"/>
      <w:sz w:val="20"/>
      <w:szCs w:val="20"/>
      <w:lang w:eastAsia="en-US"/>
    </w:rPr>
  </w:style>
  <w:style w:type="paragraph" w:customStyle="1" w:styleId="EvonikStandard">
    <w:name w:val="Evonik Standard"/>
    <w:basedOn w:val="Standard"/>
    <w:uiPriority w:val="99"/>
    <w:qFormat/>
    <w:rsid w:val="00A02C86"/>
    <w:pPr>
      <w:spacing w:line="300" w:lineRule="atLeast"/>
      <w:ind w:left="0" w:right="0" w:firstLine="567"/>
    </w:pPr>
    <w:rPr>
      <w:rFonts w:eastAsia="Calibri"/>
      <w:position w:val="0"/>
      <w:szCs w:val="20"/>
      <w:lang w:eastAsia="en-US"/>
    </w:rPr>
  </w:style>
  <w:style w:type="paragraph" w:styleId="Listenabsatz">
    <w:name w:val="List Paragraph"/>
    <w:basedOn w:val="Standard"/>
    <w:uiPriority w:val="34"/>
    <w:qFormat/>
    <w:rsid w:val="0021703D"/>
    <w:pPr>
      <w:ind w:left="720"/>
      <w:contextualSpacing/>
    </w:pPr>
  </w:style>
  <w:style w:type="paragraph" w:styleId="Funotentext">
    <w:name w:val="footnote text"/>
    <w:basedOn w:val="Standard"/>
    <w:link w:val="FunotentextZchn"/>
    <w:uiPriority w:val="99"/>
    <w:rsid w:val="00355BDF"/>
    <w:pPr>
      <w:spacing w:line="240" w:lineRule="auto"/>
    </w:pPr>
    <w:rPr>
      <w:sz w:val="20"/>
      <w:szCs w:val="20"/>
    </w:rPr>
  </w:style>
  <w:style w:type="character" w:customStyle="1" w:styleId="FunotentextZchn">
    <w:name w:val="Fußnotentext Zchn"/>
    <w:basedOn w:val="Absatz-Standardschriftart"/>
    <w:link w:val="Funotentext"/>
    <w:uiPriority w:val="99"/>
    <w:rsid w:val="00355BDF"/>
    <w:rPr>
      <w:rFonts w:ascii="Lucida Sans Unicode" w:hAnsi="Lucida Sans Unicode"/>
      <w:position w:val="-2"/>
    </w:rPr>
  </w:style>
  <w:style w:type="character" w:styleId="Funotenzeichen">
    <w:name w:val="footnote reference"/>
    <w:basedOn w:val="Absatz-Standardschriftart"/>
    <w:uiPriority w:val="99"/>
    <w:rsid w:val="00355B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KopfzeileZchn">
    <w:name w:val="Kopfzeile Zchn"/>
    <w:basedOn w:val="Absatz-Standardschriftart"/>
    <w:link w:val="Kopfzeile"/>
    <w:uiPriority w:val="99"/>
    <w:rsid w:val="009D5463"/>
    <w:rPr>
      <w:rFonts w:ascii="Lucida Sans Unicode" w:hAnsi="Lucida Sans Unicode"/>
      <w:position w:val="-2"/>
      <w:sz w:val="18"/>
      <w:szCs w:val="24"/>
    </w:rPr>
  </w:style>
  <w:style w:type="paragraph" w:customStyle="1" w:styleId="AONormal">
    <w:name w:val="AONormal"/>
    <w:uiPriority w:val="99"/>
    <w:rsid w:val="006B08C8"/>
    <w:pPr>
      <w:spacing w:line="260" w:lineRule="atLeast"/>
    </w:pPr>
    <w:rPr>
      <w:rFonts w:eastAsia="SimSun"/>
      <w:sz w:val="22"/>
      <w:szCs w:val="22"/>
      <w:lang w:eastAsia="en-US"/>
    </w:rPr>
  </w:style>
  <w:style w:type="paragraph" w:customStyle="1" w:styleId="ErsteZeile">
    <w:name w:val="Erste Zeile"/>
    <w:basedOn w:val="Standard"/>
    <w:next w:val="Standard"/>
    <w:autoRedefine/>
    <w:qFormat/>
    <w:rsid w:val="002F5039"/>
    <w:pPr>
      <w:keepNext/>
      <w:keepLines/>
      <w:spacing w:line="300" w:lineRule="exact"/>
      <w:ind w:left="57"/>
    </w:pPr>
    <w:rPr>
      <w:rFonts w:cs="Lucida Sans Unicode"/>
      <w:bCs/>
      <w:position w:val="0"/>
      <w:sz w:val="20"/>
      <w:szCs w:val="20"/>
      <w:lang w:eastAsia="en-US"/>
    </w:rPr>
  </w:style>
  <w:style w:type="paragraph" w:customStyle="1" w:styleId="EvonikStandard">
    <w:name w:val="Evonik Standard"/>
    <w:basedOn w:val="Standard"/>
    <w:uiPriority w:val="99"/>
    <w:qFormat/>
    <w:rsid w:val="00A02C86"/>
    <w:pPr>
      <w:spacing w:line="300" w:lineRule="atLeast"/>
      <w:ind w:left="0" w:right="0" w:firstLine="567"/>
    </w:pPr>
    <w:rPr>
      <w:rFonts w:eastAsia="Calibri"/>
      <w:position w:val="0"/>
      <w:szCs w:val="20"/>
      <w:lang w:eastAsia="en-US"/>
    </w:rPr>
  </w:style>
  <w:style w:type="paragraph" w:styleId="Listenabsatz">
    <w:name w:val="List Paragraph"/>
    <w:basedOn w:val="Standard"/>
    <w:uiPriority w:val="34"/>
    <w:qFormat/>
    <w:rsid w:val="0021703D"/>
    <w:pPr>
      <w:ind w:left="720"/>
      <w:contextualSpacing/>
    </w:pPr>
  </w:style>
  <w:style w:type="paragraph" w:styleId="Funotentext">
    <w:name w:val="footnote text"/>
    <w:basedOn w:val="Standard"/>
    <w:link w:val="FunotentextZchn"/>
    <w:uiPriority w:val="99"/>
    <w:rsid w:val="00355BDF"/>
    <w:pPr>
      <w:spacing w:line="240" w:lineRule="auto"/>
    </w:pPr>
    <w:rPr>
      <w:sz w:val="20"/>
      <w:szCs w:val="20"/>
    </w:rPr>
  </w:style>
  <w:style w:type="character" w:customStyle="1" w:styleId="FunotentextZchn">
    <w:name w:val="Fußnotentext Zchn"/>
    <w:basedOn w:val="Absatz-Standardschriftart"/>
    <w:link w:val="Funotentext"/>
    <w:uiPriority w:val="99"/>
    <w:rsid w:val="00355BDF"/>
    <w:rPr>
      <w:rFonts w:ascii="Lucida Sans Unicode" w:hAnsi="Lucida Sans Unicode"/>
      <w:position w:val="-2"/>
    </w:rPr>
  </w:style>
  <w:style w:type="character" w:styleId="Funotenzeichen">
    <w:name w:val="footnote reference"/>
    <w:basedOn w:val="Absatz-Standardschriftart"/>
    <w:uiPriority w:val="99"/>
    <w:rsid w:val="00355B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1A16A-3FE9-4C03-BDD8-B76291030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BCDF9B53</Template>
  <TotalTime>0</TotalTime>
  <Pages>4</Pages>
  <Words>1052</Words>
  <Characters>7178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Habisch, Anja</dc:creator>
  <cp:lastModifiedBy>Hesterkamp, Anja</cp:lastModifiedBy>
  <cp:revision>5</cp:revision>
  <cp:lastPrinted>2015-05-04T12:24:00Z</cp:lastPrinted>
  <dcterms:created xsi:type="dcterms:W3CDTF">2015-05-04T12:19:00Z</dcterms:created>
  <dcterms:modified xsi:type="dcterms:W3CDTF">2015-05-05T13:53:00Z</dcterms:modified>
</cp:coreProperties>
</file>