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6F" w:rsidRDefault="00B6136F">
      <w:pPr>
        <w:spacing w:line="300" w:lineRule="exact"/>
        <w:ind w:left="0"/>
        <w:rPr>
          <w:sz w:val="24"/>
        </w:rPr>
        <w:sectPr w:rsidR="00B6136F">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0A4B59">
        <w:trPr>
          <w:trHeight w:hRule="exact" w:val="227"/>
        </w:trPr>
        <w:tc>
          <w:tcPr>
            <w:tcW w:w="2271" w:type="dxa"/>
            <w:shd w:val="clear" w:color="auto" w:fill="auto"/>
          </w:tcPr>
          <w:p w:rsidR="00B6136F" w:rsidRDefault="00110428">
            <w:pPr>
              <w:pStyle w:val="E-Datum"/>
              <w:framePr w:wrap="auto" w:vAnchor="margin" w:hAnchor="text" w:xAlign="left" w:yAlign="inline"/>
              <w:suppressOverlap w:val="0"/>
            </w:pPr>
            <w:r>
              <w:t>4. August 2015</w:t>
            </w:r>
            <w:r w:rsidR="000A4B59">
              <w:br/>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367112" w:rsidTr="00B14022">
        <w:trPr>
          <w:trHeight w:hRule="exact" w:val="1222"/>
        </w:trPr>
        <w:tc>
          <w:tcPr>
            <w:tcW w:w="2271" w:type="dxa"/>
            <w:shd w:val="clear" w:color="auto" w:fill="auto"/>
          </w:tcPr>
          <w:p w:rsidR="00B6136F" w:rsidRDefault="00367112">
            <w:pPr>
              <w:pStyle w:val="M7"/>
              <w:framePr w:wrap="auto" w:vAnchor="margin" w:hAnchor="text" w:xAlign="left" w:yAlign="inline"/>
              <w:suppressOverlap w:val="0"/>
            </w:pPr>
            <w:r>
              <w:t>Hans-Jörg Heims</w:t>
            </w:r>
          </w:p>
          <w:p w:rsidR="00B6136F" w:rsidRDefault="00367112">
            <w:pPr>
              <w:pStyle w:val="M8"/>
              <w:framePr w:wrap="auto" w:vAnchor="margin" w:hAnchor="text" w:xAlign="left" w:yAlign="inline"/>
              <w:suppressOverlap w:val="0"/>
            </w:pPr>
            <w:r>
              <w:t>Leiter</w:t>
            </w:r>
            <w:r w:rsidR="00AD7F34">
              <w:t xml:space="preserve"> </w:t>
            </w:r>
            <w:r w:rsidR="00B14022">
              <w:t xml:space="preserve">Konzernpresse </w:t>
            </w:r>
          </w:p>
          <w:p w:rsidR="00B6136F" w:rsidRDefault="00367112">
            <w:pPr>
              <w:pStyle w:val="M9"/>
              <w:framePr w:wrap="auto" w:vAnchor="margin" w:hAnchor="text" w:xAlign="left" w:yAlign="inline"/>
              <w:suppressOverlap w:val="0"/>
            </w:pPr>
            <w:r>
              <w:t>Telefon +49</w:t>
            </w:r>
            <w:r>
              <w:tab/>
              <w:t>201 177-3425</w:t>
            </w:r>
          </w:p>
          <w:p w:rsidR="00B6136F" w:rsidRDefault="00B14022">
            <w:pPr>
              <w:pStyle w:val="M10"/>
              <w:framePr w:wrap="auto" w:vAnchor="margin" w:hAnchor="text" w:xAlign="left" w:yAlign="inline"/>
              <w:suppressOverlap w:val="0"/>
            </w:pPr>
            <w:proofErr w:type="spellStart"/>
            <w:r>
              <w:t>Telefax</w:t>
            </w:r>
            <w:proofErr w:type="spellEnd"/>
            <w:r>
              <w:t xml:space="preserve"> +49</w:t>
            </w:r>
            <w:r>
              <w:tab/>
              <w:t>201 177-3030</w:t>
            </w:r>
          </w:p>
          <w:p w:rsidR="00B6136F" w:rsidRDefault="00367112"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Tr="00B14022">
        <w:trPr>
          <w:trHeight w:val="2609"/>
        </w:trPr>
        <w:tc>
          <w:tcPr>
            <w:tcW w:w="2271" w:type="dxa"/>
            <w:shd w:val="clear" w:color="auto" w:fill="auto"/>
          </w:tcPr>
          <w:p w:rsidR="00110428" w:rsidRDefault="00110428" w:rsidP="00110428">
            <w:pPr>
              <w:pStyle w:val="M7"/>
              <w:framePr w:wrap="auto" w:vAnchor="margin" w:hAnchor="text" w:xAlign="left" w:yAlign="inline"/>
              <w:suppressOverlap w:val="0"/>
            </w:pPr>
            <w:r>
              <w:t>Alexandra Boy</w:t>
            </w:r>
          </w:p>
          <w:p w:rsidR="00110428" w:rsidRDefault="00110428" w:rsidP="00110428">
            <w:pPr>
              <w:pStyle w:val="M8"/>
              <w:framePr w:wrap="auto" w:vAnchor="margin" w:hAnchor="text" w:xAlign="left" w:yAlign="inline"/>
              <w:suppressOverlap w:val="0"/>
            </w:pPr>
            <w:proofErr w:type="spellStart"/>
            <w:r>
              <w:t>Stellvertr</w:t>
            </w:r>
            <w:proofErr w:type="spellEnd"/>
            <w:r>
              <w:t xml:space="preserve">. Leiterin Konzernpresse </w:t>
            </w:r>
          </w:p>
          <w:p w:rsidR="00110428" w:rsidRDefault="00110428" w:rsidP="00110428">
            <w:pPr>
              <w:pStyle w:val="M9"/>
              <w:framePr w:wrap="auto" w:vAnchor="margin" w:hAnchor="text" w:xAlign="left" w:yAlign="inline"/>
              <w:suppressOverlap w:val="0"/>
            </w:pPr>
            <w:r>
              <w:t>Telefon +49</w:t>
            </w:r>
            <w:r>
              <w:tab/>
              <w:t>201 177-3167</w:t>
            </w:r>
          </w:p>
          <w:p w:rsidR="00110428" w:rsidRDefault="00110428" w:rsidP="00110428">
            <w:pPr>
              <w:pStyle w:val="M10"/>
              <w:framePr w:wrap="auto" w:vAnchor="margin" w:hAnchor="text" w:xAlign="left" w:yAlign="inline"/>
              <w:suppressOverlap w:val="0"/>
            </w:pPr>
            <w:proofErr w:type="spellStart"/>
            <w:r>
              <w:t>Telefax</w:t>
            </w:r>
            <w:proofErr w:type="spellEnd"/>
            <w:r>
              <w:t xml:space="preserve"> +49</w:t>
            </w:r>
            <w:r>
              <w:tab/>
              <w:t>201 177-3030</w:t>
            </w:r>
          </w:p>
          <w:p w:rsidR="00B6136F" w:rsidRDefault="00110428" w:rsidP="00110428">
            <w:pPr>
              <w:pStyle w:val="M12"/>
              <w:framePr w:wrap="auto" w:vAnchor="margin" w:hAnchor="text" w:xAlign="left" w:yAlign="inline"/>
              <w:suppressOverlap w:val="0"/>
            </w:pPr>
            <w:r w:rsidRPr="00617B2D">
              <w:t>alexandra.boy@evonik.com</w:t>
            </w:r>
            <w:r>
              <w:t xml:space="preserve"> </w:t>
            </w:r>
            <w:r w:rsidR="00B14022">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0A4B59">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0A4B59">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0A4B59">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0A4B59">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0A4B5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0A4B59">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0A4B59">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0A4B5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0A4B59">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0A4B59">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0A4B59">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0A4B59">
              <w:rPr>
                <w:noProof/>
              </w:rPr>
              <w:t>Vorsitzender</w:t>
            </w:r>
            <w:r>
              <w:fldChar w:fldCharType="end"/>
            </w:r>
          </w:p>
          <w:p w:rsidR="00702D61" w:rsidRDefault="00E66C59">
            <w:pPr>
              <w:pStyle w:val="V10"/>
              <w:framePr w:wrap="auto" w:vAnchor="margin" w:hAnchor="text" w:xAlign="left" w:yAlign="inline"/>
              <w:suppressOverlap w:val="0"/>
            </w:pPr>
            <w:r>
              <w:t>Dr. Ralph Sven Kaufmann</w:t>
            </w:r>
            <w:r>
              <w:br/>
            </w:r>
            <w:r w:rsidR="00702D61">
              <w:t>Christian Kullmann</w:t>
            </w:r>
          </w:p>
          <w:p w:rsidR="00826FA3" w:rsidRDefault="00B14022">
            <w:pPr>
              <w:pStyle w:val="V11"/>
              <w:framePr w:wrap="auto" w:vAnchor="margin" w:hAnchor="text" w:xAlign="left" w:yAlign="inline"/>
              <w:suppressOverlap w:val="0"/>
            </w:pPr>
            <w:r>
              <w:t>Thomas Wessel</w:t>
            </w:r>
          </w:p>
          <w:p w:rsidR="00B6136F" w:rsidRDefault="00826FA3">
            <w:pPr>
              <w:pStyle w:val="V11"/>
              <w:framePr w:wrap="auto" w:vAnchor="margin" w:hAnchor="text" w:xAlign="left" w:yAlign="inline"/>
              <w:suppressOverlap w:val="0"/>
            </w:pPr>
            <w: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0A4B5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A4B59">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0A4B59">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0A4B5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A4B59">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0A4B59">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0A4B59">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110428" w:rsidRDefault="00110428" w:rsidP="00110428">
      <w:pPr>
        <w:ind w:left="0"/>
        <w:rPr>
          <w:u w:val="single"/>
        </w:rPr>
      </w:pPr>
      <w:r>
        <w:rPr>
          <w:u w:val="single"/>
        </w:rPr>
        <w:lastRenderedPageBreak/>
        <w:t xml:space="preserve">Wirtschaftliche Eckdaten: </w:t>
      </w:r>
      <w:r w:rsidR="000E44B1">
        <w:rPr>
          <w:u w:val="single"/>
        </w:rPr>
        <w:t xml:space="preserve">2. Quartal 2015/1. Halbjahr 2015 </w:t>
      </w:r>
    </w:p>
    <w:p w:rsidR="00110428" w:rsidRDefault="00110428" w:rsidP="00110428">
      <w:pPr>
        <w:spacing w:line="300" w:lineRule="exact"/>
        <w:rPr>
          <w:u w:val="single"/>
        </w:rPr>
      </w:pPr>
    </w:p>
    <w:p w:rsidR="00110428" w:rsidRPr="00EA58B0" w:rsidRDefault="00110428" w:rsidP="00110428">
      <w:pPr>
        <w:spacing w:line="300" w:lineRule="exact"/>
        <w:ind w:left="0"/>
        <w:rPr>
          <w:b/>
          <w:bCs/>
          <w:sz w:val="22"/>
        </w:rPr>
      </w:pPr>
      <w:bookmarkStart w:id="0" w:name="Überschrift"/>
      <w:r w:rsidRPr="00EA58B0">
        <w:rPr>
          <w:b/>
          <w:bCs/>
          <w:sz w:val="22"/>
        </w:rPr>
        <w:t>Evonik erhöht Jahresprognose nach erneut starkem Quartalsergebnis</w:t>
      </w:r>
    </w:p>
    <w:p w:rsidR="00110428" w:rsidRDefault="00110428" w:rsidP="00110428">
      <w:pPr>
        <w:rPr>
          <w:b/>
          <w:bCs/>
          <w:sz w:val="22"/>
          <w:szCs w:val="22"/>
        </w:rPr>
      </w:pPr>
    </w:p>
    <w:p w:rsidR="00110428" w:rsidRDefault="00110428" w:rsidP="00110428">
      <w:pPr>
        <w:rPr>
          <w:b/>
          <w:bCs/>
          <w:sz w:val="20"/>
          <w:szCs w:val="20"/>
        </w:rPr>
      </w:pPr>
    </w:p>
    <w:p w:rsidR="00110428" w:rsidRPr="00110428" w:rsidRDefault="00110428" w:rsidP="00110428">
      <w:pPr>
        <w:ind w:left="0"/>
        <w:rPr>
          <w:b/>
          <w:bCs/>
          <w:sz w:val="20"/>
          <w:szCs w:val="20"/>
        </w:rPr>
      </w:pPr>
      <w:r w:rsidRPr="00110428">
        <w:rPr>
          <w:b/>
          <w:bCs/>
          <w:sz w:val="20"/>
          <w:szCs w:val="20"/>
        </w:rPr>
        <w:t>Eckpunkte 2. Quartal 2015:</w:t>
      </w:r>
    </w:p>
    <w:bookmarkEnd w:id="0"/>
    <w:p w:rsidR="00110428" w:rsidRPr="00110428" w:rsidRDefault="00110428" w:rsidP="00110428">
      <w:pPr>
        <w:numPr>
          <w:ilvl w:val="0"/>
          <w:numId w:val="14"/>
        </w:numPr>
        <w:tabs>
          <w:tab w:val="clear" w:pos="1425"/>
          <w:tab w:val="num" w:pos="340"/>
        </w:tabs>
        <w:spacing w:line="300" w:lineRule="exact"/>
        <w:ind w:left="340" w:hanging="340"/>
        <w:rPr>
          <w:rFonts w:cs="Lucida Sans Unicode"/>
          <w:b/>
          <w:position w:val="0"/>
          <w:sz w:val="20"/>
          <w:szCs w:val="20"/>
        </w:rPr>
      </w:pPr>
      <w:r w:rsidRPr="00110428">
        <w:rPr>
          <w:rFonts w:cs="Lucida Sans Unicode"/>
          <w:b/>
          <w:position w:val="0"/>
          <w:sz w:val="20"/>
          <w:szCs w:val="20"/>
        </w:rPr>
        <w:t>Umsatz steigt um 8 Prozent auf 3,5 Milliarden €; erfreuliches Mengenwachstum und insgesamt über Vorjahr liegende Verkaufspreise</w:t>
      </w:r>
    </w:p>
    <w:p w:rsidR="00110428" w:rsidRPr="00110428" w:rsidRDefault="00110428" w:rsidP="00110428">
      <w:pPr>
        <w:numPr>
          <w:ilvl w:val="0"/>
          <w:numId w:val="14"/>
        </w:numPr>
        <w:tabs>
          <w:tab w:val="clear" w:pos="1425"/>
          <w:tab w:val="num" w:pos="340"/>
        </w:tabs>
        <w:spacing w:line="300" w:lineRule="exact"/>
        <w:ind w:left="340" w:hanging="340"/>
        <w:rPr>
          <w:rFonts w:cs="Lucida Sans Unicode"/>
          <w:b/>
          <w:position w:val="0"/>
          <w:sz w:val="20"/>
          <w:szCs w:val="20"/>
        </w:rPr>
      </w:pPr>
      <w:r w:rsidRPr="00110428">
        <w:rPr>
          <w:rFonts w:cs="Lucida Sans Unicode"/>
          <w:b/>
          <w:position w:val="0"/>
          <w:sz w:val="20"/>
          <w:szCs w:val="20"/>
        </w:rPr>
        <w:t xml:space="preserve">Bereinigtes EBITDA übertrifft mit 661 Millionen € auch starkes </w:t>
      </w:r>
    </w:p>
    <w:p w:rsidR="00110428" w:rsidRPr="00110428" w:rsidRDefault="00110428" w:rsidP="00110428">
      <w:pPr>
        <w:spacing w:line="300" w:lineRule="exact"/>
        <w:ind w:left="340"/>
        <w:rPr>
          <w:rFonts w:cs="Lucida Sans Unicode"/>
          <w:b/>
          <w:position w:val="0"/>
          <w:sz w:val="20"/>
          <w:szCs w:val="20"/>
        </w:rPr>
      </w:pPr>
      <w:r w:rsidRPr="00110428">
        <w:rPr>
          <w:rFonts w:cs="Lucida Sans Unicode"/>
          <w:b/>
          <w:position w:val="0"/>
          <w:sz w:val="20"/>
          <w:szCs w:val="20"/>
        </w:rPr>
        <w:t xml:space="preserve">1. Quartal </w:t>
      </w:r>
    </w:p>
    <w:p w:rsidR="00110428" w:rsidRPr="00110428" w:rsidRDefault="00110428" w:rsidP="00110428">
      <w:pPr>
        <w:numPr>
          <w:ilvl w:val="0"/>
          <w:numId w:val="14"/>
        </w:numPr>
        <w:tabs>
          <w:tab w:val="clear" w:pos="1425"/>
          <w:tab w:val="num" w:pos="340"/>
        </w:tabs>
        <w:spacing w:line="300" w:lineRule="exact"/>
        <w:ind w:left="340" w:hanging="340"/>
        <w:rPr>
          <w:rFonts w:cs="Lucida Sans Unicode"/>
          <w:b/>
          <w:position w:val="0"/>
          <w:sz w:val="20"/>
          <w:szCs w:val="20"/>
        </w:rPr>
      </w:pPr>
      <w:r w:rsidRPr="00110428">
        <w:rPr>
          <w:rFonts w:cs="Lucida Sans Unicode"/>
          <w:b/>
          <w:position w:val="0"/>
          <w:sz w:val="20"/>
          <w:szCs w:val="20"/>
        </w:rPr>
        <w:t xml:space="preserve">Alle drei Chemiesegmente erzielen gegenüber dem 1. Quartal verbesserte Ergebnisse </w:t>
      </w:r>
    </w:p>
    <w:p w:rsidR="00110428" w:rsidRPr="00110428" w:rsidRDefault="00110428" w:rsidP="00110428">
      <w:pPr>
        <w:numPr>
          <w:ilvl w:val="0"/>
          <w:numId w:val="14"/>
        </w:numPr>
        <w:tabs>
          <w:tab w:val="clear" w:pos="1425"/>
          <w:tab w:val="num" w:pos="340"/>
        </w:tabs>
        <w:spacing w:line="300" w:lineRule="exact"/>
        <w:ind w:left="340" w:hanging="340"/>
        <w:rPr>
          <w:rFonts w:cs="Lucida Sans Unicode"/>
          <w:b/>
          <w:position w:val="0"/>
          <w:sz w:val="20"/>
          <w:szCs w:val="20"/>
        </w:rPr>
      </w:pPr>
      <w:r w:rsidRPr="00110428">
        <w:rPr>
          <w:rFonts w:cs="Lucida Sans Unicode"/>
          <w:b/>
          <w:position w:val="0"/>
          <w:sz w:val="20"/>
          <w:szCs w:val="20"/>
        </w:rPr>
        <w:t>Bereinigte EBITDA-Marge mit 18,8 Prozent auf sehr gutem Niveau</w:t>
      </w:r>
    </w:p>
    <w:p w:rsidR="00110428" w:rsidRPr="00110428" w:rsidRDefault="00110428" w:rsidP="00110428">
      <w:pPr>
        <w:numPr>
          <w:ilvl w:val="0"/>
          <w:numId w:val="14"/>
        </w:numPr>
        <w:tabs>
          <w:tab w:val="clear" w:pos="1425"/>
          <w:tab w:val="num" w:pos="340"/>
        </w:tabs>
        <w:spacing w:line="300" w:lineRule="exact"/>
        <w:ind w:left="340" w:hanging="340"/>
        <w:rPr>
          <w:rFonts w:cs="Lucida Sans Unicode"/>
          <w:b/>
          <w:position w:val="0"/>
          <w:sz w:val="20"/>
          <w:szCs w:val="20"/>
        </w:rPr>
      </w:pPr>
      <w:r w:rsidRPr="00110428">
        <w:rPr>
          <w:rFonts w:cs="Lucida Sans Unicode"/>
          <w:b/>
          <w:position w:val="0"/>
          <w:sz w:val="20"/>
          <w:szCs w:val="20"/>
        </w:rPr>
        <w:t>Bereinigtes Konzernergebnis steigt um 70 Prozent auf 307 Millionen €</w:t>
      </w:r>
    </w:p>
    <w:p w:rsidR="00110428" w:rsidRDefault="00110428" w:rsidP="00110428">
      <w:pPr>
        <w:tabs>
          <w:tab w:val="num" w:pos="284"/>
        </w:tabs>
        <w:ind w:hanging="312"/>
        <w:rPr>
          <w:b/>
          <w:bCs/>
          <w:sz w:val="20"/>
          <w:szCs w:val="20"/>
        </w:rPr>
      </w:pPr>
    </w:p>
    <w:p w:rsidR="00110428" w:rsidRPr="004938BD" w:rsidRDefault="00110428" w:rsidP="00110428">
      <w:pPr>
        <w:ind w:left="0"/>
        <w:rPr>
          <w:b/>
          <w:bCs/>
          <w:sz w:val="20"/>
          <w:szCs w:val="20"/>
        </w:rPr>
      </w:pPr>
      <w:r w:rsidRPr="001E6A70">
        <w:rPr>
          <w:b/>
          <w:bCs/>
          <w:sz w:val="20"/>
          <w:szCs w:val="20"/>
        </w:rPr>
        <w:t>Eckpunkte 1. Halbjahr 2015:</w:t>
      </w:r>
    </w:p>
    <w:p w:rsidR="00110428" w:rsidRPr="00110428" w:rsidRDefault="00110428" w:rsidP="00110428">
      <w:pPr>
        <w:numPr>
          <w:ilvl w:val="0"/>
          <w:numId w:val="14"/>
        </w:numPr>
        <w:tabs>
          <w:tab w:val="clear" w:pos="1425"/>
          <w:tab w:val="num" w:pos="340"/>
        </w:tabs>
        <w:spacing w:line="300" w:lineRule="exact"/>
        <w:ind w:left="340" w:hanging="340"/>
        <w:rPr>
          <w:rFonts w:cs="Lucida Sans Unicode"/>
          <w:b/>
          <w:position w:val="0"/>
          <w:sz w:val="20"/>
          <w:szCs w:val="20"/>
        </w:rPr>
      </w:pPr>
      <w:r w:rsidRPr="00110428">
        <w:rPr>
          <w:rFonts w:cs="Lucida Sans Unicode"/>
          <w:b/>
          <w:position w:val="0"/>
          <w:sz w:val="20"/>
          <w:szCs w:val="20"/>
        </w:rPr>
        <w:t xml:space="preserve">Bereinigtes EBITDA erheblich auf 1,3 Milliarden € verbessert </w:t>
      </w:r>
    </w:p>
    <w:p w:rsidR="00110428" w:rsidRPr="00110428" w:rsidRDefault="00110428" w:rsidP="00110428">
      <w:pPr>
        <w:tabs>
          <w:tab w:val="num" w:pos="340"/>
        </w:tabs>
        <w:spacing w:line="300" w:lineRule="exact"/>
        <w:ind w:left="340"/>
        <w:rPr>
          <w:rFonts w:cs="Lucida Sans Unicode"/>
          <w:b/>
          <w:position w:val="0"/>
          <w:sz w:val="20"/>
          <w:szCs w:val="20"/>
        </w:rPr>
      </w:pPr>
      <w:r w:rsidRPr="00110428">
        <w:rPr>
          <w:rFonts w:cs="Lucida Sans Unicode"/>
          <w:b/>
          <w:position w:val="0"/>
          <w:sz w:val="20"/>
          <w:szCs w:val="20"/>
        </w:rPr>
        <w:t>(+40 Prozent)</w:t>
      </w:r>
    </w:p>
    <w:p w:rsidR="00110428" w:rsidRPr="00110428" w:rsidRDefault="00110428" w:rsidP="00110428">
      <w:pPr>
        <w:numPr>
          <w:ilvl w:val="0"/>
          <w:numId w:val="14"/>
        </w:numPr>
        <w:tabs>
          <w:tab w:val="clear" w:pos="1425"/>
          <w:tab w:val="num" w:pos="340"/>
        </w:tabs>
        <w:spacing w:line="300" w:lineRule="exact"/>
        <w:ind w:left="340" w:hanging="340"/>
        <w:rPr>
          <w:rFonts w:cs="Lucida Sans Unicode"/>
          <w:b/>
          <w:position w:val="0"/>
          <w:sz w:val="20"/>
          <w:szCs w:val="20"/>
        </w:rPr>
      </w:pPr>
      <w:r w:rsidRPr="00110428">
        <w:rPr>
          <w:rFonts w:cs="Lucida Sans Unicode"/>
          <w:b/>
          <w:position w:val="0"/>
          <w:sz w:val="20"/>
          <w:szCs w:val="20"/>
        </w:rPr>
        <w:t>Drei Viertel der 22 Geschäftsgebiete erzielten über Vorjahr liegende Ergebnisse</w:t>
      </w:r>
    </w:p>
    <w:p w:rsidR="00110428" w:rsidRPr="00110428" w:rsidRDefault="00110428" w:rsidP="00110428">
      <w:pPr>
        <w:numPr>
          <w:ilvl w:val="0"/>
          <w:numId w:val="14"/>
        </w:numPr>
        <w:tabs>
          <w:tab w:val="clear" w:pos="1425"/>
          <w:tab w:val="num" w:pos="340"/>
        </w:tabs>
        <w:spacing w:line="300" w:lineRule="exact"/>
        <w:ind w:left="340" w:hanging="340"/>
        <w:rPr>
          <w:rFonts w:cs="Lucida Sans Unicode"/>
          <w:b/>
          <w:position w:val="0"/>
          <w:sz w:val="20"/>
          <w:szCs w:val="20"/>
        </w:rPr>
      </w:pPr>
      <w:r w:rsidRPr="00110428">
        <w:rPr>
          <w:rFonts w:cs="Lucida Sans Unicode"/>
          <w:b/>
          <w:position w:val="0"/>
          <w:sz w:val="20"/>
          <w:szCs w:val="20"/>
        </w:rPr>
        <w:t xml:space="preserve">Jahresprognose 2015 erhöht: Umsatz etwa bei 13,5 Milliarden € (Vorjahr: 12,9 Milliarden €), bereinigtes EBITDA etwa bei </w:t>
      </w:r>
      <w:r w:rsidR="000A4B59">
        <w:rPr>
          <w:rFonts w:cs="Lucida Sans Unicode"/>
          <w:b/>
          <w:position w:val="0"/>
          <w:sz w:val="20"/>
          <w:szCs w:val="20"/>
        </w:rPr>
        <w:br/>
      </w:r>
      <w:r w:rsidRPr="00110428">
        <w:rPr>
          <w:rFonts w:cs="Lucida Sans Unicode"/>
          <w:b/>
          <w:position w:val="0"/>
          <w:sz w:val="20"/>
          <w:szCs w:val="20"/>
        </w:rPr>
        <w:t xml:space="preserve">2,4 Milliarden € (Vorjahr: 1,9 Milliarden €) erwartet </w:t>
      </w:r>
    </w:p>
    <w:p w:rsidR="00110428" w:rsidRPr="00A02C86" w:rsidRDefault="00110428" w:rsidP="00110428">
      <w:pPr>
        <w:spacing w:line="300" w:lineRule="exact"/>
        <w:ind w:left="312"/>
        <w:rPr>
          <w:rFonts w:cs="Lucida Sans Unicode"/>
          <w:b/>
          <w:bCs/>
          <w:position w:val="0"/>
          <w:sz w:val="20"/>
          <w:szCs w:val="20"/>
        </w:rPr>
      </w:pPr>
      <w:r>
        <w:rPr>
          <w:rFonts w:cs="Lucida Sans Unicode"/>
          <w:b/>
          <w:bCs/>
          <w:position w:val="0"/>
          <w:sz w:val="20"/>
          <w:szCs w:val="20"/>
        </w:rPr>
        <w:br/>
      </w:r>
    </w:p>
    <w:p w:rsidR="00110428" w:rsidRDefault="00110428" w:rsidP="00110428">
      <w:pPr>
        <w:spacing w:line="300" w:lineRule="exact"/>
        <w:ind w:left="0"/>
        <w:rPr>
          <w:rFonts w:cs="Lucida Sans Unicode"/>
          <w:sz w:val="20"/>
          <w:szCs w:val="20"/>
        </w:rPr>
      </w:pPr>
      <w:r w:rsidRPr="001E6A70">
        <w:rPr>
          <w:rFonts w:cs="Lucida Sans Unicode"/>
          <w:sz w:val="20"/>
          <w:szCs w:val="20"/>
        </w:rPr>
        <w:t>Essen. „Evonik hat erneut ein starkes Quartalsergebnis erwirtschaftet“, erklärte Klaus Engel, Vorstandsvorsitzender der Evonik Industries AG, heute anlässlich der Vorstellung der wirtschaftlichen Eckdaten für das zweite Quartal und erste Halbjahr 2015. „Unsere erfolgreiche Geschäftsentwicklung setzte sich auch im zweiten Quartal fort. Besonders erfreulich ist, dass alle drei Chemiesegmente ihre Ergebnisse gegenüber dem ohnehin schon sehr guten ersten Quartal weiter steigern konnten.“</w:t>
      </w:r>
      <w:r>
        <w:rPr>
          <w:rFonts w:cs="Lucida Sans Unicode"/>
          <w:sz w:val="20"/>
          <w:szCs w:val="20"/>
        </w:rPr>
        <w:t xml:space="preserve"> </w:t>
      </w:r>
    </w:p>
    <w:p w:rsidR="00110428" w:rsidRDefault="00110428" w:rsidP="00110428">
      <w:pPr>
        <w:spacing w:line="300" w:lineRule="exact"/>
        <w:ind w:left="0"/>
        <w:rPr>
          <w:rFonts w:cs="Lucida Sans Unicode"/>
          <w:sz w:val="20"/>
          <w:szCs w:val="20"/>
        </w:rPr>
      </w:pPr>
    </w:p>
    <w:p w:rsidR="00110428" w:rsidRDefault="00110428" w:rsidP="00110428">
      <w:pPr>
        <w:spacing w:line="300" w:lineRule="exact"/>
        <w:ind w:left="0"/>
        <w:rPr>
          <w:rFonts w:cs="Lucida Sans Unicode"/>
          <w:sz w:val="20"/>
          <w:szCs w:val="20"/>
        </w:rPr>
      </w:pPr>
      <w:r>
        <w:rPr>
          <w:rFonts w:cs="Lucida Sans Unicode"/>
          <w:sz w:val="20"/>
          <w:szCs w:val="20"/>
        </w:rPr>
        <w:t>Auch auf Konzernebene konnten Umsatz und bereinigtes EBITDA gegenüber dem ersten Quartal 2015 nochmals gesteigert und die Vorjahreswerte deutlich übertroffen werden. Weltweit stießen die Produkte von Evonik auf eine gute Nachfrage, die Absatzmengen stiegen im Vergleich zum Vorjahresquartal weiter an. Angesichts der unverändert starken operativen Geschäftsentwicklung hebt Evonik seine Jahresprognose an.</w:t>
      </w:r>
    </w:p>
    <w:p w:rsidR="00110428" w:rsidRPr="001E6A70" w:rsidRDefault="00110428" w:rsidP="008729A4">
      <w:pPr>
        <w:spacing w:after="120" w:line="300" w:lineRule="exact"/>
        <w:ind w:left="0" w:right="-62"/>
        <w:rPr>
          <w:rFonts w:cs="Lucida Sans Unicode"/>
          <w:b/>
          <w:sz w:val="20"/>
          <w:szCs w:val="20"/>
        </w:rPr>
      </w:pPr>
      <w:r w:rsidRPr="001E6A70">
        <w:rPr>
          <w:rFonts w:cs="Lucida Sans Unicode"/>
          <w:b/>
          <w:sz w:val="20"/>
          <w:szCs w:val="20"/>
        </w:rPr>
        <w:lastRenderedPageBreak/>
        <w:t>Evonik-Konzern: Kennzahlen 2. Quartal / 1. Halbjahr</w:t>
      </w:r>
    </w:p>
    <w:p w:rsidR="00110428" w:rsidRDefault="00110428" w:rsidP="000A4B59">
      <w:pPr>
        <w:spacing w:line="300" w:lineRule="exact"/>
        <w:ind w:left="0" w:right="-64"/>
        <w:rPr>
          <w:rFonts w:cs="Lucida Sans Unicode"/>
          <w:sz w:val="20"/>
          <w:szCs w:val="20"/>
        </w:rPr>
      </w:pPr>
      <w:r>
        <w:rPr>
          <w:rFonts w:cs="Lucida Sans Unicode"/>
          <w:sz w:val="20"/>
          <w:szCs w:val="20"/>
        </w:rPr>
        <w:t xml:space="preserve">Der Umsatz stieg bei höheren Mengen und Preisen sowie positiven Währungseinflüssen im zweiten Quartal um 8 Prozent auf 3.519 Millionen € und im ersten Halbjahr um ebenfalls 8 Prozent auf 6.944 Millionen €. </w:t>
      </w:r>
      <w:r w:rsidR="000A4B59">
        <w:rPr>
          <w:rFonts w:cs="Lucida Sans Unicode"/>
          <w:sz w:val="20"/>
          <w:szCs w:val="20"/>
        </w:rPr>
        <w:br/>
      </w:r>
      <w:r>
        <w:rPr>
          <w:rFonts w:cs="Lucida Sans Unicode"/>
          <w:sz w:val="20"/>
          <w:szCs w:val="20"/>
        </w:rPr>
        <w:t xml:space="preserve">Das bereinigte EBITDA des Konzerns verbesserte sich im zweiten Quartal um 40 Prozent auf 661 Millionen € und im ersten Halbjahr um ebenfalls </w:t>
      </w:r>
      <w:r w:rsidR="000A4B59">
        <w:rPr>
          <w:rFonts w:cs="Lucida Sans Unicode"/>
          <w:sz w:val="20"/>
          <w:szCs w:val="20"/>
        </w:rPr>
        <w:br/>
      </w:r>
      <w:r>
        <w:rPr>
          <w:rFonts w:cs="Lucida Sans Unicode"/>
          <w:sz w:val="20"/>
          <w:szCs w:val="20"/>
        </w:rPr>
        <w:t>40 Prozent auf 1.311 Millionen €. Dies ist vor allem auf die anhaltend gute Mengenentwicklung, zu der auch die neuen Kapazitäten beitrugen sowie höhere Verkaufspreise und leicht geringere Rohstoffkosten zurückzuführen. Die bereinigte EBITDA-Marge stieg im ersten Halbjahr auf sehr gute 18,9 Prozent (Vorjahr: 14,5 Prozent). Das bereinigte Konzernergebnis, das die operative Ergebnisentwicklung widerspiegelt, erhöhte sich im zweiten Quartal um 70 Prozent auf 307 Millionen € und im ersten Halbjahr um 67 Prozent auf 627 Millionen €.</w:t>
      </w:r>
    </w:p>
    <w:p w:rsidR="00110428" w:rsidRDefault="00110428" w:rsidP="000A4B59">
      <w:pPr>
        <w:spacing w:line="300" w:lineRule="exact"/>
        <w:ind w:left="0" w:right="-64"/>
        <w:rPr>
          <w:rFonts w:cs="Lucida Sans Unicode"/>
          <w:sz w:val="20"/>
          <w:szCs w:val="20"/>
        </w:rPr>
      </w:pPr>
    </w:p>
    <w:p w:rsidR="008729A4" w:rsidRDefault="008729A4" w:rsidP="008729A4">
      <w:pPr>
        <w:spacing w:after="120" w:line="300" w:lineRule="exact"/>
        <w:ind w:left="0" w:right="-62"/>
        <w:rPr>
          <w:rFonts w:cs="Lucida Sans Unicode"/>
          <w:b/>
          <w:sz w:val="20"/>
          <w:szCs w:val="20"/>
        </w:rPr>
      </w:pPr>
    </w:p>
    <w:p w:rsidR="00110428" w:rsidRPr="005F69DA" w:rsidRDefault="00110428" w:rsidP="008729A4">
      <w:pPr>
        <w:spacing w:after="120" w:line="300" w:lineRule="exact"/>
        <w:ind w:left="0" w:right="-62"/>
        <w:rPr>
          <w:rFonts w:cs="Lucida Sans Unicode"/>
          <w:b/>
          <w:sz w:val="20"/>
          <w:szCs w:val="20"/>
        </w:rPr>
      </w:pPr>
      <w:r w:rsidRPr="005F69DA">
        <w:rPr>
          <w:rFonts w:cs="Lucida Sans Unicode"/>
          <w:b/>
          <w:sz w:val="20"/>
          <w:szCs w:val="20"/>
        </w:rPr>
        <w:t>Jahresprognose nochmals erhöht</w:t>
      </w:r>
    </w:p>
    <w:p w:rsidR="00110428" w:rsidRDefault="00110428" w:rsidP="008729A4">
      <w:pPr>
        <w:spacing w:line="300" w:lineRule="exact"/>
        <w:ind w:left="0" w:right="-206"/>
        <w:rPr>
          <w:rFonts w:cs="Lucida Sans Unicode"/>
          <w:sz w:val="20"/>
          <w:szCs w:val="20"/>
        </w:rPr>
      </w:pPr>
      <w:r>
        <w:rPr>
          <w:rFonts w:cs="Lucida Sans Unicode"/>
          <w:sz w:val="20"/>
          <w:szCs w:val="20"/>
        </w:rPr>
        <w:t>Angesichts der unverändert starken operativen Geschäftsentwicklung hat Evonik die Prognose für das Gesamtjahr 2015 nochmals</w:t>
      </w:r>
      <w:r w:rsidRPr="00E00596">
        <w:rPr>
          <w:rFonts w:cs="Lucida Sans Unicode"/>
          <w:sz w:val="20"/>
          <w:szCs w:val="20"/>
        </w:rPr>
        <w:t xml:space="preserve"> </w:t>
      </w:r>
      <w:r>
        <w:rPr>
          <w:rFonts w:cs="Lucida Sans Unicode"/>
          <w:sz w:val="20"/>
          <w:szCs w:val="20"/>
        </w:rPr>
        <w:t>erhöht: Es wird nun ein Umsatz von etwa 13,5 Milliarden € (Vorjahr: 12,9 Milliarden €) und ein bereinigtes EBITDA von etwa 2,4 Milliarden € (Vorjahr: 1.882 Millionen €) erwartet. Zu Beginn des Geschäftsjahres war Evonik noch von einer leichten Zunahme bei Umsatz und Ergebnis ausgegangen und hatte nach dem erfolgreichen ersten Quartal den Ausblick für das bereinigte EBITDA bereits auf einen Wert von mindestens 2,2 Milliarden € angehoben.</w:t>
      </w:r>
    </w:p>
    <w:p w:rsidR="00110428" w:rsidRDefault="00110428" w:rsidP="00110428">
      <w:pPr>
        <w:spacing w:line="300" w:lineRule="exact"/>
        <w:ind w:left="0"/>
        <w:rPr>
          <w:rFonts w:cs="Lucida Sans Unicode"/>
          <w:sz w:val="20"/>
          <w:szCs w:val="20"/>
        </w:rPr>
      </w:pPr>
    </w:p>
    <w:p w:rsidR="008729A4" w:rsidRDefault="008729A4" w:rsidP="00110428">
      <w:pPr>
        <w:spacing w:line="300" w:lineRule="exact"/>
        <w:ind w:left="0"/>
        <w:rPr>
          <w:rFonts w:cs="Lucida Sans Unicode"/>
          <w:sz w:val="20"/>
          <w:szCs w:val="20"/>
        </w:rPr>
      </w:pPr>
    </w:p>
    <w:p w:rsidR="00110428" w:rsidRPr="005F69DA" w:rsidRDefault="00110428" w:rsidP="008729A4">
      <w:pPr>
        <w:spacing w:after="120" w:line="300" w:lineRule="exact"/>
        <w:ind w:left="0" w:right="-62"/>
        <w:rPr>
          <w:rFonts w:cs="Lucida Sans Unicode"/>
          <w:b/>
          <w:sz w:val="20"/>
          <w:szCs w:val="20"/>
        </w:rPr>
      </w:pPr>
      <w:r w:rsidRPr="005F69DA">
        <w:rPr>
          <w:rFonts w:cs="Lucida Sans Unicode"/>
          <w:b/>
          <w:sz w:val="20"/>
          <w:szCs w:val="20"/>
        </w:rPr>
        <w:t>Entwicklung in den Segmenten</w:t>
      </w:r>
      <w:r>
        <w:rPr>
          <w:rFonts w:cs="Lucida Sans Unicode"/>
          <w:b/>
          <w:sz w:val="20"/>
          <w:szCs w:val="20"/>
        </w:rPr>
        <w:t xml:space="preserve"> </w:t>
      </w:r>
    </w:p>
    <w:p w:rsidR="00110428" w:rsidRDefault="00110428" w:rsidP="000A4B59">
      <w:pPr>
        <w:spacing w:line="300" w:lineRule="atLeast"/>
        <w:ind w:left="0" w:right="-64"/>
        <w:rPr>
          <w:sz w:val="20"/>
          <w:szCs w:val="20"/>
        </w:rPr>
      </w:pPr>
      <w:r>
        <w:rPr>
          <w:sz w:val="20"/>
          <w:szCs w:val="20"/>
        </w:rPr>
        <w:t xml:space="preserve">Im Segment </w:t>
      </w:r>
      <w:r w:rsidRPr="00C004FF">
        <w:rPr>
          <w:b/>
          <w:sz w:val="20"/>
          <w:szCs w:val="20"/>
        </w:rPr>
        <w:t>Nutrition &amp; Care</w:t>
      </w:r>
      <w:r>
        <w:rPr>
          <w:sz w:val="20"/>
          <w:szCs w:val="20"/>
        </w:rPr>
        <w:t xml:space="preserve"> wuchs der Umsatz im zweiten Quartal um </w:t>
      </w:r>
      <w:r w:rsidR="000A4B59">
        <w:rPr>
          <w:sz w:val="20"/>
          <w:szCs w:val="20"/>
        </w:rPr>
        <w:br/>
      </w:r>
      <w:r>
        <w:rPr>
          <w:sz w:val="20"/>
          <w:szCs w:val="20"/>
        </w:rPr>
        <w:t xml:space="preserve">27 Prozent auf 1.248 Millionen € (Vorjahr: 983 Millionen €). Hierzu trugen höhere Verkaufspreise und positive Währungseinflüsse bei. Das bereinigte EBITDA hat sich dank der höheren Preise sowie geringerer Rohstoffkosten auf 381 Millionen € mehr als verdoppelt (Vorjahr: 186 Millionen €). Die bereinigte EBITDA-Marge lag mit 30,5 Prozent auf einem hervorragenden Niveau. </w:t>
      </w:r>
    </w:p>
    <w:p w:rsidR="00110428" w:rsidRDefault="00110428" w:rsidP="000A4B59">
      <w:pPr>
        <w:spacing w:line="300" w:lineRule="atLeast"/>
        <w:ind w:left="0" w:right="-64"/>
        <w:rPr>
          <w:sz w:val="20"/>
          <w:szCs w:val="20"/>
        </w:rPr>
      </w:pPr>
    </w:p>
    <w:p w:rsidR="00110428" w:rsidRDefault="00110428" w:rsidP="000A4B59">
      <w:pPr>
        <w:spacing w:line="300" w:lineRule="atLeast"/>
        <w:ind w:left="0" w:right="-64"/>
        <w:rPr>
          <w:sz w:val="20"/>
          <w:szCs w:val="20"/>
        </w:rPr>
      </w:pPr>
      <w:r>
        <w:rPr>
          <w:sz w:val="20"/>
          <w:szCs w:val="20"/>
        </w:rPr>
        <w:t xml:space="preserve">Das Segment </w:t>
      </w:r>
      <w:r w:rsidRPr="00400248">
        <w:rPr>
          <w:b/>
          <w:sz w:val="20"/>
          <w:szCs w:val="20"/>
        </w:rPr>
        <w:t>Resource Efficiency</w:t>
      </w:r>
      <w:r>
        <w:rPr>
          <w:sz w:val="20"/>
          <w:szCs w:val="20"/>
        </w:rPr>
        <w:t xml:space="preserve"> verzeichnete im zweiten Quartal bei stabilen Verkaufspreisen eine höhere Nachfrage nach seinen Produkten. Der Umsatz stieg auch infolge positiver Währungseinflüsse um 6 Prozent auf 1.110 Millionen € (Vorjahr: 1.043 Millionen €). Das bereinigte EBITDA </w:t>
      </w:r>
      <w:r>
        <w:rPr>
          <w:sz w:val="20"/>
          <w:szCs w:val="20"/>
        </w:rPr>
        <w:lastRenderedPageBreak/>
        <w:t xml:space="preserve">verbesserte sich bei hoher Kapazitätsauslastung und leicht rückläufigen Rohstoffkosten um 12 Prozent auf 254 Millionen € (Vorjahr: 226 Millionen €). Die bereinigte EBITDA-Marge erhöhte sich auf sehr gute 22,9 Prozent.   </w:t>
      </w:r>
    </w:p>
    <w:p w:rsidR="00110428" w:rsidRDefault="00110428" w:rsidP="00110428">
      <w:pPr>
        <w:spacing w:line="300" w:lineRule="atLeast"/>
        <w:ind w:left="0"/>
        <w:rPr>
          <w:sz w:val="20"/>
          <w:szCs w:val="20"/>
        </w:rPr>
      </w:pPr>
    </w:p>
    <w:p w:rsidR="00110428" w:rsidRPr="00F274E1" w:rsidRDefault="00110428" w:rsidP="00110428">
      <w:pPr>
        <w:spacing w:line="300" w:lineRule="atLeast"/>
        <w:ind w:left="0"/>
        <w:rPr>
          <w:sz w:val="20"/>
          <w:szCs w:val="20"/>
        </w:rPr>
      </w:pPr>
      <w:r>
        <w:rPr>
          <w:sz w:val="20"/>
          <w:szCs w:val="20"/>
        </w:rPr>
        <w:t xml:space="preserve">Der Umsatz des Segments </w:t>
      </w:r>
      <w:r w:rsidRPr="00B50D84">
        <w:rPr>
          <w:b/>
          <w:sz w:val="20"/>
          <w:szCs w:val="20"/>
        </w:rPr>
        <w:t xml:space="preserve">Performance Materials </w:t>
      </w:r>
      <w:r>
        <w:rPr>
          <w:sz w:val="20"/>
          <w:szCs w:val="20"/>
        </w:rPr>
        <w:t xml:space="preserve">ging im zweiten Quartal um 4 Prozent auf 938 Millionen € zurück. Dies ist überwiegend auf weiterhin niedrige Verkaufspreise zurückzuführen, während wieder anziehende Absatzmengen und positive Währungseinflüsse den Umsatzrückgang minderten. Das bereinigte EBITDA erreichte auch dank der nachgebenden Rohstoffkosten mit 82 Millionen € nahezu die Vorjahreshöhe (83 Millionen €). Die bereinigte EBITDA-Marge verbesserte sich von 8,5 Prozent im Vorjahresquartal auf 8,7 Prozent. </w:t>
      </w:r>
    </w:p>
    <w:p w:rsidR="00110428" w:rsidRDefault="00110428" w:rsidP="00110428">
      <w:pPr>
        <w:spacing w:line="240" w:lineRule="auto"/>
        <w:ind w:left="0" w:right="0"/>
        <w:jc w:val="both"/>
        <w:rPr>
          <w:bCs/>
          <w:sz w:val="20"/>
          <w:szCs w:val="20"/>
        </w:rPr>
      </w:pPr>
      <w:r>
        <w:rPr>
          <w:bCs/>
          <w:sz w:val="20"/>
          <w:szCs w:val="20"/>
        </w:rPr>
        <w:br w:type="page"/>
      </w:r>
    </w:p>
    <w:p w:rsidR="00110428" w:rsidRPr="00B2662A" w:rsidRDefault="00110428" w:rsidP="00110428">
      <w:pPr>
        <w:spacing w:line="300" w:lineRule="exact"/>
        <w:rPr>
          <w:bCs/>
          <w:sz w:val="20"/>
          <w:szCs w:val="20"/>
        </w:rPr>
      </w:pPr>
    </w:p>
    <w:p w:rsidR="00110428" w:rsidRDefault="00110428" w:rsidP="00110428">
      <w:pPr>
        <w:spacing w:line="300" w:lineRule="exact"/>
        <w:rPr>
          <w:rFonts w:cs="Lucida Sans Unicode"/>
          <w:b/>
          <w:sz w:val="20"/>
          <w:szCs w:val="20"/>
        </w:rPr>
      </w:pPr>
    </w:p>
    <w:p w:rsidR="00110428" w:rsidRDefault="00110428" w:rsidP="00110428">
      <w:pPr>
        <w:spacing w:after="120" w:line="300" w:lineRule="atLeast"/>
        <w:ind w:left="0"/>
        <w:rPr>
          <w:rFonts w:cs="Lucida Sans Unicode"/>
          <w:b/>
          <w:bCs/>
          <w:sz w:val="20"/>
          <w:szCs w:val="20"/>
        </w:rPr>
      </w:pPr>
      <w:r>
        <w:rPr>
          <w:rFonts w:cs="Lucida Sans Unicode"/>
          <w:b/>
          <w:bCs/>
          <w:sz w:val="20"/>
          <w:szCs w:val="20"/>
        </w:rPr>
        <w:t>Evonik-Konzern: Ergebnisrechnung im Überblick</w:t>
      </w: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863"/>
        <w:gridCol w:w="862"/>
        <w:gridCol w:w="898"/>
        <w:gridCol w:w="863"/>
        <w:gridCol w:w="862"/>
        <w:gridCol w:w="898"/>
      </w:tblGrid>
      <w:tr w:rsidR="00110428" w:rsidTr="009511D1">
        <w:trPr>
          <w:trHeight w:val="510"/>
        </w:trPr>
        <w:tc>
          <w:tcPr>
            <w:tcW w:w="4678" w:type="dxa"/>
            <w:shd w:val="clear" w:color="auto" w:fill="auto"/>
            <w:noWrap/>
            <w:vAlign w:val="center"/>
          </w:tcPr>
          <w:p w:rsidR="00110428" w:rsidRDefault="00110428" w:rsidP="00E017C5">
            <w:pPr>
              <w:ind w:left="0"/>
              <w:rPr>
                <w:rFonts w:cs="Lucida Sans Unicode"/>
                <w:b/>
                <w:bCs/>
                <w:szCs w:val="20"/>
              </w:rPr>
            </w:pPr>
            <w:r>
              <w:rPr>
                <w:rFonts w:cs="Lucida Sans Unicode"/>
                <w:b/>
                <w:bCs/>
                <w:szCs w:val="20"/>
              </w:rPr>
              <w:t>(in Mio. €)</w:t>
            </w:r>
          </w:p>
        </w:tc>
        <w:tc>
          <w:tcPr>
            <w:tcW w:w="863" w:type="dxa"/>
            <w:shd w:val="clear" w:color="auto" w:fill="CCCCCC"/>
            <w:vAlign w:val="center"/>
          </w:tcPr>
          <w:p w:rsidR="00110428" w:rsidRDefault="00110428" w:rsidP="00E017C5">
            <w:pPr>
              <w:ind w:left="0"/>
              <w:jc w:val="center"/>
              <w:rPr>
                <w:rFonts w:cs="Lucida Sans Unicode"/>
                <w:b/>
                <w:bCs/>
                <w:szCs w:val="20"/>
              </w:rPr>
            </w:pPr>
            <w:r>
              <w:rPr>
                <w:rFonts w:cs="Lucida Sans Unicode"/>
                <w:b/>
                <w:bCs/>
                <w:szCs w:val="20"/>
              </w:rPr>
              <w:t>Q2 2015</w:t>
            </w:r>
          </w:p>
        </w:tc>
        <w:tc>
          <w:tcPr>
            <w:tcW w:w="862" w:type="dxa"/>
            <w:shd w:val="clear" w:color="auto" w:fill="auto"/>
            <w:vAlign w:val="center"/>
          </w:tcPr>
          <w:p w:rsidR="00110428" w:rsidRDefault="00110428" w:rsidP="00E017C5">
            <w:pPr>
              <w:ind w:left="0"/>
              <w:jc w:val="center"/>
              <w:rPr>
                <w:rFonts w:cs="Lucida Sans Unicode"/>
                <w:b/>
                <w:bCs/>
                <w:szCs w:val="20"/>
              </w:rPr>
            </w:pPr>
            <w:r>
              <w:rPr>
                <w:rFonts w:cs="Lucida Sans Unicode"/>
                <w:b/>
                <w:bCs/>
                <w:szCs w:val="20"/>
              </w:rPr>
              <w:t xml:space="preserve">Q2  </w:t>
            </w:r>
            <w:r>
              <w:rPr>
                <w:rFonts w:cs="Lucida Sans Unicode"/>
                <w:b/>
                <w:bCs/>
                <w:szCs w:val="20"/>
              </w:rPr>
              <w:br/>
              <w:t xml:space="preserve"> 2014</w:t>
            </w:r>
          </w:p>
        </w:tc>
        <w:tc>
          <w:tcPr>
            <w:tcW w:w="898" w:type="dxa"/>
            <w:shd w:val="clear" w:color="auto" w:fill="auto"/>
            <w:vAlign w:val="center"/>
          </w:tcPr>
          <w:p w:rsidR="00110428" w:rsidRDefault="00110428" w:rsidP="00E017C5">
            <w:pPr>
              <w:ind w:left="0"/>
              <w:jc w:val="center"/>
              <w:rPr>
                <w:rFonts w:cs="Lucida Sans Unicode"/>
                <w:b/>
                <w:bCs/>
                <w:spacing w:val="-6"/>
                <w:szCs w:val="20"/>
              </w:rPr>
            </w:pPr>
            <w:proofErr w:type="spellStart"/>
            <w:r>
              <w:rPr>
                <w:rFonts w:cs="Lucida Sans Unicode"/>
                <w:b/>
                <w:bCs/>
                <w:spacing w:val="-6"/>
                <w:szCs w:val="20"/>
              </w:rPr>
              <w:t>Veränd</w:t>
            </w:r>
            <w:proofErr w:type="spellEnd"/>
            <w:r>
              <w:rPr>
                <w:rFonts w:cs="Lucida Sans Unicode"/>
                <w:b/>
                <w:bCs/>
                <w:spacing w:val="-6"/>
                <w:szCs w:val="20"/>
              </w:rPr>
              <w:t xml:space="preserve">. </w:t>
            </w:r>
            <w:r>
              <w:rPr>
                <w:rFonts w:cs="Lucida Sans Unicode"/>
                <w:b/>
                <w:bCs/>
                <w:spacing w:val="-6"/>
                <w:szCs w:val="20"/>
              </w:rPr>
              <w:br/>
              <w:t>in %</w:t>
            </w:r>
          </w:p>
        </w:tc>
        <w:tc>
          <w:tcPr>
            <w:tcW w:w="863" w:type="dxa"/>
            <w:shd w:val="clear" w:color="auto" w:fill="CCCCCC"/>
            <w:vAlign w:val="center"/>
          </w:tcPr>
          <w:p w:rsidR="00110428" w:rsidRDefault="00110428" w:rsidP="00E017C5">
            <w:pPr>
              <w:ind w:left="0"/>
              <w:jc w:val="center"/>
              <w:rPr>
                <w:rFonts w:cs="Lucida Sans Unicode"/>
                <w:b/>
                <w:bCs/>
                <w:szCs w:val="20"/>
              </w:rPr>
            </w:pPr>
            <w:r>
              <w:rPr>
                <w:rFonts w:cs="Lucida Sans Unicode"/>
                <w:b/>
                <w:bCs/>
                <w:szCs w:val="20"/>
              </w:rPr>
              <w:t>H1</w:t>
            </w:r>
          </w:p>
          <w:p w:rsidR="00110428" w:rsidRDefault="00110428" w:rsidP="00E017C5">
            <w:pPr>
              <w:ind w:left="0"/>
              <w:jc w:val="center"/>
              <w:rPr>
                <w:rFonts w:cs="Lucida Sans Unicode"/>
                <w:b/>
                <w:bCs/>
                <w:szCs w:val="20"/>
              </w:rPr>
            </w:pPr>
            <w:r>
              <w:rPr>
                <w:rFonts w:cs="Lucida Sans Unicode"/>
                <w:b/>
                <w:bCs/>
                <w:szCs w:val="20"/>
              </w:rPr>
              <w:t>2015</w:t>
            </w:r>
          </w:p>
        </w:tc>
        <w:tc>
          <w:tcPr>
            <w:tcW w:w="862" w:type="dxa"/>
            <w:shd w:val="clear" w:color="auto" w:fill="auto"/>
            <w:vAlign w:val="center"/>
          </w:tcPr>
          <w:p w:rsidR="00110428" w:rsidRDefault="00110428" w:rsidP="00E017C5">
            <w:pPr>
              <w:ind w:left="0"/>
              <w:jc w:val="center"/>
              <w:rPr>
                <w:rFonts w:cs="Lucida Sans Unicode"/>
                <w:b/>
                <w:bCs/>
                <w:szCs w:val="20"/>
              </w:rPr>
            </w:pPr>
            <w:r>
              <w:rPr>
                <w:rFonts w:cs="Lucida Sans Unicode"/>
                <w:b/>
                <w:bCs/>
                <w:szCs w:val="20"/>
              </w:rPr>
              <w:t>H1</w:t>
            </w:r>
          </w:p>
          <w:p w:rsidR="00110428" w:rsidRDefault="00110428" w:rsidP="00E017C5">
            <w:pPr>
              <w:ind w:left="0"/>
              <w:jc w:val="center"/>
              <w:rPr>
                <w:rFonts w:cs="Lucida Sans Unicode"/>
                <w:b/>
                <w:bCs/>
                <w:szCs w:val="20"/>
              </w:rPr>
            </w:pPr>
            <w:r>
              <w:rPr>
                <w:rFonts w:cs="Lucida Sans Unicode"/>
                <w:b/>
                <w:bCs/>
                <w:szCs w:val="20"/>
              </w:rPr>
              <w:t>2014</w:t>
            </w:r>
          </w:p>
        </w:tc>
        <w:tc>
          <w:tcPr>
            <w:tcW w:w="898" w:type="dxa"/>
            <w:shd w:val="clear" w:color="auto" w:fill="auto"/>
            <w:vAlign w:val="center"/>
          </w:tcPr>
          <w:p w:rsidR="00110428" w:rsidRDefault="00110428" w:rsidP="00E017C5">
            <w:pPr>
              <w:ind w:left="0"/>
              <w:jc w:val="center"/>
              <w:rPr>
                <w:rFonts w:cs="Lucida Sans Unicode"/>
                <w:b/>
                <w:bCs/>
                <w:spacing w:val="-6"/>
                <w:szCs w:val="20"/>
              </w:rPr>
            </w:pPr>
            <w:proofErr w:type="spellStart"/>
            <w:r>
              <w:rPr>
                <w:rFonts w:cs="Lucida Sans Unicode"/>
                <w:b/>
                <w:bCs/>
                <w:spacing w:val="-6"/>
                <w:szCs w:val="20"/>
              </w:rPr>
              <w:t>Veränd</w:t>
            </w:r>
            <w:proofErr w:type="spellEnd"/>
            <w:r>
              <w:rPr>
                <w:rFonts w:cs="Lucida Sans Unicode"/>
                <w:b/>
                <w:bCs/>
                <w:spacing w:val="-6"/>
                <w:szCs w:val="20"/>
              </w:rPr>
              <w:t xml:space="preserve">. </w:t>
            </w:r>
            <w:r>
              <w:rPr>
                <w:rFonts w:cs="Lucida Sans Unicode"/>
                <w:b/>
                <w:bCs/>
                <w:spacing w:val="-6"/>
                <w:szCs w:val="20"/>
              </w:rPr>
              <w:br/>
              <w:t>in %</w:t>
            </w:r>
          </w:p>
        </w:tc>
      </w:tr>
      <w:tr w:rsidR="00110428" w:rsidTr="009511D1">
        <w:trPr>
          <w:trHeight w:val="300"/>
        </w:trPr>
        <w:tc>
          <w:tcPr>
            <w:tcW w:w="4678" w:type="dxa"/>
            <w:shd w:val="clear" w:color="auto" w:fill="auto"/>
            <w:noWrap/>
            <w:vAlign w:val="bottom"/>
          </w:tcPr>
          <w:p w:rsidR="00110428" w:rsidRDefault="00110428" w:rsidP="00E017C5">
            <w:pPr>
              <w:ind w:left="0"/>
              <w:rPr>
                <w:rFonts w:cs="Lucida Sans Unicode"/>
                <w:position w:val="0"/>
                <w:szCs w:val="20"/>
              </w:rPr>
            </w:pPr>
            <w:r>
              <w:rPr>
                <w:rFonts w:cs="Lucida Sans Unicode"/>
                <w:position w:val="0"/>
                <w:szCs w:val="20"/>
              </w:rPr>
              <w:t>Umsatz</w:t>
            </w:r>
          </w:p>
        </w:tc>
        <w:tc>
          <w:tcPr>
            <w:tcW w:w="863" w:type="dxa"/>
            <w:shd w:val="clear" w:color="auto" w:fill="CCCCCC"/>
            <w:noWrap/>
            <w:vAlign w:val="bottom"/>
          </w:tcPr>
          <w:p w:rsidR="00110428" w:rsidRDefault="00110428" w:rsidP="00E017C5">
            <w:pPr>
              <w:ind w:left="0"/>
              <w:jc w:val="right"/>
              <w:rPr>
                <w:rFonts w:cs="Lucida Sans Unicode"/>
                <w:position w:val="0"/>
                <w:szCs w:val="20"/>
              </w:rPr>
            </w:pPr>
            <w:r>
              <w:rPr>
                <w:rFonts w:cs="Lucida Sans Unicode"/>
                <w:position w:val="0"/>
                <w:szCs w:val="20"/>
              </w:rPr>
              <w:t>3.519</w:t>
            </w:r>
          </w:p>
        </w:tc>
        <w:tc>
          <w:tcPr>
            <w:tcW w:w="862"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3.247</w:t>
            </w:r>
          </w:p>
        </w:tc>
        <w:tc>
          <w:tcPr>
            <w:tcW w:w="898"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8</w:t>
            </w:r>
          </w:p>
        </w:tc>
        <w:tc>
          <w:tcPr>
            <w:tcW w:w="863" w:type="dxa"/>
            <w:shd w:val="clear" w:color="auto" w:fill="CCCCCC"/>
            <w:noWrap/>
            <w:vAlign w:val="bottom"/>
          </w:tcPr>
          <w:p w:rsidR="00110428" w:rsidRDefault="00110428" w:rsidP="00E017C5">
            <w:pPr>
              <w:ind w:left="0"/>
              <w:jc w:val="right"/>
              <w:rPr>
                <w:rFonts w:cs="Lucida Sans Unicode"/>
                <w:position w:val="0"/>
                <w:szCs w:val="20"/>
              </w:rPr>
            </w:pPr>
            <w:r>
              <w:rPr>
                <w:rFonts w:cs="Lucida Sans Unicode"/>
                <w:position w:val="0"/>
                <w:szCs w:val="20"/>
              </w:rPr>
              <w:t>6.944</w:t>
            </w:r>
          </w:p>
        </w:tc>
        <w:tc>
          <w:tcPr>
            <w:tcW w:w="862"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6.448</w:t>
            </w:r>
          </w:p>
        </w:tc>
        <w:tc>
          <w:tcPr>
            <w:tcW w:w="898"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8</w:t>
            </w:r>
          </w:p>
        </w:tc>
      </w:tr>
      <w:tr w:rsidR="00110428" w:rsidTr="009511D1">
        <w:trPr>
          <w:trHeight w:val="300"/>
        </w:trPr>
        <w:tc>
          <w:tcPr>
            <w:tcW w:w="4678" w:type="dxa"/>
            <w:shd w:val="clear" w:color="auto" w:fill="auto"/>
            <w:noWrap/>
            <w:vAlign w:val="bottom"/>
          </w:tcPr>
          <w:p w:rsidR="00110428" w:rsidRDefault="00110428" w:rsidP="00E017C5">
            <w:pPr>
              <w:ind w:left="0"/>
              <w:rPr>
                <w:rFonts w:cs="Lucida Sans Unicode"/>
                <w:position w:val="0"/>
                <w:szCs w:val="20"/>
              </w:rPr>
            </w:pPr>
            <w:r>
              <w:rPr>
                <w:rFonts w:cs="Lucida Sans Unicode"/>
                <w:position w:val="0"/>
                <w:szCs w:val="20"/>
              </w:rPr>
              <w:t>Bereinigtes EBITDA</w:t>
            </w:r>
          </w:p>
        </w:tc>
        <w:tc>
          <w:tcPr>
            <w:tcW w:w="863" w:type="dxa"/>
            <w:shd w:val="clear" w:color="auto" w:fill="CCCCCC"/>
            <w:noWrap/>
            <w:vAlign w:val="bottom"/>
          </w:tcPr>
          <w:p w:rsidR="00110428" w:rsidRDefault="00110428" w:rsidP="00E017C5">
            <w:pPr>
              <w:ind w:left="0"/>
              <w:jc w:val="right"/>
              <w:rPr>
                <w:rFonts w:cs="Lucida Sans Unicode"/>
                <w:position w:val="0"/>
                <w:szCs w:val="20"/>
              </w:rPr>
            </w:pPr>
            <w:r>
              <w:rPr>
                <w:rFonts w:cs="Lucida Sans Unicode"/>
                <w:position w:val="0"/>
                <w:szCs w:val="20"/>
              </w:rPr>
              <w:t>661</w:t>
            </w:r>
          </w:p>
        </w:tc>
        <w:tc>
          <w:tcPr>
            <w:tcW w:w="862"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471</w:t>
            </w:r>
          </w:p>
        </w:tc>
        <w:tc>
          <w:tcPr>
            <w:tcW w:w="898"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40</w:t>
            </w:r>
          </w:p>
        </w:tc>
        <w:tc>
          <w:tcPr>
            <w:tcW w:w="863" w:type="dxa"/>
            <w:shd w:val="clear" w:color="auto" w:fill="CCCCCC"/>
            <w:noWrap/>
            <w:vAlign w:val="bottom"/>
          </w:tcPr>
          <w:p w:rsidR="00110428" w:rsidRDefault="00110428" w:rsidP="00E017C5">
            <w:pPr>
              <w:ind w:left="0"/>
              <w:jc w:val="right"/>
              <w:rPr>
                <w:rFonts w:cs="Lucida Sans Unicode"/>
                <w:position w:val="0"/>
                <w:szCs w:val="20"/>
              </w:rPr>
            </w:pPr>
            <w:r>
              <w:rPr>
                <w:rFonts w:cs="Lucida Sans Unicode"/>
                <w:position w:val="0"/>
                <w:szCs w:val="20"/>
              </w:rPr>
              <w:t>1.311</w:t>
            </w:r>
          </w:p>
        </w:tc>
        <w:tc>
          <w:tcPr>
            <w:tcW w:w="862"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936</w:t>
            </w:r>
          </w:p>
        </w:tc>
        <w:tc>
          <w:tcPr>
            <w:tcW w:w="898"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40</w:t>
            </w:r>
          </w:p>
        </w:tc>
      </w:tr>
      <w:tr w:rsidR="00110428" w:rsidTr="009511D1">
        <w:trPr>
          <w:trHeight w:val="300"/>
        </w:trPr>
        <w:tc>
          <w:tcPr>
            <w:tcW w:w="4678" w:type="dxa"/>
            <w:shd w:val="clear" w:color="auto" w:fill="auto"/>
            <w:noWrap/>
            <w:vAlign w:val="bottom"/>
          </w:tcPr>
          <w:p w:rsidR="00110428" w:rsidRDefault="00110428" w:rsidP="00E017C5">
            <w:pPr>
              <w:ind w:left="0"/>
              <w:rPr>
                <w:rFonts w:cs="Lucida Sans Unicode"/>
                <w:position w:val="0"/>
                <w:szCs w:val="20"/>
              </w:rPr>
            </w:pPr>
            <w:r>
              <w:rPr>
                <w:rFonts w:cs="Lucida Sans Unicode"/>
                <w:position w:val="0"/>
                <w:szCs w:val="20"/>
              </w:rPr>
              <w:t>Bereinigtes EBIT</w:t>
            </w:r>
          </w:p>
        </w:tc>
        <w:tc>
          <w:tcPr>
            <w:tcW w:w="863" w:type="dxa"/>
            <w:shd w:val="clear" w:color="auto" w:fill="CCCCCC"/>
            <w:noWrap/>
            <w:vAlign w:val="bottom"/>
          </w:tcPr>
          <w:p w:rsidR="00110428" w:rsidRDefault="00110428" w:rsidP="00E017C5">
            <w:pPr>
              <w:ind w:left="0"/>
              <w:jc w:val="right"/>
              <w:rPr>
                <w:rFonts w:cs="Lucida Sans Unicode"/>
                <w:position w:val="0"/>
                <w:szCs w:val="20"/>
              </w:rPr>
            </w:pPr>
            <w:r>
              <w:rPr>
                <w:rFonts w:cs="Lucida Sans Unicode"/>
                <w:position w:val="0"/>
                <w:szCs w:val="20"/>
              </w:rPr>
              <w:t>486</w:t>
            </w:r>
          </w:p>
        </w:tc>
        <w:tc>
          <w:tcPr>
            <w:tcW w:w="862"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321</w:t>
            </w:r>
          </w:p>
        </w:tc>
        <w:tc>
          <w:tcPr>
            <w:tcW w:w="898"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51</w:t>
            </w:r>
          </w:p>
        </w:tc>
        <w:tc>
          <w:tcPr>
            <w:tcW w:w="863" w:type="dxa"/>
            <w:shd w:val="clear" w:color="auto" w:fill="CCCCCC"/>
            <w:noWrap/>
            <w:vAlign w:val="bottom"/>
          </w:tcPr>
          <w:p w:rsidR="00110428" w:rsidRDefault="00110428" w:rsidP="00E017C5">
            <w:pPr>
              <w:ind w:left="0"/>
              <w:jc w:val="right"/>
              <w:rPr>
                <w:rFonts w:cs="Lucida Sans Unicode"/>
                <w:position w:val="0"/>
                <w:szCs w:val="20"/>
              </w:rPr>
            </w:pPr>
            <w:r>
              <w:rPr>
                <w:rFonts w:cs="Lucida Sans Unicode"/>
                <w:position w:val="0"/>
                <w:szCs w:val="20"/>
              </w:rPr>
              <w:t>971</w:t>
            </w:r>
          </w:p>
        </w:tc>
        <w:tc>
          <w:tcPr>
            <w:tcW w:w="862"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639</w:t>
            </w:r>
          </w:p>
        </w:tc>
        <w:tc>
          <w:tcPr>
            <w:tcW w:w="898"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52</w:t>
            </w:r>
          </w:p>
        </w:tc>
      </w:tr>
      <w:tr w:rsidR="00110428" w:rsidTr="009511D1">
        <w:trPr>
          <w:trHeight w:val="300"/>
        </w:trPr>
        <w:tc>
          <w:tcPr>
            <w:tcW w:w="4678" w:type="dxa"/>
            <w:shd w:val="clear" w:color="auto" w:fill="auto"/>
            <w:noWrap/>
            <w:vAlign w:val="bottom"/>
          </w:tcPr>
          <w:p w:rsidR="00110428" w:rsidRDefault="00110428" w:rsidP="00E017C5">
            <w:pPr>
              <w:ind w:left="0"/>
              <w:rPr>
                <w:rFonts w:cs="Lucida Sans Unicode"/>
                <w:position w:val="0"/>
                <w:szCs w:val="20"/>
              </w:rPr>
            </w:pPr>
            <w:r>
              <w:rPr>
                <w:rFonts w:cs="Lucida Sans Unicode"/>
                <w:position w:val="0"/>
                <w:szCs w:val="20"/>
              </w:rPr>
              <w:t>Bereinigungen</w:t>
            </w:r>
          </w:p>
        </w:tc>
        <w:tc>
          <w:tcPr>
            <w:tcW w:w="863" w:type="dxa"/>
            <w:shd w:val="clear" w:color="auto" w:fill="CCCCCC"/>
            <w:noWrap/>
            <w:vAlign w:val="bottom"/>
          </w:tcPr>
          <w:p w:rsidR="00110428" w:rsidRDefault="00110428" w:rsidP="00E017C5">
            <w:pPr>
              <w:ind w:left="0"/>
              <w:jc w:val="right"/>
              <w:rPr>
                <w:rFonts w:cs="Lucida Sans Unicode"/>
                <w:position w:val="0"/>
                <w:szCs w:val="20"/>
              </w:rPr>
            </w:pPr>
            <w:r>
              <w:rPr>
                <w:rFonts w:cs="Lucida Sans Unicode"/>
                <w:position w:val="0"/>
                <w:szCs w:val="20"/>
              </w:rPr>
              <w:t>122</w:t>
            </w:r>
          </w:p>
        </w:tc>
        <w:tc>
          <w:tcPr>
            <w:tcW w:w="862"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-72</w:t>
            </w:r>
          </w:p>
        </w:tc>
        <w:tc>
          <w:tcPr>
            <w:tcW w:w="898" w:type="dxa"/>
            <w:shd w:val="clear" w:color="auto" w:fill="auto"/>
            <w:noWrap/>
            <w:vAlign w:val="bottom"/>
          </w:tcPr>
          <w:p w:rsidR="00110428" w:rsidRDefault="00110428" w:rsidP="00E017C5">
            <w:pPr>
              <w:ind w:left="0"/>
              <w:rPr>
                <w:rFonts w:cs="Lucida Sans Unicode"/>
                <w:position w:val="0"/>
                <w:szCs w:val="20"/>
              </w:rPr>
            </w:pPr>
          </w:p>
        </w:tc>
        <w:tc>
          <w:tcPr>
            <w:tcW w:w="863" w:type="dxa"/>
            <w:shd w:val="clear" w:color="auto" w:fill="CCCCCC"/>
            <w:noWrap/>
            <w:vAlign w:val="bottom"/>
          </w:tcPr>
          <w:p w:rsidR="00110428" w:rsidRDefault="00110428" w:rsidP="00E017C5">
            <w:pPr>
              <w:ind w:left="0"/>
              <w:jc w:val="right"/>
              <w:rPr>
                <w:rFonts w:cs="Lucida Sans Unicode"/>
                <w:position w:val="0"/>
                <w:szCs w:val="20"/>
              </w:rPr>
            </w:pPr>
            <w:r>
              <w:rPr>
                <w:rFonts w:cs="Lucida Sans Unicode"/>
                <w:position w:val="0"/>
                <w:szCs w:val="20"/>
              </w:rPr>
              <w:t>85</w:t>
            </w:r>
          </w:p>
        </w:tc>
        <w:tc>
          <w:tcPr>
            <w:tcW w:w="862"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-90</w:t>
            </w:r>
          </w:p>
        </w:tc>
        <w:tc>
          <w:tcPr>
            <w:tcW w:w="898" w:type="dxa"/>
            <w:shd w:val="clear" w:color="auto" w:fill="auto"/>
            <w:noWrap/>
            <w:vAlign w:val="bottom"/>
          </w:tcPr>
          <w:p w:rsidR="00110428" w:rsidRDefault="00110428" w:rsidP="00E017C5">
            <w:pPr>
              <w:ind w:left="0"/>
              <w:rPr>
                <w:rFonts w:cs="Lucida Sans Unicode"/>
                <w:position w:val="0"/>
                <w:szCs w:val="20"/>
              </w:rPr>
            </w:pPr>
          </w:p>
        </w:tc>
      </w:tr>
      <w:tr w:rsidR="00110428" w:rsidTr="009511D1">
        <w:trPr>
          <w:trHeight w:val="300"/>
        </w:trPr>
        <w:tc>
          <w:tcPr>
            <w:tcW w:w="4678" w:type="dxa"/>
            <w:shd w:val="clear" w:color="auto" w:fill="auto"/>
            <w:noWrap/>
            <w:vAlign w:val="bottom"/>
          </w:tcPr>
          <w:p w:rsidR="00110428" w:rsidRDefault="00110428" w:rsidP="00E017C5">
            <w:pPr>
              <w:ind w:left="0"/>
              <w:rPr>
                <w:rFonts w:cs="Lucida Sans Unicode"/>
                <w:position w:val="0"/>
                <w:szCs w:val="20"/>
              </w:rPr>
            </w:pPr>
            <w:r>
              <w:rPr>
                <w:rFonts w:cs="Lucida Sans Unicode"/>
                <w:position w:val="0"/>
                <w:szCs w:val="20"/>
              </w:rPr>
              <w:t>Finanzergebnis</w:t>
            </w:r>
          </w:p>
        </w:tc>
        <w:tc>
          <w:tcPr>
            <w:tcW w:w="863" w:type="dxa"/>
            <w:shd w:val="clear" w:color="auto" w:fill="CCCCCC"/>
            <w:noWrap/>
            <w:vAlign w:val="bottom"/>
          </w:tcPr>
          <w:p w:rsidR="00110428" w:rsidRDefault="00110428" w:rsidP="00E017C5">
            <w:pPr>
              <w:ind w:left="0"/>
              <w:jc w:val="right"/>
              <w:rPr>
                <w:rFonts w:cs="Lucida Sans Unicode"/>
                <w:position w:val="0"/>
                <w:szCs w:val="20"/>
              </w:rPr>
            </w:pPr>
            <w:r>
              <w:rPr>
                <w:rFonts w:cs="Lucida Sans Unicode"/>
                <w:position w:val="0"/>
                <w:szCs w:val="20"/>
              </w:rPr>
              <w:t>-51</w:t>
            </w:r>
          </w:p>
        </w:tc>
        <w:tc>
          <w:tcPr>
            <w:tcW w:w="862"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-63</w:t>
            </w:r>
          </w:p>
        </w:tc>
        <w:tc>
          <w:tcPr>
            <w:tcW w:w="898" w:type="dxa"/>
            <w:shd w:val="clear" w:color="auto" w:fill="auto"/>
            <w:noWrap/>
            <w:vAlign w:val="bottom"/>
          </w:tcPr>
          <w:p w:rsidR="00110428" w:rsidRDefault="00110428" w:rsidP="00E017C5">
            <w:pPr>
              <w:ind w:left="0"/>
              <w:jc w:val="right"/>
              <w:rPr>
                <w:rFonts w:cs="Lucida Sans Unicode"/>
                <w:position w:val="0"/>
                <w:szCs w:val="20"/>
              </w:rPr>
            </w:pPr>
          </w:p>
        </w:tc>
        <w:tc>
          <w:tcPr>
            <w:tcW w:w="863" w:type="dxa"/>
            <w:shd w:val="clear" w:color="auto" w:fill="CCCCCC"/>
            <w:noWrap/>
            <w:vAlign w:val="bottom"/>
          </w:tcPr>
          <w:p w:rsidR="00110428" w:rsidRDefault="00110428" w:rsidP="00E017C5">
            <w:pPr>
              <w:ind w:left="0"/>
              <w:jc w:val="right"/>
              <w:rPr>
                <w:rFonts w:cs="Lucida Sans Unicode"/>
                <w:position w:val="0"/>
                <w:szCs w:val="20"/>
              </w:rPr>
            </w:pPr>
            <w:r>
              <w:rPr>
                <w:rFonts w:cs="Lucida Sans Unicode"/>
                <w:position w:val="0"/>
                <w:szCs w:val="20"/>
              </w:rPr>
              <w:t>-114</w:t>
            </w:r>
          </w:p>
        </w:tc>
        <w:tc>
          <w:tcPr>
            <w:tcW w:w="862"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-147</w:t>
            </w:r>
          </w:p>
        </w:tc>
        <w:tc>
          <w:tcPr>
            <w:tcW w:w="898" w:type="dxa"/>
            <w:shd w:val="clear" w:color="auto" w:fill="auto"/>
            <w:noWrap/>
            <w:vAlign w:val="bottom"/>
          </w:tcPr>
          <w:p w:rsidR="00110428" w:rsidRDefault="00110428" w:rsidP="00E017C5">
            <w:pPr>
              <w:ind w:left="0"/>
              <w:rPr>
                <w:rFonts w:cs="Lucida Sans Unicode"/>
                <w:position w:val="0"/>
                <w:szCs w:val="20"/>
              </w:rPr>
            </w:pPr>
          </w:p>
        </w:tc>
      </w:tr>
      <w:tr w:rsidR="00110428" w:rsidTr="009511D1">
        <w:trPr>
          <w:trHeight w:val="300"/>
        </w:trPr>
        <w:tc>
          <w:tcPr>
            <w:tcW w:w="4678" w:type="dxa"/>
            <w:shd w:val="clear" w:color="auto" w:fill="auto"/>
            <w:noWrap/>
            <w:vAlign w:val="bottom"/>
          </w:tcPr>
          <w:p w:rsidR="00110428" w:rsidRPr="00E83E1D" w:rsidRDefault="00110428" w:rsidP="00E017C5">
            <w:pPr>
              <w:ind w:left="0"/>
              <w:rPr>
                <w:rFonts w:cs="Lucida Sans Unicode"/>
                <w:bCs/>
                <w:szCs w:val="20"/>
              </w:rPr>
            </w:pPr>
            <w:r w:rsidRPr="00665480">
              <w:rPr>
                <w:rFonts w:cs="Lucida Sans Unicode"/>
                <w:position w:val="0"/>
                <w:szCs w:val="20"/>
              </w:rPr>
              <w:t>Ergebnis vor Ertragsteuern fortgeführter Aktivitäten</w:t>
            </w:r>
          </w:p>
        </w:tc>
        <w:tc>
          <w:tcPr>
            <w:tcW w:w="863" w:type="dxa"/>
            <w:shd w:val="clear" w:color="auto" w:fill="CCCCCC"/>
            <w:noWrap/>
            <w:vAlign w:val="bottom"/>
          </w:tcPr>
          <w:p w:rsidR="00110428" w:rsidRPr="002B19DA" w:rsidRDefault="00110428" w:rsidP="00E017C5">
            <w:pPr>
              <w:ind w:left="0"/>
              <w:jc w:val="right"/>
              <w:rPr>
                <w:rFonts w:cs="Lucida Sans Unicode"/>
                <w:bCs/>
                <w:position w:val="0"/>
                <w:szCs w:val="20"/>
              </w:rPr>
            </w:pPr>
            <w:r>
              <w:rPr>
                <w:rFonts w:cs="Lucida Sans Unicode"/>
                <w:bCs/>
                <w:position w:val="0"/>
                <w:szCs w:val="20"/>
              </w:rPr>
              <w:t>557</w:t>
            </w:r>
          </w:p>
        </w:tc>
        <w:tc>
          <w:tcPr>
            <w:tcW w:w="862" w:type="dxa"/>
            <w:shd w:val="clear" w:color="auto" w:fill="auto"/>
            <w:noWrap/>
            <w:vAlign w:val="bottom"/>
          </w:tcPr>
          <w:p w:rsidR="00110428" w:rsidRPr="002B19DA" w:rsidRDefault="00110428" w:rsidP="00E017C5">
            <w:pPr>
              <w:ind w:left="0"/>
              <w:jc w:val="right"/>
              <w:rPr>
                <w:rFonts w:cs="Lucida Sans Unicode"/>
                <w:bCs/>
                <w:position w:val="0"/>
                <w:szCs w:val="20"/>
              </w:rPr>
            </w:pPr>
            <w:r>
              <w:rPr>
                <w:rFonts w:cs="Lucida Sans Unicode"/>
                <w:bCs/>
                <w:position w:val="0"/>
                <w:szCs w:val="20"/>
              </w:rPr>
              <w:t>186</w:t>
            </w:r>
          </w:p>
        </w:tc>
        <w:tc>
          <w:tcPr>
            <w:tcW w:w="898" w:type="dxa"/>
            <w:shd w:val="clear" w:color="auto" w:fill="auto"/>
            <w:noWrap/>
            <w:vAlign w:val="bottom"/>
          </w:tcPr>
          <w:p w:rsidR="00110428" w:rsidRPr="002B19DA" w:rsidRDefault="00110428" w:rsidP="00E017C5">
            <w:pPr>
              <w:ind w:left="0"/>
              <w:jc w:val="right"/>
              <w:rPr>
                <w:rFonts w:cs="Lucida Sans Unicode"/>
                <w:bCs/>
                <w:position w:val="0"/>
                <w:szCs w:val="20"/>
              </w:rPr>
            </w:pPr>
            <w:r>
              <w:rPr>
                <w:rFonts w:cs="Lucida Sans Unicode"/>
                <w:bCs/>
                <w:position w:val="0"/>
                <w:szCs w:val="20"/>
              </w:rPr>
              <w:t>199</w:t>
            </w:r>
          </w:p>
        </w:tc>
        <w:tc>
          <w:tcPr>
            <w:tcW w:w="863" w:type="dxa"/>
            <w:shd w:val="clear" w:color="auto" w:fill="CCCCCC"/>
            <w:noWrap/>
            <w:vAlign w:val="bottom"/>
          </w:tcPr>
          <w:p w:rsidR="00110428" w:rsidRPr="002B19DA" w:rsidRDefault="00110428" w:rsidP="00E017C5">
            <w:pPr>
              <w:ind w:left="0"/>
              <w:jc w:val="right"/>
              <w:rPr>
                <w:rFonts w:cs="Lucida Sans Unicode"/>
                <w:bCs/>
                <w:position w:val="0"/>
                <w:szCs w:val="20"/>
              </w:rPr>
            </w:pPr>
            <w:r>
              <w:rPr>
                <w:rFonts w:cs="Lucida Sans Unicode"/>
                <w:bCs/>
                <w:position w:val="0"/>
                <w:szCs w:val="20"/>
              </w:rPr>
              <w:t>942</w:t>
            </w:r>
          </w:p>
        </w:tc>
        <w:tc>
          <w:tcPr>
            <w:tcW w:w="862" w:type="dxa"/>
            <w:shd w:val="clear" w:color="auto" w:fill="auto"/>
            <w:noWrap/>
            <w:vAlign w:val="bottom"/>
          </w:tcPr>
          <w:p w:rsidR="00110428" w:rsidRPr="002B19DA" w:rsidRDefault="00110428" w:rsidP="00E017C5">
            <w:pPr>
              <w:ind w:left="0"/>
              <w:jc w:val="right"/>
              <w:rPr>
                <w:rFonts w:cs="Lucida Sans Unicode"/>
                <w:bCs/>
                <w:position w:val="0"/>
                <w:szCs w:val="20"/>
              </w:rPr>
            </w:pPr>
            <w:r>
              <w:rPr>
                <w:rFonts w:cs="Lucida Sans Unicode"/>
                <w:bCs/>
                <w:position w:val="0"/>
                <w:szCs w:val="20"/>
              </w:rPr>
              <w:t>402</w:t>
            </w:r>
          </w:p>
        </w:tc>
        <w:tc>
          <w:tcPr>
            <w:tcW w:w="898" w:type="dxa"/>
            <w:shd w:val="clear" w:color="auto" w:fill="auto"/>
            <w:noWrap/>
            <w:vAlign w:val="bottom"/>
          </w:tcPr>
          <w:p w:rsidR="00110428" w:rsidRPr="002B19DA" w:rsidRDefault="00110428" w:rsidP="00E017C5">
            <w:pPr>
              <w:ind w:left="0"/>
              <w:jc w:val="right"/>
              <w:rPr>
                <w:rFonts w:cs="Lucida Sans Unicode"/>
                <w:bCs/>
                <w:position w:val="0"/>
                <w:szCs w:val="20"/>
              </w:rPr>
            </w:pPr>
            <w:r>
              <w:rPr>
                <w:rFonts w:cs="Lucida Sans Unicode"/>
                <w:bCs/>
                <w:position w:val="0"/>
                <w:szCs w:val="20"/>
              </w:rPr>
              <w:t>134</w:t>
            </w:r>
          </w:p>
        </w:tc>
      </w:tr>
      <w:tr w:rsidR="00110428" w:rsidTr="009511D1">
        <w:trPr>
          <w:trHeight w:val="300"/>
        </w:trPr>
        <w:tc>
          <w:tcPr>
            <w:tcW w:w="4678" w:type="dxa"/>
            <w:shd w:val="clear" w:color="auto" w:fill="auto"/>
            <w:noWrap/>
            <w:vAlign w:val="bottom"/>
          </w:tcPr>
          <w:p w:rsidR="00110428" w:rsidRPr="00E83E1D" w:rsidRDefault="00110428" w:rsidP="00E017C5">
            <w:pPr>
              <w:ind w:left="0"/>
              <w:rPr>
                <w:rFonts w:cs="Lucida Sans Unicode"/>
                <w:position w:val="0"/>
                <w:szCs w:val="20"/>
              </w:rPr>
            </w:pPr>
            <w:r w:rsidRPr="00E83E1D">
              <w:rPr>
                <w:rFonts w:cs="Lucida Sans Unicode"/>
                <w:position w:val="0"/>
                <w:szCs w:val="20"/>
              </w:rPr>
              <w:t>Ertragsteuern</w:t>
            </w:r>
          </w:p>
        </w:tc>
        <w:tc>
          <w:tcPr>
            <w:tcW w:w="863" w:type="dxa"/>
            <w:shd w:val="clear" w:color="auto" w:fill="CCCCCC"/>
            <w:noWrap/>
            <w:vAlign w:val="bottom"/>
          </w:tcPr>
          <w:p w:rsidR="00110428" w:rsidRDefault="00110428" w:rsidP="00E017C5">
            <w:pPr>
              <w:ind w:left="0"/>
              <w:jc w:val="right"/>
              <w:rPr>
                <w:rFonts w:cs="Lucida Sans Unicode"/>
                <w:position w:val="0"/>
                <w:szCs w:val="20"/>
              </w:rPr>
            </w:pPr>
            <w:r>
              <w:rPr>
                <w:rFonts w:cs="Lucida Sans Unicode"/>
                <w:position w:val="0"/>
                <w:szCs w:val="20"/>
              </w:rPr>
              <w:t>-133</w:t>
            </w:r>
          </w:p>
        </w:tc>
        <w:tc>
          <w:tcPr>
            <w:tcW w:w="862"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-70</w:t>
            </w:r>
          </w:p>
        </w:tc>
        <w:tc>
          <w:tcPr>
            <w:tcW w:w="898" w:type="dxa"/>
            <w:shd w:val="clear" w:color="auto" w:fill="auto"/>
            <w:noWrap/>
            <w:vAlign w:val="bottom"/>
          </w:tcPr>
          <w:p w:rsidR="00110428" w:rsidRDefault="00110428" w:rsidP="00E017C5">
            <w:pPr>
              <w:ind w:left="0"/>
              <w:jc w:val="right"/>
              <w:rPr>
                <w:rFonts w:cs="Lucida Sans Unicode"/>
                <w:position w:val="0"/>
                <w:szCs w:val="20"/>
              </w:rPr>
            </w:pPr>
          </w:p>
        </w:tc>
        <w:tc>
          <w:tcPr>
            <w:tcW w:w="863" w:type="dxa"/>
            <w:shd w:val="clear" w:color="auto" w:fill="CCCCCC"/>
            <w:noWrap/>
            <w:vAlign w:val="bottom"/>
          </w:tcPr>
          <w:p w:rsidR="00110428" w:rsidRDefault="00110428" w:rsidP="00E017C5">
            <w:pPr>
              <w:ind w:left="0"/>
              <w:jc w:val="right"/>
              <w:rPr>
                <w:rFonts w:cs="Lucida Sans Unicode"/>
                <w:position w:val="0"/>
                <w:szCs w:val="20"/>
              </w:rPr>
            </w:pPr>
            <w:r>
              <w:rPr>
                <w:rFonts w:cs="Lucida Sans Unicode"/>
                <w:position w:val="0"/>
                <w:szCs w:val="20"/>
              </w:rPr>
              <w:t>-249</w:t>
            </w:r>
          </w:p>
        </w:tc>
        <w:tc>
          <w:tcPr>
            <w:tcW w:w="862"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-133</w:t>
            </w:r>
          </w:p>
        </w:tc>
        <w:tc>
          <w:tcPr>
            <w:tcW w:w="898" w:type="dxa"/>
            <w:shd w:val="clear" w:color="auto" w:fill="auto"/>
            <w:noWrap/>
            <w:vAlign w:val="bottom"/>
          </w:tcPr>
          <w:p w:rsidR="00110428" w:rsidRDefault="00110428" w:rsidP="00E017C5">
            <w:pPr>
              <w:ind w:left="0"/>
              <w:jc w:val="right"/>
              <w:rPr>
                <w:rFonts w:cs="Lucida Sans Unicode"/>
                <w:position w:val="0"/>
                <w:szCs w:val="20"/>
              </w:rPr>
            </w:pPr>
          </w:p>
        </w:tc>
      </w:tr>
      <w:tr w:rsidR="00110428" w:rsidTr="009511D1">
        <w:trPr>
          <w:trHeight w:val="300"/>
        </w:trPr>
        <w:tc>
          <w:tcPr>
            <w:tcW w:w="4678" w:type="dxa"/>
            <w:shd w:val="clear" w:color="auto" w:fill="auto"/>
            <w:noWrap/>
            <w:vAlign w:val="bottom"/>
          </w:tcPr>
          <w:p w:rsidR="00110428" w:rsidRPr="00E83E1D" w:rsidRDefault="00110428" w:rsidP="00E017C5">
            <w:pPr>
              <w:ind w:left="0"/>
              <w:rPr>
                <w:rFonts w:cs="Lucida Sans Unicode"/>
                <w:bCs/>
                <w:szCs w:val="20"/>
              </w:rPr>
            </w:pPr>
            <w:r>
              <w:rPr>
                <w:rFonts w:cs="Lucida Sans Unicode"/>
                <w:position w:val="0"/>
                <w:szCs w:val="20"/>
              </w:rPr>
              <w:t>Ergebnis nach S</w:t>
            </w:r>
            <w:r w:rsidRPr="00DA2E4E">
              <w:rPr>
                <w:rFonts w:cs="Lucida Sans Unicode"/>
                <w:position w:val="0"/>
                <w:szCs w:val="20"/>
              </w:rPr>
              <w:t>teuern fortgeführter Aktivitäten</w:t>
            </w:r>
          </w:p>
        </w:tc>
        <w:tc>
          <w:tcPr>
            <w:tcW w:w="863" w:type="dxa"/>
            <w:shd w:val="clear" w:color="auto" w:fill="CCCCCC"/>
            <w:noWrap/>
            <w:vAlign w:val="bottom"/>
          </w:tcPr>
          <w:p w:rsidR="00110428" w:rsidRPr="002B19DA" w:rsidRDefault="00110428" w:rsidP="00E017C5">
            <w:pPr>
              <w:ind w:left="0"/>
              <w:jc w:val="right"/>
              <w:rPr>
                <w:rFonts w:cs="Lucida Sans Unicode"/>
                <w:bCs/>
                <w:position w:val="0"/>
                <w:szCs w:val="20"/>
              </w:rPr>
            </w:pPr>
            <w:r>
              <w:rPr>
                <w:rFonts w:cs="Lucida Sans Unicode"/>
                <w:bCs/>
                <w:position w:val="0"/>
                <w:szCs w:val="20"/>
              </w:rPr>
              <w:t>424</w:t>
            </w:r>
          </w:p>
        </w:tc>
        <w:tc>
          <w:tcPr>
            <w:tcW w:w="862" w:type="dxa"/>
            <w:shd w:val="clear" w:color="auto" w:fill="auto"/>
            <w:noWrap/>
            <w:vAlign w:val="bottom"/>
          </w:tcPr>
          <w:p w:rsidR="00110428" w:rsidRPr="002B19DA" w:rsidRDefault="00110428" w:rsidP="00E017C5">
            <w:pPr>
              <w:ind w:left="0"/>
              <w:jc w:val="right"/>
              <w:rPr>
                <w:rFonts w:cs="Lucida Sans Unicode"/>
                <w:bCs/>
                <w:position w:val="0"/>
                <w:szCs w:val="20"/>
              </w:rPr>
            </w:pPr>
            <w:r>
              <w:rPr>
                <w:rFonts w:cs="Lucida Sans Unicode"/>
                <w:bCs/>
                <w:position w:val="0"/>
                <w:szCs w:val="20"/>
              </w:rPr>
              <w:t>116</w:t>
            </w:r>
          </w:p>
        </w:tc>
        <w:tc>
          <w:tcPr>
            <w:tcW w:w="898" w:type="dxa"/>
            <w:shd w:val="clear" w:color="auto" w:fill="auto"/>
            <w:noWrap/>
            <w:vAlign w:val="bottom"/>
          </w:tcPr>
          <w:p w:rsidR="00110428" w:rsidRPr="002B19DA" w:rsidRDefault="00110428" w:rsidP="00E017C5">
            <w:pPr>
              <w:ind w:left="0"/>
              <w:jc w:val="right"/>
              <w:rPr>
                <w:rFonts w:cs="Lucida Sans Unicode"/>
                <w:bCs/>
                <w:position w:val="0"/>
                <w:szCs w:val="20"/>
              </w:rPr>
            </w:pPr>
            <w:r>
              <w:rPr>
                <w:rFonts w:cs="Lucida Sans Unicode"/>
                <w:bCs/>
                <w:position w:val="0"/>
                <w:szCs w:val="20"/>
              </w:rPr>
              <w:t>266</w:t>
            </w:r>
          </w:p>
        </w:tc>
        <w:tc>
          <w:tcPr>
            <w:tcW w:w="863" w:type="dxa"/>
            <w:shd w:val="clear" w:color="auto" w:fill="CCCCCC"/>
            <w:noWrap/>
            <w:vAlign w:val="bottom"/>
          </w:tcPr>
          <w:p w:rsidR="00110428" w:rsidRPr="002B19DA" w:rsidRDefault="00110428" w:rsidP="00E017C5">
            <w:pPr>
              <w:ind w:left="0"/>
              <w:jc w:val="right"/>
              <w:rPr>
                <w:rFonts w:cs="Lucida Sans Unicode"/>
                <w:bCs/>
                <w:position w:val="0"/>
                <w:szCs w:val="20"/>
              </w:rPr>
            </w:pPr>
            <w:r>
              <w:rPr>
                <w:rFonts w:cs="Lucida Sans Unicode"/>
                <w:bCs/>
                <w:position w:val="0"/>
                <w:szCs w:val="20"/>
              </w:rPr>
              <w:t>693</w:t>
            </w:r>
          </w:p>
        </w:tc>
        <w:tc>
          <w:tcPr>
            <w:tcW w:w="862" w:type="dxa"/>
            <w:shd w:val="clear" w:color="auto" w:fill="auto"/>
            <w:noWrap/>
            <w:vAlign w:val="bottom"/>
          </w:tcPr>
          <w:p w:rsidR="00110428" w:rsidRPr="002B19DA" w:rsidRDefault="00110428" w:rsidP="00E017C5">
            <w:pPr>
              <w:ind w:left="0"/>
              <w:jc w:val="right"/>
              <w:rPr>
                <w:rFonts w:cs="Lucida Sans Unicode"/>
                <w:bCs/>
                <w:position w:val="0"/>
                <w:szCs w:val="20"/>
              </w:rPr>
            </w:pPr>
            <w:r>
              <w:rPr>
                <w:rFonts w:cs="Lucida Sans Unicode"/>
                <w:bCs/>
                <w:position w:val="0"/>
                <w:szCs w:val="20"/>
              </w:rPr>
              <w:t>269</w:t>
            </w:r>
          </w:p>
        </w:tc>
        <w:tc>
          <w:tcPr>
            <w:tcW w:w="898" w:type="dxa"/>
            <w:shd w:val="clear" w:color="auto" w:fill="auto"/>
            <w:noWrap/>
            <w:vAlign w:val="bottom"/>
          </w:tcPr>
          <w:p w:rsidR="00110428" w:rsidRPr="002B19DA" w:rsidRDefault="00110428" w:rsidP="00E017C5">
            <w:pPr>
              <w:ind w:left="0"/>
              <w:jc w:val="right"/>
              <w:rPr>
                <w:rFonts w:cs="Lucida Sans Unicode"/>
                <w:bCs/>
                <w:position w:val="0"/>
                <w:szCs w:val="20"/>
              </w:rPr>
            </w:pPr>
            <w:r>
              <w:rPr>
                <w:rFonts w:cs="Lucida Sans Unicode"/>
                <w:bCs/>
                <w:position w:val="0"/>
                <w:szCs w:val="20"/>
              </w:rPr>
              <w:t>158</w:t>
            </w:r>
          </w:p>
        </w:tc>
      </w:tr>
      <w:tr w:rsidR="00110428" w:rsidTr="009511D1">
        <w:trPr>
          <w:trHeight w:val="300"/>
        </w:trPr>
        <w:tc>
          <w:tcPr>
            <w:tcW w:w="4678" w:type="dxa"/>
            <w:shd w:val="clear" w:color="auto" w:fill="auto"/>
            <w:noWrap/>
            <w:vAlign w:val="bottom"/>
          </w:tcPr>
          <w:p w:rsidR="00110428" w:rsidRDefault="00110428" w:rsidP="00E017C5">
            <w:pPr>
              <w:ind w:left="0"/>
              <w:rPr>
                <w:rFonts w:cs="Lucida Sans Unicode"/>
                <w:position w:val="0"/>
                <w:szCs w:val="20"/>
              </w:rPr>
            </w:pPr>
            <w:r>
              <w:rPr>
                <w:rFonts w:cs="Lucida Sans Unicode"/>
                <w:position w:val="0"/>
                <w:szCs w:val="20"/>
              </w:rPr>
              <w:t>Ergebnis nach Steuern nicht fortgeführter Aktivitäten</w:t>
            </w:r>
          </w:p>
        </w:tc>
        <w:tc>
          <w:tcPr>
            <w:tcW w:w="863" w:type="dxa"/>
            <w:shd w:val="clear" w:color="auto" w:fill="CCCCCC"/>
            <w:noWrap/>
            <w:vAlign w:val="bottom"/>
          </w:tcPr>
          <w:p w:rsidR="00110428" w:rsidRDefault="00110428" w:rsidP="00E017C5">
            <w:pPr>
              <w:ind w:left="0"/>
              <w:jc w:val="right"/>
              <w:rPr>
                <w:rFonts w:cs="Lucida Sans Unicode"/>
                <w:position w:val="0"/>
                <w:szCs w:val="20"/>
              </w:rPr>
            </w:pPr>
            <w:r>
              <w:rPr>
                <w:rFonts w:cs="Lucida Sans Unicode"/>
                <w:position w:val="0"/>
                <w:szCs w:val="20"/>
              </w:rPr>
              <w:t>-5</w:t>
            </w:r>
          </w:p>
        </w:tc>
        <w:tc>
          <w:tcPr>
            <w:tcW w:w="862"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26</w:t>
            </w:r>
          </w:p>
        </w:tc>
        <w:tc>
          <w:tcPr>
            <w:tcW w:w="898" w:type="dxa"/>
            <w:shd w:val="clear" w:color="auto" w:fill="auto"/>
            <w:noWrap/>
            <w:vAlign w:val="bottom"/>
          </w:tcPr>
          <w:p w:rsidR="00110428" w:rsidRDefault="00110428" w:rsidP="00E017C5">
            <w:pPr>
              <w:ind w:left="0"/>
              <w:rPr>
                <w:rFonts w:cs="Lucida Sans Unicode"/>
                <w:position w:val="0"/>
                <w:szCs w:val="20"/>
              </w:rPr>
            </w:pPr>
          </w:p>
        </w:tc>
        <w:tc>
          <w:tcPr>
            <w:tcW w:w="863" w:type="dxa"/>
            <w:shd w:val="clear" w:color="auto" w:fill="CCCCCC"/>
            <w:noWrap/>
            <w:vAlign w:val="bottom"/>
          </w:tcPr>
          <w:p w:rsidR="00110428" w:rsidRDefault="00110428" w:rsidP="00E017C5">
            <w:pPr>
              <w:ind w:left="0"/>
              <w:jc w:val="right"/>
              <w:rPr>
                <w:rFonts w:cs="Lucida Sans Unicode"/>
                <w:position w:val="0"/>
                <w:szCs w:val="20"/>
              </w:rPr>
            </w:pPr>
            <w:r>
              <w:rPr>
                <w:rFonts w:cs="Lucida Sans Unicode"/>
                <w:position w:val="0"/>
                <w:szCs w:val="20"/>
              </w:rPr>
              <w:t>-15</w:t>
            </w:r>
          </w:p>
        </w:tc>
        <w:tc>
          <w:tcPr>
            <w:tcW w:w="862"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43</w:t>
            </w:r>
          </w:p>
        </w:tc>
        <w:tc>
          <w:tcPr>
            <w:tcW w:w="898" w:type="dxa"/>
            <w:shd w:val="clear" w:color="auto" w:fill="auto"/>
            <w:noWrap/>
            <w:vAlign w:val="bottom"/>
          </w:tcPr>
          <w:p w:rsidR="00110428" w:rsidRDefault="00110428" w:rsidP="00E017C5">
            <w:pPr>
              <w:ind w:left="0"/>
              <w:rPr>
                <w:rFonts w:cs="Lucida Sans Unicode"/>
                <w:position w:val="0"/>
                <w:szCs w:val="20"/>
              </w:rPr>
            </w:pPr>
          </w:p>
        </w:tc>
      </w:tr>
      <w:tr w:rsidR="00110428" w:rsidTr="009511D1">
        <w:trPr>
          <w:trHeight w:val="300"/>
        </w:trPr>
        <w:tc>
          <w:tcPr>
            <w:tcW w:w="4678" w:type="dxa"/>
            <w:shd w:val="clear" w:color="auto" w:fill="auto"/>
            <w:noWrap/>
            <w:vAlign w:val="bottom"/>
          </w:tcPr>
          <w:p w:rsidR="00110428" w:rsidRPr="00E83E1D" w:rsidRDefault="00110428" w:rsidP="00E017C5">
            <w:pPr>
              <w:ind w:left="0"/>
              <w:rPr>
                <w:rFonts w:cs="Lucida Sans Unicode"/>
                <w:bCs/>
                <w:szCs w:val="20"/>
              </w:rPr>
            </w:pPr>
            <w:r w:rsidRPr="00E83E1D">
              <w:rPr>
                <w:rFonts w:cs="Lucida Sans Unicode"/>
                <w:bCs/>
                <w:position w:val="0"/>
                <w:szCs w:val="20"/>
              </w:rPr>
              <w:t>Ergebnis nach Steuern</w:t>
            </w:r>
          </w:p>
        </w:tc>
        <w:tc>
          <w:tcPr>
            <w:tcW w:w="863" w:type="dxa"/>
            <w:shd w:val="clear" w:color="auto" w:fill="CCCCCC"/>
            <w:noWrap/>
            <w:vAlign w:val="bottom"/>
          </w:tcPr>
          <w:p w:rsidR="00110428" w:rsidRPr="002B19DA" w:rsidRDefault="00110428" w:rsidP="00E017C5">
            <w:pPr>
              <w:ind w:left="0"/>
              <w:jc w:val="right"/>
              <w:rPr>
                <w:rFonts w:cs="Lucida Sans Unicode"/>
                <w:bCs/>
                <w:position w:val="0"/>
                <w:szCs w:val="20"/>
              </w:rPr>
            </w:pPr>
            <w:r>
              <w:rPr>
                <w:rFonts w:cs="Lucida Sans Unicode"/>
                <w:bCs/>
                <w:position w:val="0"/>
                <w:szCs w:val="20"/>
              </w:rPr>
              <w:t>419</w:t>
            </w:r>
          </w:p>
        </w:tc>
        <w:tc>
          <w:tcPr>
            <w:tcW w:w="862" w:type="dxa"/>
            <w:shd w:val="clear" w:color="auto" w:fill="auto"/>
            <w:noWrap/>
            <w:vAlign w:val="bottom"/>
          </w:tcPr>
          <w:p w:rsidR="00110428" w:rsidRPr="002B19DA" w:rsidRDefault="00110428" w:rsidP="00E017C5">
            <w:pPr>
              <w:ind w:left="0"/>
              <w:jc w:val="right"/>
              <w:rPr>
                <w:rFonts w:cs="Lucida Sans Unicode"/>
                <w:bCs/>
                <w:position w:val="0"/>
                <w:szCs w:val="20"/>
              </w:rPr>
            </w:pPr>
            <w:r>
              <w:rPr>
                <w:rFonts w:cs="Lucida Sans Unicode"/>
                <w:bCs/>
                <w:position w:val="0"/>
                <w:szCs w:val="20"/>
              </w:rPr>
              <w:t>142</w:t>
            </w:r>
          </w:p>
        </w:tc>
        <w:tc>
          <w:tcPr>
            <w:tcW w:w="898" w:type="dxa"/>
            <w:shd w:val="clear" w:color="auto" w:fill="auto"/>
            <w:noWrap/>
            <w:vAlign w:val="bottom"/>
          </w:tcPr>
          <w:p w:rsidR="00110428" w:rsidRPr="002B19DA" w:rsidRDefault="00110428" w:rsidP="00E017C5">
            <w:pPr>
              <w:ind w:left="0"/>
              <w:jc w:val="right"/>
              <w:rPr>
                <w:rFonts w:cs="Lucida Sans Unicode"/>
                <w:bCs/>
                <w:position w:val="0"/>
                <w:szCs w:val="20"/>
              </w:rPr>
            </w:pPr>
            <w:r>
              <w:rPr>
                <w:rFonts w:cs="Lucida Sans Unicode"/>
                <w:bCs/>
                <w:position w:val="0"/>
                <w:szCs w:val="20"/>
              </w:rPr>
              <w:t>195</w:t>
            </w:r>
          </w:p>
        </w:tc>
        <w:tc>
          <w:tcPr>
            <w:tcW w:w="863" w:type="dxa"/>
            <w:shd w:val="clear" w:color="auto" w:fill="CCCCCC"/>
            <w:noWrap/>
            <w:vAlign w:val="bottom"/>
          </w:tcPr>
          <w:p w:rsidR="00110428" w:rsidRPr="002B19DA" w:rsidRDefault="00110428" w:rsidP="00E017C5">
            <w:pPr>
              <w:ind w:left="0"/>
              <w:jc w:val="right"/>
              <w:rPr>
                <w:rFonts w:cs="Lucida Sans Unicode"/>
                <w:position w:val="0"/>
                <w:szCs w:val="20"/>
              </w:rPr>
            </w:pPr>
            <w:r>
              <w:rPr>
                <w:rFonts w:cs="Lucida Sans Unicode"/>
                <w:position w:val="0"/>
                <w:szCs w:val="20"/>
              </w:rPr>
              <w:t>678</w:t>
            </w:r>
          </w:p>
        </w:tc>
        <w:tc>
          <w:tcPr>
            <w:tcW w:w="862" w:type="dxa"/>
            <w:shd w:val="clear" w:color="auto" w:fill="auto"/>
            <w:noWrap/>
            <w:vAlign w:val="bottom"/>
          </w:tcPr>
          <w:p w:rsidR="00110428" w:rsidRPr="002B19DA" w:rsidRDefault="00110428" w:rsidP="00E017C5">
            <w:pPr>
              <w:ind w:left="0"/>
              <w:jc w:val="right"/>
              <w:rPr>
                <w:rFonts w:cs="Lucida Sans Unicode"/>
                <w:position w:val="0"/>
                <w:szCs w:val="20"/>
              </w:rPr>
            </w:pPr>
            <w:r>
              <w:rPr>
                <w:rFonts w:cs="Lucida Sans Unicode"/>
                <w:position w:val="0"/>
                <w:szCs w:val="20"/>
              </w:rPr>
              <w:t>312</w:t>
            </w:r>
          </w:p>
        </w:tc>
        <w:tc>
          <w:tcPr>
            <w:tcW w:w="898" w:type="dxa"/>
            <w:shd w:val="clear" w:color="auto" w:fill="auto"/>
            <w:noWrap/>
            <w:vAlign w:val="bottom"/>
          </w:tcPr>
          <w:p w:rsidR="00110428" w:rsidRPr="002B19DA" w:rsidRDefault="00110428" w:rsidP="00E017C5">
            <w:pPr>
              <w:ind w:left="0"/>
              <w:jc w:val="right"/>
              <w:rPr>
                <w:rFonts w:cs="Lucida Sans Unicode"/>
                <w:position w:val="0"/>
                <w:szCs w:val="20"/>
              </w:rPr>
            </w:pPr>
            <w:r>
              <w:rPr>
                <w:rFonts w:cs="Lucida Sans Unicode"/>
                <w:position w:val="0"/>
                <w:szCs w:val="20"/>
              </w:rPr>
              <w:t>117</w:t>
            </w:r>
          </w:p>
        </w:tc>
      </w:tr>
      <w:tr w:rsidR="00110428" w:rsidTr="009511D1">
        <w:trPr>
          <w:trHeight w:val="255"/>
        </w:trPr>
        <w:tc>
          <w:tcPr>
            <w:tcW w:w="4678" w:type="dxa"/>
            <w:shd w:val="clear" w:color="auto" w:fill="auto"/>
            <w:noWrap/>
            <w:vAlign w:val="bottom"/>
          </w:tcPr>
          <w:p w:rsidR="00110428" w:rsidRDefault="00110428" w:rsidP="00E017C5">
            <w:pPr>
              <w:ind w:left="0"/>
              <w:rPr>
                <w:rFonts w:cs="Lucida Sans Unicode"/>
                <w:position w:val="0"/>
                <w:szCs w:val="20"/>
              </w:rPr>
            </w:pPr>
            <w:r>
              <w:rPr>
                <w:rFonts w:cs="Lucida Sans Unicode"/>
                <w:position w:val="0"/>
                <w:szCs w:val="20"/>
              </w:rPr>
              <w:t>Davon Ergebnis anderer Gesellschafter</w:t>
            </w:r>
          </w:p>
        </w:tc>
        <w:tc>
          <w:tcPr>
            <w:tcW w:w="863" w:type="dxa"/>
            <w:shd w:val="clear" w:color="auto" w:fill="CCCCCC"/>
            <w:noWrap/>
            <w:vAlign w:val="bottom"/>
          </w:tcPr>
          <w:p w:rsidR="00110428" w:rsidRDefault="00110428" w:rsidP="00E017C5">
            <w:pPr>
              <w:ind w:left="0"/>
              <w:jc w:val="right"/>
              <w:rPr>
                <w:rFonts w:cs="Lucida Sans Unicode"/>
                <w:position w:val="0"/>
                <w:szCs w:val="20"/>
              </w:rPr>
            </w:pPr>
            <w:r>
              <w:rPr>
                <w:rFonts w:cs="Lucida Sans Unicode"/>
                <w:position w:val="0"/>
                <w:szCs w:val="20"/>
              </w:rPr>
              <w:t>1</w:t>
            </w:r>
          </w:p>
        </w:tc>
        <w:tc>
          <w:tcPr>
            <w:tcW w:w="862" w:type="dxa"/>
            <w:shd w:val="clear" w:color="auto" w:fill="auto"/>
            <w:noWrap/>
            <w:vAlign w:val="bottom"/>
          </w:tcPr>
          <w:p w:rsidR="00110428" w:rsidRDefault="00110428" w:rsidP="00E017C5">
            <w:pPr>
              <w:ind w:left="0"/>
              <w:jc w:val="right"/>
              <w:rPr>
                <w:rFonts w:cs="Lucida Sans Unicode"/>
                <w:position w:val="0"/>
                <w:szCs w:val="20"/>
              </w:rPr>
            </w:pPr>
            <w:r>
              <w:rPr>
                <w:rFonts w:cs="Lucida Sans Unicode"/>
                <w:position w:val="0"/>
                <w:szCs w:val="20"/>
              </w:rPr>
              <w:t>3</w:t>
            </w:r>
          </w:p>
        </w:tc>
        <w:tc>
          <w:tcPr>
            <w:tcW w:w="898" w:type="dxa"/>
            <w:shd w:val="clear" w:color="auto" w:fill="auto"/>
            <w:noWrap/>
            <w:vAlign w:val="bottom"/>
          </w:tcPr>
          <w:p w:rsidR="00110428" w:rsidRDefault="00110428" w:rsidP="00E017C5">
            <w:pPr>
              <w:ind w:left="0"/>
              <w:rPr>
                <w:rFonts w:cs="Lucida Sans Unicode"/>
                <w:position w:val="0"/>
                <w:szCs w:val="20"/>
              </w:rPr>
            </w:pPr>
          </w:p>
        </w:tc>
        <w:tc>
          <w:tcPr>
            <w:tcW w:w="863" w:type="dxa"/>
            <w:shd w:val="clear" w:color="auto" w:fill="CCCCCC"/>
            <w:noWrap/>
            <w:vAlign w:val="bottom"/>
          </w:tcPr>
          <w:p w:rsidR="00110428" w:rsidRDefault="00110428" w:rsidP="00E017C5">
            <w:pPr>
              <w:ind w:left="0"/>
              <w:jc w:val="right"/>
              <w:rPr>
                <w:rFonts w:cs="Lucida Sans Unicode"/>
                <w:bCs/>
                <w:position w:val="0"/>
                <w:szCs w:val="20"/>
              </w:rPr>
            </w:pPr>
            <w:r>
              <w:rPr>
                <w:rFonts w:cs="Lucida Sans Unicode"/>
                <w:bCs/>
                <w:position w:val="0"/>
                <w:szCs w:val="20"/>
              </w:rPr>
              <w:t>4</w:t>
            </w:r>
          </w:p>
        </w:tc>
        <w:tc>
          <w:tcPr>
            <w:tcW w:w="862" w:type="dxa"/>
            <w:shd w:val="clear" w:color="auto" w:fill="auto"/>
            <w:noWrap/>
            <w:vAlign w:val="bottom"/>
          </w:tcPr>
          <w:p w:rsidR="00110428" w:rsidRDefault="00110428" w:rsidP="00E017C5">
            <w:pPr>
              <w:ind w:left="0"/>
              <w:jc w:val="right"/>
              <w:rPr>
                <w:rFonts w:cs="Lucida Sans Unicode"/>
                <w:bCs/>
                <w:position w:val="0"/>
                <w:szCs w:val="20"/>
              </w:rPr>
            </w:pPr>
            <w:r>
              <w:rPr>
                <w:rFonts w:cs="Lucida Sans Unicode"/>
                <w:bCs/>
                <w:position w:val="0"/>
                <w:szCs w:val="20"/>
              </w:rPr>
              <w:t>7</w:t>
            </w:r>
          </w:p>
        </w:tc>
        <w:tc>
          <w:tcPr>
            <w:tcW w:w="898" w:type="dxa"/>
            <w:shd w:val="clear" w:color="auto" w:fill="auto"/>
            <w:noWrap/>
            <w:vAlign w:val="bottom"/>
          </w:tcPr>
          <w:p w:rsidR="00110428" w:rsidRDefault="00110428" w:rsidP="00E017C5">
            <w:pPr>
              <w:ind w:left="0"/>
              <w:jc w:val="right"/>
              <w:rPr>
                <w:rFonts w:cs="Lucida Sans Unicode"/>
                <w:b/>
                <w:bCs/>
                <w:position w:val="0"/>
                <w:szCs w:val="20"/>
              </w:rPr>
            </w:pPr>
          </w:p>
        </w:tc>
      </w:tr>
      <w:tr w:rsidR="00110428" w:rsidRPr="00DA2E4E" w:rsidTr="009511D1">
        <w:trPr>
          <w:trHeight w:val="255"/>
        </w:trPr>
        <w:tc>
          <w:tcPr>
            <w:tcW w:w="4678" w:type="dxa"/>
            <w:shd w:val="clear" w:color="auto" w:fill="auto"/>
            <w:noWrap/>
            <w:vAlign w:val="bottom"/>
          </w:tcPr>
          <w:p w:rsidR="00110428" w:rsidRPr="00DA2E4E" w:rsidRDefault="00110428" w:rsidP="00E017C5">
            <w:pPr>
              <w:ind w:left="0"/>
              <w:rPr>
                <w:rFonts w:cs="Lucida Sans Unicode"/>
                <w:b/>
                <w:position w:val="0"/>
                <w:szCs w:val="20"/>
              </w:rPr>
            </w:pPr>
            <w:r w:rsidRPr="00DA2E4E">
              <w:rPr>
                <w:rFonts w:cs="Lucida Sans Unicode"/>
                <w:b/>
                <w:position w:val="0"/>
                <w:szCs w:val="20"/>
              </w:rPr>
              <w:t>Konzernergebnis</w:t>
            </w:r>
          </w:p>
        </w:tc>
        <w:tc>
          <w:tcPr>
            <w:tcW w:w="863" w:type="dxa"/>
            <w:shd w:val="clear" w:color="auto" w:fill="CCCCCC"/>
            <w:noWrap/>
            <w:vAlign w:val="bottom"/>
          </w:tcPr>
          <w:p w:rsidR="00110428" w:rsidRPr="00F73E17" w:rsidRDefault="00110428" w:rsidP="00E017C5">
            <w:pPr>
              <w:ind w:left="0"/>
              <w:jc w:val="right"/>
              <w:rPr>
                <w:rFonts w:cs="Lucida Sans Unicode"/>
                <w:bCs/>
                <w:position w:val="0"/>
                <w:szCs w:val="20"/>
              </w:rPr>
            </w:pPr>
            <w:r>
              <w:rPr>
                <w:rFonts w:cs="Lucida Sans Unicode"/>
                <w:bCs/>
                <w:position w:val="0"/>
                <w:szCs w:val="20"/>
              </w:rPr>
              <w:t>418</w:t>
            </w:r>
          </w:p>
        </w:tc>
        <w:tc>
          <w:tcPr>
            <w:tcW w:w="862" w:type="dxa"/>
            <w:shd w:val="clear" w:color="auto" w:fill="auto"/>
            <w:noWrap/>
            <w:vAlign w:val="bottom"/>
          </w:tcPr>
          <w:p w:rsidR="00110428" w:rsidRPr="00F73E17" w:rsidRDefault="00110428" w:rsidP="00E017C5">
            <w:pPr>
              <w:ind w:left="0"/>
              <w:jc w:val="right"/>
              <w:rPr>
                <w:rFonts w:cs="Lucida Sans Unicode"/>
                <w:bCs/>
                <w:position w:val="0"/>
                <w:szCs w:val="20"/>
              </w:rPr>
            </w:pPr>
            <w:r>
              <w:rPr>
                <w:rFonts w:cs="Lucida Sans Unicode"/>
                <w:bCs/>
                <w:position w:val="0"/>
                <w:szCs w:val="20"/>
              </w:rPr>
              <w:t>139</w:t>
            </w:r>
          </w:p>
        </w:tc>
        <w:tc>
          <w:tcPr>
            <w:tcW w:w="898" w:type="dxa"/>
            <w:shd w:val="clear" w:color="auto" w:fill="auto"/>
            <w:noWrap/>
            <w:vAlign w:val="bottom"/>
          </w:tcPr>
          <w:p w:rsidR="00110428" w:rsidRPr="00F73E17" w:rsidRDefault="00110428" w:rsidP="00E017C5">
            <w:pPr>
              <w:ind w:left="0"/>
              <w:jc w:val="right"/>
              <w:rPr>
                <w:rFonts w:cs="Lucida Sans Unicode"/>
                <w:bCs/>
                <w:position w:val="0"/>
                <w:szCs w:val="20"/>
              </w:rPr>
            </w:pPr>
            <w:r>
              <w:rPr>
                <w:rFonts w:cs="Lucida Sans Unicode"/>
                <w:bCs/>
                <w:position w:val="0"/>
                <w:szCs w:val="20"/>
              </w:rPr>
              <w:t>201</w:t>
            </w:r>
          </w:p>
        </w:tc>
        <w:tc>
          <w:tcPr>
            <w:tcW w:w="863" w:type="dxa"/>
            <w:shd w:val="clear" w:color="auto" w:fill="CCCCCC"/>
            <w:noWrap/>
            <w:vAlign w:val="bottom"/>
          </w:tcPr>
          <w:p w:rsidR="00110428" w:rsidRPr="00F73E17" w:rsidRDefault="00110428" w:rsidP="00E017C5">
            <w:pPr>
              <w:ind w:left="0"/>
              <w:jc w:val="right"/>
              <w:rPr>
                <w:rFonts w:cs="Lucida Sans Unicode"/>
                <w:bCs/>
                <w:position w:val="0"/>
                <w:szCs w:val="20"/>
              </w:rPr>
            </w:pPr>
            <w:r>
              <w:rPr>
                <w:rFonts w:cs="Lucida Sans Unicode"/>
                <w:bCs/>
                <w:position w:val="0"/>
                <w:szCs w:val="20"/>
              </w:rPr>
              <w:t>674</w:t>
            </w:r>
          </w:p>
        </w:tc>
        <w:tc>
          <w:tcPr>
            <w:tcW w:w="862" w:type="dxa"/>
            <w:shd w:val="clear" w:color="auto" w:fill="auto"/>
            <w:noWrap/>
            <w:vAlign w:val="bottom"/>
          </w:tcPr>
          <w:p w:rsidR="00110428" w:rsidRPr="00F73E17" w:rsidRDefault="00110428" w:rsidP="00E017C5">
            <w:pPr>
              <w:ind w:left="0"/>
              <w:jc w:val="right"/>
              <w:rPr>
                <w:rFonts w:cs="Lucida Sans Unicode"/>
                <w:bCs/>
                <w:position w:val="0"/>
                <w:szCs w:val="20"/>
              </w:rPr>
            </w:pPr>
            <w:r>
              <w:rPr>
                <w:rFonts w:cs="Lucida Sans Unicode"/>
                <w:bCs/>
                <w:position w:val="0"/>
                <w:szCs w:val="20"/>
              </w:rPr>
              <w:t>305</w:t>
            </w:r>
          </w:p>
        </w:tc>
        <w:tc>
          <w:tcPr>
            <w:tcW w:w="898" w:type="dxa"/>
            <w:shd w:val="clear" w:color="auto" w:fill="auto"/>
            <w:noWrap/>
            <w:vAlign w:val="bottom"/>
          </w:tcPr>
          <w:p w:rsidR="00110428" w:rsidRPr="00F73E17" w:rsidRDefault="00110428" w:rsidP="00E017C5">
            <w:pPr>
              <w:ind w:left="0"/>
              <w:jc w:val="right"/>
              <w:rPr>
                <w:rFonts w:cs="Lucida Sans Unicode"/>
                <w:bCs/>
                <w:position w:val="0"/>
                <w:szCs w:val="20"/>
              </w:rPr>
            </w:pPr>
            <w:r>
              <w:rPr>
                <w:rFonts w:cs="Lucida Sans Unicode"/>
                <w:bCs/>
                <w:position w:val="0"/>
                <w:szCs w:val="20"/>
              </w:rPr>
              <w:t>121</w:t>
            </w:r>
          </w:p>
        </w:tc>
      </w:tr>
      <w:tr w:rsidR="00110428" w:rsidRPr="00DA2E4E" w:rsidTr="009511D1">
        <w:trPr>
          <w:trHeight w:val="255"/>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DA2E4E" w:rsidRDefault="00110428" w:rsidP="00E017C5">
            <w:pPr>
              <w:ind w:left="0"/>
              <w:rPr>
                <w:rFonts w:cs="Lucida Sans Unicode"/>
                <w:b/>
                <w:position w:val="0"/>
                <w:szCs w:val="20"/>
              </w:rPr>
            </w:pPr>
            <w:r w:rsidRPr="00DA2E4E">
              <w:rPr>
                <w:rFonts w:cs="Lucida Sans Unicode"/>
                <w:b/>
                <w:position w:val="0"/>
                <w:szCs w:val="20"/>
              </w:rPr>
              <w:t>Bereinigtes Konzernergebnis</w:t>
            </w:r>
          </w:p>
        </w:tc>
        <w:tc>
          <w:tcPr>
            <w:tcW w:w="86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110428" w:rsidRPr="00DA2E4E" w:rsidRDefault="00110428" w:rsidP="00E017C5">
            <w:pPr>
              <w:ind w:left="0"/>
              <w:jc w:val="right"/>
              <w:rPr>
                <w:rFonts w:cs="Lucida Sans Unicode"/>
                <w:b/>
                <w:bCs/>
                <w:position w:val="0"/>
                <w:szCs w:val="20"/>
              </w:rPr>
            </w:pPr>
            <w:r>
              <w:rPr>
                <w:rFonts w:cs="Lucida Sans Unicode"/>
                <w:b/>
                <w:bCs/>
                <w:position w:val="0"/>
                <w:szCs w:val="20"/>
              </w:rPr>
              <w:t>307</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DA2E4E" w:rsidRDefault="00110428" w:rsidP="00E017C5">
            <w:pPr>
              <w:ind w:left="0"/>
              <w:jc w:val="right"/>
              <w:rPr>
                <w:rFonts w:cs="Lucida Sans Unicode"/>
                <w:b/>
                <w:bCs/>
                <w:position w:val="0"/>
                <w:szCs w:val="20"/>
              </w:rPr>
            </w:pPr>
            <w:r>
              <w:rPr>
                <w:rFonts w:cs="Lucida Sans Unicode"/>
                <w:b/>
                <w:bCs/>
                <w:position w:val="0"/>
                <w:szCs w:val="20"/>
              </w:rPr>
              <w:t>181</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DA2E4E" w:rsidRDefault="00110428" w:rsidP="00E017C5">
            <w:pPr>
              <w:ind w:left="0"/>
              <w:jc w:val="right"/>
              <w:rPr>
                <w:rFonts w:cs="Lucida Sans Unicode"/>
                <w:b/>
                <w:bCs/>
                <w:position w:val="0"/>
                <w:szCs w:val="20"/>
              </w:rPr>
            </w:pPr>
            <w:r>
              <w:rPr>
                <w:rFonts w:cs="Lucida Sans Unicode"/>
                <w:b/>
                <w:bCs/>
                <w:position w:val="0"/>
                <w:szCs w:val="20"/>
              </w:rPr>
              <w:t>70</w:t>
            </w:r>
          </w:p>
        </w:tc>
        <w:tc>
          <w:tcPr>
            <w:tcW w:w="86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110428" w:rsidRPr="00DA2E4E" w:rsidRDefault="00110428" w:rsidP="00E017C5">
            <w:pPr>
              <w:ind w:left="0"/>
              <w:jc w:val="right"/>
              <w:rPr>
                <w:rFonts w:cs="Lucida Sans Unicode"/>
                <w:b/>
                <w:bCs/>
                <w:position w:val="0"/>
                <w:szCs w:val="20"/>
              </w:rPr>
            </w:pPr>
            <w:r>
              <w:rPr>
                <w:rFonts w:cs="Lucida Sans Unicode"/>
                <w:b/>
                <w:bCs/>
                <w:position w:val="0"/>
                <w:szCs w:val="20"/>
              </w:rPr>
              <w:t>627</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DA2E4E" w:rsidRDefault="00110428" w:rsidP="00E017C5">
            <w:pPr>
              <w:ind w:left="0"/>
              <w:jc w:val="right"/>
              <w:rPr>
                <w:rFonts w:cs="Lucida Sans Unicode"/>
                <w:b/>
                <w:bCs/>
                <w:position w:val="0"/>
                <w:szCs w:val="20"/>
              </w:rPr>
            </w:pPr>
            <w:r>
              <w:rPr>
                <w:rFonts w:cs="Lucida Sans Unicode"/>
                <w:b/>
                <w:bCs/>
                <w:position w:val="0"/>
                <w:szCs w:val="20"/>
              </w:rPr>
              <w:t>375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DA2E4E" w:rsidRDefault="00110428" w:rsidP="00E017C5">
            <w:pPr>
              <w:ind w:left="0"/>
              <w:jc w:val="right"/>
              <w:rPr>
                <w:rFonts w:cs="Lucida Sans Unicode"/>
                <w:b/>
                <w:bCs/>
                <w:position w:val="0"/>
                <w:szCs w:val="20"/>
              </w:rPr>
            </w:pPr>
            <w:r>
              <w:rPr>
                <w:rFonts w:cs="Lucida Sans Unicode"/>
                <w:b/>
                <w:bCs/>
                <w:position w:val="0"/>
                <w:szCs w:val="20"/>
              </w:rPr>
              <w:t>67</w:t>
            </w:r>
          </w:p>
        </w:tc>
      </w:tr>
    </w:tbl>
    <w:p w:rsidR="00110428" w:rsidRPr="009511D1" w:rsidRDefault="00110428" w:rsidP="009511D1">
      <w:pPr>
        <w:spacing w:line="240" w:lineRule="auto"/>
        <w:ind w:left="0" w:right="0"/>
        <w:rPr>
          <w:bCs/>
          <w:sz w:val="16"/>
          <w:szCs w:val="16"/>
        </w:rPr>
      </w:pPr>
      <w:r w:rsidRPr="009511D1">
        <w:rPr>
          <w:bCs/>
          <w:sz w:val="16"/>
          <w:szCs w:val="16"/>
        </w:rPr>
        <w:t>Vorjahreszahlen angepasst</w:t>
      </w:r>
    </w:p>
    <w:p w:rsidR="00110428" w:rsidRDefault="00110428" w:rsidP="00110428">
      <w:pPr>
        <w:spacing w:line="300" w:lineRule="exact"/>
        <w:ind w:left="0"/>
        <w:outlineLvl w:val="0"/>
        <w:rPr>
          <w:rFonts w:cs="Lucida Sans Unicode"/>
          <w:b/>
          <w:bCs/>
          <w:sz w:val="20"/>
          <w:szCs w:val="20"/>
        </w:rPr>
      </w:pPr>
    </w:p>
    <w:p w:rsidR="00110428" w:rsidRDefault="00110428" w:rsidP="00110428">
      <w:pPr>
        <w:spacing w:after="120" w:line="300" w:lineRule="atLeast"/>
        <w:ind w:left="0"/>
        <w:rPr>
          <w:rFonts w:cs="Lucida Sans Unicode"/>
          <w:b/>
          <w:bCs/>
          <w:sz w:val="20"/>
          <w:szCs w:val="20"/>
        </w:rPr>
      </w:pPr>
      <w:r>
        <w:rPr>
          <w:rFonts w:cs="Lucida Sans Unicode"/>
          <w:b/>
          <w:bCs/>
          <w:sz w:val="20"/>
          <w:szCs w:val="20"/>
        </w:rPr>
        <w:t>Entwicklung in den Segmenten</w:t>
      </w:r>
    </w:p>
    <w:tbl>
      <w:tblPr>
        <w:tblW w:w="9884" w:type="dxa"/>
        <w:tblInd w:w="-5" w:type="dxa"/>
        <w:tblCellMar>
          <w:left w:w="70" w:type="dxa"/>
          <w:right w:w="70" w:type="dxa"/>
        </w:tblCellMar>
        <w:tblLook w:val="0000" w:firstRow="0" w:lastRow="0" w:firstColumn="0" w:lastColumn="0" w:noHBand="0" w:noVBand="0"/>
      </w:tblPr>
      <w:tblGrid>
        <w:gridCol w:w="3193"/>
        <w:gridCol w:w="1125"/>
        <w:gridCol w:w="1125"/>
        <w:gridCol w:w="1125"/>
        <w:gridCol w:w="1114"/>
        <w:gridCol w:w="1080"/>
        <w:gridCol w:w="45"/>
        <w:gridCol w:w="1077"/>
      </w:tblGrid>
      <w:tr w:rsidR="00110428" w:rsidTr="00110428">
        <w:trPr>
          <w:trHeight w:val="271"/>
        </w:trPr>
        <w:tc>
          <w:tcPr>
            <w:tcW w:w="3193" w:type="dxa"/>
            <w:tcBorders>
              <w:top w:val="single" w:sz="4" w:space="0" w:color="auto"/>
              <w:left w:val="single" w:sz="4" w:space="0" w:color="auto"/>
              <w:bottom w:val="nil"/>
              <w:right w:val="single" w:sz="4" w:space="0" w:color="auto"/>
            </w:tcBorders>
            <w:shd w:val="clear" w:color="auto" w:fill="auto"/>
            <w:noWrap/>
            <w:vAlign w:val="center"/>
          </w:tcPr>
          <w:p w:rsidR="00110428" w:rsidRDefault="00110428" w:rsidP="00110428">
            <w:pPr>
              <w:ind w:left="0"/>
              <w:jc w:val="right"/>
              <w:rPr>
                <w:rFonts w:cs="Lucida Sans Unicode"/>
                <w:b/>
                <w:bCs/>
                <w:szCs w:val="20"/>
              </w:rPr>
            </w:pPr>
            <w:r>
              <w:rPr>
                <w:rFonts w:cs="Lucida Sans Unicode"/>
                <w:b/>
                <w:bCs/>
                <w:szCs w:val="20"/>
              </w:rPr>
              <w:t> </w:t>
            </w:r>
          </w:p>
        </w:tc>
        <w:tc>
          <w:tcPr>
            <w:tcW w:w="3375" w:type="dxa"/>
            <w:gridSpan w:val="3"/>
            <w:tcBorders>
              <w:top w:val="single" w:sz="4" w:space="0" w:color="auto"/>
              <w:left w:val="nil"/>
              <w:bottom w:val="single" w:sz="4" w:space="0" w:color="auto"/>
              <w:right w:val="single" w:sz="4" w:space="0" w:color="000000"/>
            </w:tcBorders>
            <w:shd w:val="clear" w:color="auto" w:fill="auto"/>
            <w:noWrap/>
            <w:vAlign w:val="bottom"/>
          </w:tcPr>
          <w:p w:rsidR="00110428" w:rsidRDefault="00110428" w:rsidP="00110428">
            <w:pPr>
              <w:ind w:left="0"/>
              <w:jc w:val="center"/>
              <w:rPr>
                <w:rFonts w:cs="Lucida Sans Unicode"/>
                <w:b/>
                <w:bCs/>
                <w:szCs w:val="20"/>
              </w:rPr>
            </w:pPr>
            <w:r>
              <w:rPr>
                <w:rFonts w:cs="Lucida Sans Unicode"/>
                <w:b/>
                <w:bCs/>
                <w:szCs w:val="20"/>
              </w:rPr>
              <w:t xml:space="preserve">Umsatz 2. Quartal </w:t>
            </w:r>
          </w:p>
        </w:tc>
        <w:tc>
          <w:tcPr>
            <w:tcW w:w="3316" w:type="dxa"/>
            <w:gridSpan w:val="4"/>
            <w:tcBorders>
              <w:top w:val="single" w:sz="4" w:space="0" w:color="auto"/>
              <w:left w:val="nil"/>
              <w:bottom w:val="single" w:sz="4" w:space="0" w:color="auto"/>
              <w:right w:val="single" w:sz="4" w:space="0" w:color="auto"/>
            </w:tcBorders>
            <w:shd w:val="clear" w:color="auto" w:fill="auto"/>
            <w:noWrap/>
            <w:vAlign w:val="bottom"/>
          </w:tcPr>
          <w:p w:rsidR="00110428" w:rsidRDefault="00110428" w:rsidP="00110428">
            <w:pPr>
              <w:ind w:left="0"/>
              <w:jc w:val="center"/>
              <w:rPr>
                <w:rFonts w:cs="Lucida Sans Unicode"/>
                <w:b/>
                <w:bCs/>
                <w:szCs w:val="20"/>
              </w:rPr>
            </w:pPr>
            <w:r>
              <w:rPr>
                <w:rFonts w:cs="Lucida Sans Unicode"/>
                <w:b/>
                <w:bCs/>
                <w:szCs w:val="20"/>
              </w:rPr>
              <w:t>Bereinigtes EBITDA 2. Quartal</w:t>
            </w:r>
          </w:p>
        </w:tc>
      </w:tr>
      <w:tr w:rsidR="00110428" w:rsidTr="00110428">
        <w:trPr>
          <w:trHeight w:val="255"/>
        </w:trPr>
        <w:tc>
          <w:tcPr>
            <w:tcW w:w="3193" w:type="dxa"/>
            <w:tcBorders>
              <w:top w:val="nil"/>
              <w:left w:val="single" w:sz="4" w:space="0" w:color="auto"/>
              <w:bottom w:val="nil"/>
              <w:right w:val="single" w:sz="4" w:space="0" w:color="auto"/>
            </w:tcBorders>
            <w:shd w:val="clear" w:color="auto" w:fill="auto"/>
            <w:noWrap/>
            <w:vAlign w:val="center"/>
          </w:tcPr>
          <w:p w:rsidR="00110428" w:rsidRDefault="00110428" w:rsidP="00110428">
            <w:pPr>
              <w:ind w:left="0"/>
              <w:rPr>
                <w:rFonts w:cs="Lucida Sans Unicode"/>
                <w:b/>
                <w:bCs/>
                <w:szCs w:val="20"/>
              </w:rPr>
            </w:pPr>
          </w:p>
        </w:tc>
        <w:tc>
          <w:tcPr>
            <w:tcW w:w="1125" w:type="dxa"/>
            <w:tcBorders>
              <w:top w:val="single" w:sz="4" w:space="0" w:color="auto"/>
              <w:left w:val="nil"/>
              <w:right w:val="single" w:sz="4" w:space="0" w:color="auto"/>
            </w:tcBorders>
            <w:shd w:val="clear" w:color="auto" w:fill="CCCCCC"/>
            <w:noWrap/>
            <w:vAlign w:val="bottom"/>
          </w:tcPr>
          <w:p w:rsidR="00110428" w:rsidRDefault="00110428" w:rsidP="00110428">
            <w:pPr>
              <w:ind w:left="0"/>
              <w:jc w:val="center"/>
              <w:rPr>
                <w:rFonts w:cs="Lucida Sans Unicode"/>
                <w:b/>
                <w:bCs/>
                <w:szCs w:val="20"/>
              </w:rPr>
            </w:pPr>
            <w:r>
              <w:rPr>
                <w:rFonts w:cs="Lucida Sans Unicode"/>
                <w:b/>
                <w:bCs/>
                <w:szCs w:val="20"/>
              </w:rPr>
              <w:t>2015</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szCs w:val="20"/>
              </w:rPr>
            </w:pPr>
            <w:r>
              <w:rPr>
                <w:rFonts w:cs="Lucida Sans Unicode"/>
                <w:b/>
                <w:bCs/>
                <w:szCs w:val="20"/>
              </w:rPr>
              <w:t>2014</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szCs w:val="20"/>
              </w:rPr>
            </w:pPr>
            <w:proofErr w:type="spellStart"/>
            <w:r>
              <w:rPr>
                <w:rFonts w:cs="Lucida Sans Unicode"/>
                <w:b/>
                <w:bCs/>
                <w:szCs w:val="20"/>
              </w:rPr>
              <w:t>Veränd</w:t>
            </w:r>
            <w:proofErr w:type="spellEnd"/>
            <w:r>
              <w:rPr>
                <w:rFonts w:cs="Lucida Sans Unicode"/>
                <w:b/>
                <w:bCs/>
                <w:szCs w:val="20"/>
              </w:rPr>
              <w:t>.</w:t>
            </w:r>
          </w:p>
        </w:tc>
        <w:tc>
          <w:tcPr>
            <w:tcW w:w="1114" w:type="dxa"/>
            <w:tcBorders>
              <w:top w:val="single" w:sz="4" w:space="0" w:color="auto"/>
              <w:left w:val="nil"/>
              <w:right w:val="single" w:sz="4" w:space="0" w:color="auto"/>
            </w:tcBorders>
            <w:shd w:val="clear" w:color="auto" w:fill="CCCCCC"/>
            <w:noWrap/>
            <w:vAlign w:val="bottom"/>
          </w:tcPr>
          <w:p w:rsidR="00110428" w:rsidRDefault="00110428" w:rsidP="00110428">
            <w:pPr>
              <w:ind w:left="0"/>
              <w:jc w:val="center"/>
              <w:rPr>
                <w:rFonts w:cs="Lucida Sans Unicode"/>
                <w:b/>
                <w:bCs/>
                <w:szCs w:val="20"/>
              </w:rPr>
            </w:pPr>
            <w:r>
              <w:rPr>
                <w:rFonts w:cs="Lucida Sans Unicode"/>
                <w:b/>
                <w:bCs/>
                <w:szCs w:val="20"/>
              </w:rPr>
              <w:t>2015</w:t>
            </w:r>
          </w:p>
        </w:tc>
        <w:tc>
          <w:tcPr>
            <w:tcW w:w="1125" w:type="dxa"/>
            <w:gridSpan w:val="2"/>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szCs w:val="20"/>
              </w:rPr>
            </w:pPr>
            <w:r>
              <w:rPr>
                <w:rFonts w:cs="Lucida Sans Unicode"/>
                <w:b/>
                <w:bCs/>
                <w:szCs w:val="20"/>
              </w:rPr>
              <w:t>2014</w:t>
            </w:r>
          </w:p>
        </w:tc>
        <w:tc>
          <w:tcPr>
            <w:tcW w:w="1077" w:type="dxa"/>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szCs w:val="20"/>
              </w:rPr>
            </w:pPr>
            <w:proofErr w:type="spellStart"/>
            <w:r>
              <w:rPr>
                <w:rFonts w:cs="Lucida Sans Unicode"/>
                <w:b/>
                <w:bCs/>
                <w:szCs w:val="20"/>
              </w:rPr>
              <w:t>Veränd</w:t>
            </w:r>
            <w:proofErr w:type="spellEnd"/>
            <w:r>
              <w:rPr>
                <w:rFonts w:cs="Lucida Sans Unicode"/>
                <w:b/>
                <w:bCs/>
                <w:szCs w:val="20"/>
              </w:rPr>
              <w:t>.</w:t>
            </w:r>
          </w:p>
        </w:tc>
      </w:tr>
      <w:tr w:rsidR="00110428" w:rsidTr="00110428">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b/>
                <w:bCs/>
                <w:szCs w:val="20"/>
              </w:rPr>
            </w:pPr>
            <w:r>
              <w:rPr>
                <w:rFonts w:cs="Lucida Sans Unicode"/>
                <w:b/>
                <w:bCs/>
                <w:szCs w:val="20"/>
              </w:rPr>
              <w:t> </w:t>
            </w:r>
          </w:p>
        </w:tc>
        <w:tc>
          <w:tcPr>
            <w:tcW w:w="1125" w:type="dxa"/>
            <w:tcBorders>
              <w:left w:val="nil"/>
              <w:bottom w:val="single" w:sz="4" w:space="0" w:color="auto"/>
              <w:right w:val="single" w:sz="4" w:space="0" w:color="auto"/>
            </w:tcBorders>
            <w:shd w:val="clear" w:color="auto" w:fill="CCCCCC"/>
            <w:vAlign w:val="center"/>
          </w:tcPr>
          <w:p w:rsidR="00110428" w:rsidRDefault="00110428" w:rsidP="00110428">
            <w:pPr>
              <w:ind w:left="0"/>
              <w:jc w:val="center"/>
              <w:rPr>
                <w:rFonts w:cs="Lucida Sans Unicode"/>
                <w:b/>
                <w:bCs/>
                <w:szCs w:val="20"/>
              </w:rPr>
            </w:pPr>
            <w:r>
              <w:rPr>
                <w:rFonts w:cs="Lucida Sans Unicode"/>
                <w:b/>
                <w:bCs/>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szCs w:val="20"/>
              </w:rPr>
            </w:pPr>
            <w:r>
              <w:rPr>
                <w:rFonts w:cs="Lucida Sans Unicode"/>
                <w:b/>
                <w:bCs/>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szCs w:val="20"/>
              </w:rPr>
            </w:pPr>
            <w:r>
              <w:rPr>
                <w:rFonts w:cs="Lucida Sans Unicode"/>
                <w:b/>
                <w:bCs/>
                <w:szCs w:val="20"/>
              </w:rPr>
              <w:t>in %</w:t>
            </w:r>
          </w:p>
        </w:tc>
        <w:tc>
          <w:tcPr>
            <w:tcW w:w="1114" w:type="dxa"/>
            <w:tcBorders>
              <w:left w:val="nil"/>
              <w:bottom w:val="single" w:sz="4" w:space="0" w:color="auto"/>
              <w:right w:val="single" w:sz="4" w:space="0" w:color="auto"/>
            </w:tcBorders>
            <w:shd w:val="clear" w:color="auto" w:fill="CCCCCC"/>
            <w:vAlign w:val="center"/>
          </w:tcPr>
          <w:p w:rsidR="00110428" w:rsidRDefault="00110428" w:rsidP="00110428">
            <w:pPr>
              <w:ind w:left="0"/>
              <w:jc w:val="center"/>
              <w:rPr>
                <w:rFonts w:cs="Lucida Sans Unicode"/>
                <w:b/>
                <w:bCs/>
                <w:szCs w:val="20"/>
              </w:rPr>
            </w:pPr>
            <w:r>
              <w:rPr>
                <w:rFonts w:cs="Lucida Sans Unicode"/>
                <w:b/>
                <w:bCs/>
                <w:szCs w:val="20"/>
              </w:rPr>
              <w:t>Mio. €</w:t>
            </w:r>
          </w:p>
        </w:tc>
        <w:tc>
          <w:tcPr>
            <w:tcW w:w="1125" w:type="dxa"/>
            <w:gridSpan w:val="2"/>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szCs w:val="20"/>
              </w:rPr>
            </w:pPr>
            <w:r>
              <w:rPr>
                <w:rFonts w:cs="Lucida Sans Unicode"/>
                <w:b/>
                <w:bCs/>
                <w:szCs w:val="20"/>
              </w:rPr>
              <w:t>Mio. €</w:t>
            </w:r>
          </w:p>
        </w:tc>
        <w:tc>
          <w:tcPr>
            <w:tcW w:w="1077" w:type="dxa"/>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szCs w:val="20"/>
              </w:rPr>
            </w:pPr>
            <w:r>
              <w:rPr>
                <w:rFonts w:cs="Lucida Sans Unicode"/>
                <w:b/>
                <w:bCs/>
                <w:szCs w:val="20"/>
              </w:rPr>
              <w:t>in %</w:t>
            </w:r>
          </w:p>
        </w:tc>
      </w:tr>
      <w:tr w:rsidR="00110428" w:rsidTr="00110428">
        <w:trPr>
          <w:trHeight w:val="300"/>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Nutrition &amp; Care</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1.248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983</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27</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381</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186</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105</w:t>
            </w:r>
          </w:p>
        </w:tc>
      </w:tr>
      <w:tr w:rsidR="00110428" w:rsidTr="00110428">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1.110</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1.043</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6</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254</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226</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12</w:t>
            </w:r>
          </w:p>
        </w:tc>
      </w:tr>
      <w:tr w:rsidR="00110428" w:rsidTr="00110428">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Performance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938</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979</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82</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83</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-1</w:t>
            </w:r>
          </w:p>
        </w:tc>
      </w:tr>
      <w:tr w:rsidR="00110428" w:rsidTr="00110428">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211</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223</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31</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45</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-31</w:t>
            </w:r>
          </w:p>
        </w:tc>
      </w:tr>
      <w:tr w:rsidR="00110428" w:rsidTr="00110428">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Sonstige Aktivitäten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Pr="00A03972" w:rsidRDefault="00110428" w:rsidP="00110428">
            <w:pPr>
              <w:ind w:left="0"/>
              <w:jc w:val="right"/>
              <w:rPr>
                <w:rFonts w:cs="Lucida Sans Unicode"/>
                <w:position w:val="0"/>
                <w:szCs w:val="20"/>
              </w:rPr>
            </w:pPr>
            <w:r>
              <w:rPr>
                <w:rFonts w:cs="Lucida Sans Unicode"/>
                <w:position w:val="0"/>
                <w:szCs w:val="20"/>
              </w:rPr>
              <w:t>12</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19</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-87</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-69</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w:t>
            </w:r>
          </w:p>
        </w:tc>
      </w:tr>
      <w:tr w:rsidR="00110428" w:rsidRPr="00DA2E4E" w:rsidTr="00110428">
        <w:trPr>
          <w:trHeight w:val="300"/>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Pr="00DA2E4E" w:rsidRDefault="00110428" w:rsidP="00110428">
            <w:pPr>
              <w:ind w:left="0"/>
              <w:rPr>
                <w:rFonts w:cs="Lucida Sans Unicode"/>
                <w:b/>
                <w:bCs/>
                <w:position w:val="0"/>
                <w:szCs w:val="20"/>
              </w:rPr>
            </w:pPr>
            <w:r w:rsidRPr="00DA2E4E">
              <w:rPr>
                <w:rFonts w:cs="Lucida Sans Unicode"/>
                <w:b/>
                <w:bCs/>
                <w:position w:val="0"/>
                <w:szCs w:val="20"/>
              </w:rPr>
              <w:t>Konzern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Pr="00AB1DB9" w:rsidRDefault="00110428" w:rsidP="00110428">
            <w:pPr>
              <w:ind w:left="0"/>
              <w:jc w:val="right"/>
              <w:rPr>
                <w:rFonts w:cs="Lucida Sans Unicode"/>
                <w:bCs/>
                <w:position w:val="0"/>
                <w:szCs w:val="20"/>
              </w:rPr>
            </w:pPr>
            <w:r>
              <w:rPr>
                <w:rFonts w:cs="Lucida Sans Unicode"/>
                <w:bCs/>
                <w:position w:val="0"/>
                <w:szCs w:val="20"/>
              </w:rPr>
              <w:t>3.519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Pr="00AB1DB9" w:rsidRDefault="00110428" w:rsidP="00110428">
            <w:pPr>
              <w:ind w:left="0"/>
              <w:jc w:val="right"/>
              <w:rPr>
                <w:rFonts w:cs="Lucida Sans Unicode"/>
                <w:bCs/>
                <w:position w:val="0"/>
                <w:szCs w:val="20"/>
              </w:rPr>
            </w:pPr>
            <w:r>
              <w:rPr>
                <w:rFonts w:cs="Lucida Sans Unicode"/>
                <w:bCs/>
                <w:position w:val="0"/>
                <w:szCs w:val="20"/>
              </w:rPr>
              <w:t>3.247</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AB1DB9" w:rsidRDefault="00110428" w:rsidP="00110428">
            <w:pPr>
              <w:ind w:left="0"/>
              <w:jc w:val="right"/>
              <w:rPr>
                <w:rFonts w:cs="Lucida Sans Unicode"/>
                <w:bCs/>
                <w:position w:val="0"/>
                <w:szCs w:val="20"/>
              </w:rPr>
            </w:pPr>
            <w:r>
              <w:rPr>
                <w:rFonts w:cs="Lucida Sans Unicode"/>
                <w:bCs/>
                <w:position w:val="0"/>
                <w:szCs w:val="20"/>
              </w:rPr>
              <w:t>8</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Pr="00AB1DB9" w:rsidRDefault="00110428" w:rsidP="00110428">
            <w:pPr>
              <w:ind w:left="0"/>
              <w:jc w:val="right"/>
              <w:rPr>
                <w:rFonts w:cs="Lucida Sans Unicode"/>
                <w:bCs/>
                <w:position w:val="0"/>
                <w:szCs w:val="20"/>
              </w:rPr>
            </w:pPr>
            <w:r>
              <w:rPr>
                <w:rFonts w:cs="Lucida Sans Unicode"/>
                <w:bCs/>
                <w:position w:val="0"/>
                <w:szCs w:val="20"/>
              </w:rPr>
              <w:t>661</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Pr="00AB1DB9" w:rsidRDefault="00110428" w:rsidP="00110428">
            <w:pPr>
              <w:ind w:left="0"/>
              <w:jc w:val="right"/>
              <w:rPr>
                <w:rFonts w:cs="Lucida Sans Unicode"/>
                <w:bCs/>
                <w:position w:val="0"/>
                <w:szCs w:val="20"/>
              </w:rPr>
            </w:pPr>
            <w:r>
              <w:rPr>
                <w:rFonts w:cs="Lucida Sans Unicode"/>
                <w:bCs/>
                <w:position w:val="0"/>
                <w:szCs w:val="20"/>
              </w:rPr>
              <w:t>471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AB1DB9" w:rsidRDefault="00110428" w:rsidP="00110428">
            <w:pPr>
              <w:ind w:left="0"/>
              <w:jc w:val="right"/>
              <w:rPr>
                <w:rFonts w:cs="Lucida Sans Unicode"/>
                <w:bCs/>
                <w:position w:val="0"/>
                <w:szCs w:val="20"/>
              </w:rPr>
            </w:pPr>
            <w:r>
              <w:rPr>
                <w:rFonts w:cs="Lucida Sans Unicode"/>
                <w:bCs/>
                <w:position w:val="0"/>
                <w:szCs w:val="20"/>
              </w:rPr>
              <w:t>40</w:t>
            </w:r>
          </w:p>
        </w:tc>
      </w:tr>
      <w:tr w:rsidR="00110428" w:rsidTr="00110428">
        <w:trPr>
          <w:trHeight w:val="255"/>
        </w:trPr>
        <w:tc>
          <w:tcPr>
            <w:tcW w:w="3193" w:type="dxa"/>
            <w:tcBorders>
              <w:top w:val="single" w:sz="4" w:space="0" w:color="auto"/>
              <w:left w:val="single" w:sz="4" w:space="0" w:color="auto"/>
              <w:bottom w:val="nil"/>
              <w:right w:val="single" w:sz="4" w:space="0" w:color="auto"/>
            </w:tcBorders>
            <w:shd w:val="clear" w:color="auto" w:fill="auto"/>
            <w:noWrap/>
            <w:vAlign w:val="center"/>
          </w:tcPr>
          <w:p w:rsidR="00110428" w:rsidRDefault="00110428" w:rsidP="00110428">
            <w:pPr>
              <w:ind w:left="0"/>
              <w:jc w:val="right"/>
              <w:rPr>
                <w:rFonts w:cs="Lucida Sans Unicode"/>
                <w:b/>
                <w:bCs/>
                <w:position w:val="0"/>
                <w:szCs w:val="20"/>
              </w:rPr>
            </w:pPr>
            <w:r>
              <w:rPr>
                <w:rFonts w:cs="Lucida Sans Unicode"/>
                <w:b/>
                <w:bCs/>
                <w:position w:val="0"/>
                <w:szCs w:val="20"/>
              </w:rPr>
              <w:t> </w:t>
            </w:r>
          </w:p>
        </w:tc>
        <w:tc>
          <w:tcPr>
            <w:tcW w:w="3375" w:type="dxa"/>
            <w:gridSpan w:val="3"/>
            <w:tcBorders>
              <w:top w:val="single" w:sz="4" w:space="0" w:color="auto"/>
              <w:left w:val="nil"/>
              <w:bottom w:val="single" w:sz="4" w:space="0" w:color="auto"/>
              <w:right w:val="single" w:sz="4" w:space="0" w:color="auto"/>
            </w:tcBorders>
            <w:shd w:val="clear" w:color="auto" w:fill="auto"/>
            <w:noWrap/>
            <w:vAlign w:val="bottom"/>
          </w:tcPr>
          <w:p w:rsidR="00110428" w:rsidRDefault="00110428" w:rsidP="00110428">
            <w:pPr>
              <w:ind w:left="0"/>
              <w:jc w:val="center"/>
              <w:rPr>
                <w:rFonts w:cs="Lucida Sans Unicode"/>
                <w:b/>
                <w:bCs/>
                <w:position w:val="0"/>
                <w:szCs w:val="20"/>
              </w:rPr>
            </w:pPr>
            <w:r>
              <w:rPr>
                <w:rFonts w:cs="Lucida Sans Unicode"/>
                <w:b/>
                <w:bCs/>
                <w:position w:val="0"/>
                <w:szCs w:val="20"/>
              </w:rPr>
              <w:t>Umsatz 1. Halbjahr</w:t>
            </w:r>
          </w:p>
        </w:tc>
        <w:tc>
          <w:tcPr>
            <w:tcW w:w="3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center"/>
              <w:rPr>
                <w:rFonts w:cs="Lucida Sans Unicode"/>
                <w:b/>
                <w:bCs/>
                <w:position w:val="0"/>
                <w:szCs w:val="20"/>
              </w:rPr>
            </w:pPr>
            <w:r>
              <w:rPr>
                <w:rFonts w:cs="Lucida Sans Unicode"/>
                <w:b/>
                <w:bCs/>
                <w:position w:val="0"/>
                <w:szCs w:val="20"/>
              </w:rPr>
              <w:t>Bereinigtes EBITDA 1. Halbjahr</w:t>
            </w:r>
          </w:p>
        </w:tc>
      </w:tr>
      <w:tr w:rsidR="00110428" w:rsidTr="00110428">
        <w:trPr>
          <w:trHeight w:val="255"/>
        </w:trPr>
        <w:tc>
          <w:tcPr>
            <w:tcW w:w="3193" w:type="dxa"/>
            <w:tcBorders>
              <w:top w:val="nil"/>
              <w:left w:val="single" w:sz="4" w:space="0" w:color="auto"/>
              <w:bottom w:val="nil"/>
              <w:right w:val="single" w:sz="4" w:space="0" w:color="auto"/>
            </w:tcBorders>
            <w:shd w:val="clear" w:color="auto" w:fill="auto"/>
            <w:noWrap/>
            <w:vAlign w:val="center"/>
          </w:tcPr>
          <w:p w:rsidR="00110428" w:rsidRDefault="00110428" w:rsidP="00110428">
            <w:pPr>
              <w:ind w:left="0"/>
              <w:rPr>
                <w:rFonts w:cs="Lucida Sans Unicode"/>
                <w:b/>
                <w:bCs/>
                <w:position w:val="0"/>
                <w:szCs w:val="20"/>
              </w:rPr>
            </w:pPr>
          </w:p>
        </w:tc>
        <w:tc>
          <w:tcPr>
            <w:tcW w:w="1125" w:type="dxa"/>
            <w:tcBorders>
              <w:top w:val="single" w:sz="4" w:space="0" w:color="auto"/>
              <w:left w:val="nil"/>
              <w:right w:val="single" w:sz="4" w:space="0" w:color="auto"/>
            </w:tcBorders>
            <w:shd w:val="clear" w:color="auto" w:fill="CCCCCC"/>
            <w:noWrap/>
            <w:vAlign w:val="bottom"/>
          </w:tcPr>
          <w:p w:rsidR="00110428" w:rsidRDefault="00110428" w:rsidP="00110428">
            <w:pPr>
              <w:ind w:left="0"/>
              <w:jc w:val="center"/>
              <w:rPr>
                <w:rFonts w:cs="Lucida Sans Unicode"/>
                <w:b/>
                <w:bCs/>
                <w:position w:val="0"/>
                <w:szCs w:val="20"/>
              </w:rPr>
            </w:pPr>
            <w:r>
              <w:rPr>
                <w:rFonts w:cs="Lucida Sans Unicode"/>
                <w:b/>
                <w:bCs/>
                <w:position w:val="0"/>
                <w:szCs w:val="20"/>
              </w:rPr>
              <w:t>2015</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position w:val="0"/>
                <w:szCs w:val="20"/>
              </w:rPr>
            </w:pPr>
            <w:r>
              <w:rPr>
                <w:rFonts w:cs="Lucida Sans Unicode"/>
                <w:b/>
                <w:bCs/>
                <w:position w:val="0"/>
                <w:szCs w:val="20"/>
              </w:rPr>
              <w:t>2014</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position w:val="0"/>
                <w:szCs w:val="20"/>
              </w:rPr>
            </w:pPr>
            <w:proofErr w:type="spellStart"/>
            <w:r>
              <w:rPr>
                <w:rFonts w:cs="Lucida Sans Unicode"/>
                <w:b/>
                <w:bCs/>
                <w:position w:val="0"/>
                <w:szCs w:val="20"/>
              </w:rPr>
              <w:t>Veränd</w:t>
            </w:r>
            <w:proofErr w:type="spellEnd"/>
            <w:r>
              <w:rPr>
                <w:rFonts w:cs="Lucida Sans Unicode"/>
                <w:b/>
                <w:bCs/>
                <w:position w:val="0"/>
                <w:szCs w:val="20"/>
              </w:rPr>
              <w:t>.</w:t>
            </w:r>
          </w:p>
        </w:tc>
        <w:tc>
          <w:tcPr>
            <w:tcW w:w="1114" w:type="dxa"/>
            <w:tcBorders>
              <w:top w:val="single" w:sz="4" w:space="0" w:color="auto"/>
              <w:left w:val="nil"/>
              <w:right w:val="single" w:sz="4" w:space="0" w:color="auto"/>
            </w:tcBorders>
            <w:shd w:val="clear" w:color="auto" w:fill="CCCCCC"/>
            <w:noWrap/>
            <w:vAlign w:val="bottom"/>
          </w:tcPr>
          <w:p w:rsidR="00110428" w:rsidRDefault="00110428" w:rsidP="00110428">
            <w:pPr>
              <w:ind w:left="0"/>
              <w:jc w:val="center"/>
              <w:rPr>
                <w:rFonts w:cs="Lucida Sans Unicode"/>
                <w:b/>
                <w:bCs/>
                <w:position w:val="0"/>
                <w:szCs w:val="20"/>
              </w:rPr>
            </w:pPr>
            <w:r>
              <w:rPr>
                <w:rFonts w:cs="Lucida Sans Unicode"/>
                <w:b/>
                <w:bCs/>
                <w:position w:val="0"/>
                <w:szCs w:val="20"/>
              </w:rPr>
              <w:t xml:space="preserve"> 2015</w:t>
            </w:r>
          </w:p>
        </w:tc>
        <w:tc>
          <w:tcPr>
            <w:tcW w:w="1080" w:type="dxa"/>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position w:val="0"/>
                <w:szCs w:val="20"/>
              </w:rPr>
            </w:pPr>
            <w:r>
              <w:rPr>
                <w:rFonts w:cs="Lucida Sans Unicode"/>
                <w:b/>
                <w:bCs/>
                <w:position w:val="0"/>
                <w:szCs w:val="20"/>
              </w:rPr>
              <w:t xml:space="preserve"> 2014</w:t>
            </w:r>
          </w:p>
        </w:tc>
        <w:tc>
          <w:tcPr>
            <w:tcW w:w="1122" w:type="dxa"/>
            <w:gridSpan w:val="2"/>
            <w:tcBorders>
              <w:top w:val="single" w:sz="4" w:space="0" w:color="auto"/>
              <w:left w:val="single" w:sz="4" w:space="0" w:color="auto"/>
              <w:bottom w:val="nil"/>
              <w:right w:val="single" w:sz="4" w:space="0" w:color="auto"/>
            </w:tcBorders>
            <w:shd w:val="clear" w:color="auto" w:fill="auto"/>
            <w:noWrap/>
            <w:vAlign w:val="bottom"/>
          </w:tcPr>
          <w:p w:rsidR="00110428" w:rsidRDefault="00110428" w:rsidP="00110428">
            <w:pPr>
              <w:ind w:left="0"/>
              <w:jc w:val="center"/>
              <w:rPr>
                <w:rFonts w:cs="Lucida Sans Unicode"/>
                <w:b/>
                <w:bCs/>
                <w:position w:val="0"/>
                <w:szCs w:val="20"/>
              </w:rPr>
            </w:pPr>
            <w:proofErr w:type="spellStart"/>
            <w:r>
              <w:rPr>
                <w:rFonts w:cs="Lucida Sans Unicode"/>
                <w:b/>
                <w:bCs/>
                <w:position w:val="0"/>
                <w:szCs w:val="20"/>
              </w:rPr>
              <w:t>Veränd</w:t>
            </w:r>
            <w:proofErr w:type="spellEnd"/>
            <w:r>
              <w:rPr>
                <w:rFonts w:cs="Lucida Sans Unicode"/>
                <w:b/>
                <w:bCs/>
                <w:position w:val="0"/>
                <w:szCs w:val="20"/>
              </w:rPr>
              <w:t>.</w:t>
            </w:r>
          </w:p>
        </w:tc>
      </w:tr>
      <w:tr w:rsidR="00110428" w:rsidTr="00110428">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b/>
                <w:bCs/>
                <w:position w:val="0"/>
                <w:szCs w:val="20"/>
              </w:rPr>
            </w:pPr>
            <w:r>
              <w:rPr>
                <w:rFonts w:cs="Lucida Sans Unicode"/>
                <w:b/>
                <w:bCs/>
                <w:position w:val="0"/>
                <w:szCs w:val="20"/>
              </w:rPr>
              <w:t> </w:t>
            </w:r>
          </w:p>
        </w:tc>
        <w:tc>
          <w:tcPr>
            <w:tcW w:w="1125" w:type="dxa"/>
            <w:tcBorders>
              <w:left w:val="nil"/>
              <w:bottom w:val="single" w:sz="4" w:space="0" w:color="auto"/>
              <w:right w:val="single" w:sz="4" w:space="0" w:color="auto"/>
            </w:tcBorders>
            <w:shd w:val="clear" w:color="auto" w:fill="CCCCCC"/>
            <w:vAlign w:val="center"/>
          </w:tcPr>
          <w:p w:rsidR="00110428" w:rsidRDefault="00110428" w:rsidP="00110428">
            <w:pPr>
              <w:ind w:left="0"/>
              <w:jc w:val="center"/>
              <w:rPr>
                <w:rFonts w:cs="Lucida Sans Unicode"/>
                <w:b/>
                <w:bCs/>
                <w:position w:val="0"/>
                <w:szCs w:val="20"/>
              </w:rPr>
            </w:pPr>
            <w:r>
              <w:rPr>
                <w:rFonts w:cs="Lucida Sans Unicode"/>
                <w:b/>
                <w:bCs/>
                <w:position w:val="0"/>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position w:val="0"/>
                <w:szCs w:val="20"/>
              </w:rPr>
            </w:pPr>
            <w:r>
              <w:rPr>
                <w:rFonts w:cs="Lucida Sans Unicode"/>
                <w:b/>
                <w:bCs/>
                <w:position w:val="0"/>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position w:val="0"/>
                <w:szCs w:val="20"/>
              </w:rPr>
            </w:pPr>
            <w:r>
              <w:rPr>
                <w:rFonts w:cs="Lucida Sans Unicode"/>
                <w:b/>
                <w:bCs/>
                <w:position w:val="0"/>
                <w:szCs w:val="20"/>
              </w:rPr>
              <w:t>in %</w:t>
            </w:r>
          </w:p>
        </w:tc>
        <w:tc>
          <w:tcPr>
            <w:tcW w:w="1114" w:type="dxa"/>
            <w:tcBorders>
              <w:left w:val="nil"/>
              <w:bottom w:val="single" w:sz="4" w:space="0" w:color="auto"/>
              <w:right w:val="single" w:sz="4" w:space="0" w:color="auto"/>
            </w:tcBorders>
            <w:shd w:val="clear" w:color="auto" w:fill="CCCCCC"/>
            <w:vAlign w:val="center"/>
          </w:tcPr>
          <w:p w:rsidR="00110428" w:rsidRDefault="00110428" w:rsidP="00110428">
            <w:pPr>
              <w:ind w:left="0"/>
              <w:jc w:val="center"/>
              <w:rPr>
                <w:rFonts w:cs="Lucida Sans Unicode"/>
                <w:b/>
                <w:bCs/>
                <w:position w:val="0"/>
                <w:szCs w:val="20"/>
              </w:rPr>
            </w:pPr>
            <w:r>
              <w:rPr>
                <w:rFonts w:cs="Lucida Sans Unicode"/>
                <w:b/>
                <w:bCs/>
                <w:position w:val="0"/>
                <w:szCs w:val="20"/>
              </w:rPr>
              <w:t>Mio. €</w:t>
            </w:r>
          </w:p>
        </w:tc>
        <w:tc>
          <w:tcPr>
            <w:tcW w:w="1080" w:type="dxa"/>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position w:val="0"/>
                <w:szCs w:val="20"/>
              </w:rPr>
            </w:pPr>
            <w:r>
              <w:rPr>
                <w:rFonts w:cs="Lucida Sans Unicode"/>
                <w:b/>
                <w:bCs/>
                <w:position w:val="0"/>
                <w:szCs w:val="20"/>
              </w:rPr>
              <w:t>Mio. €</w:t>
            </w:r>
          </w:p>
        </w:tc>
        <w:tc>
          <w:tcPr>
            <w:tcW w:w="1122" w:type="dxa"/>
            <w:gridSpan w:val="2"/>
            <w:tcBorders>
              <w:top w:val="nil"/>
              <w:left w:val="single" w:sz="4" w:space="0" w:color="auto"/>
              <w:bottom w:val="single" w:sz="4" w:space="0" w:color="auto"/>
              <w:right w:val="single" w:sz="4" w:space="0" w:color="auto"/>
            </w:tcBorders>
            <w:shd w:val="clear" w:color="auto" w:fill="auto"/>
            <w:vAlign w:val="center"/>
          </w:tcPr>
          <w:p w:rsidR="00110428" w:rsidRDefault="00110428" w:rsidP="00110428">
            <w:pPr>
              <w:ind w:left="0"/>
              <w:jc w:val="center"/>
              <w:rPr>
                <w:rFonts w:cs="Lucida Sans Unicode"/>
                <w:b/>
                <w:bCs/>
                <w:position w:val="0"/>
                <w:szCs w:val="20"/>
              </w:rPr>
            </w:pPr>
            <w:r>
              <w:rPr>
                <w:rFonts w:cs="Lucida Sans Unicode"/>
                <w:b/>
                <w:bCs/>
                <w:position w:val="0"/>
                <w:szCs w:val="20"/>
              </w:rPr>
              <w:t>in %</w:t>
            </w:r>
          </w:p>
        </w:tc>
      </w:tr>
      <w:tr w:rsidR="00110428" w:rsidTr="00110428">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Nutrition &amp; Care</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2.476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1.945</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27</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734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372</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97</w:t>
            </w:r>
          </w:p>
        </w:tc>
      </w:tr>
      <w:tr w:rsidR="00110428" w:rsidTr="00110428">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2.233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2.042</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9</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498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447</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11</w:t>
            </w:r>
          </w:p>
        </w:tc>
      </w:tr>
      <w:tr w:rsidR="00110428" w:rsidTr="00110428">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Performance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1.788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1.978</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-10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154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163</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-6</w:t>
            </w:r>
          </w:p>
        </w:tc>
      </w:tr>
      <w:tr w:rsidR="00110428" w:rsidTr="00110428">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419</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454</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-8</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77</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88</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-13</w:t>
            </w:r>
          </w:p>
        </w:tc>
      </w:tr>
      <w:tr w:rsidR="00110428" w:rsidTr="00110428">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rPr>
                <w:rFonts w:cs="Lucida Sans Unicode"/>
                <w:position w:val="0"/>
                <w:szCs w:val="20"/>
              </w:rPr>
            </w:pPr>
            <w:r>
              <w:rPr>
                <w:rFonts w:cs="Lucida Sans Unicode"/>
                <w:position w:val="0"/>
                <w:szCs w:val="20"/>
              </w:rPr>
              <w:t>Sonstige Aktivitäten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28</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29</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Default="00110428" w:rsidP="00110428">
            <w:pPr>
              <w:ind w:left="0"/>
              <w:jc w:val="right"/>
              <w:rPr>
                <w:rFonts w:cs="Lucida Sans Unicode"/>
                <w:position w:val="0"/>
                <w:szCs w:val="20"/>
              </w:rPr>
            </w:pPr>
            <w:r>
              <w:rPr>
                <w:rFonts w:cs="Lucida Sans Unicode"/>
                <w:position w:val="0"/>
                <w:szCs w:val="20"/>
              </w:rPr>
              <w:t>-152</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110428" w:rsidRDefault="00110428" w:rsidP="00110428">
            <w:pPr>
              <w:ind w:left="0"/>
              <w:jc w:val="right"/>
              <w:rPr>
                <w:rFonts w:cs="Lucida Sans Unicode"/>
                <w:position w:val="0"/>
                <w:szCs w:val="20"/>
              </w:rPr>
            </w:pPr>
            <w:r>
              <w:rPr>
                <w:rFonts w:cs="Lucida Sans Unicode"/>
                <w:position w:val="0"/>
                <w:szCs w:val="20"/>
              </w:rPr>
              <w:t>-134</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110428" w:rsidRDefault="00110428" w:rsidP="00110428">
            <w:pPr>
              <w:ind w:left="0"/>
              <w:jc w:val="right"/>
              <w:rPr>
                <w:rFonts w:cs="Lucida Sans Unicode"/>
                <w:position w:val="0"/>
                <w:szCs w:val="20"/>
              </w:rPr>
            </w:pPr>
            <w:r>
              <w:rPr>
                <w:rFonts w:cs="Lucida Sans Unicode"/>
                <w:position w:val="0"/>
                <w:szCs w:val="20"/>
              </w:rPr>
              <w:t>-</w:t>
            </w:r>
          </w:p>
        </w:tc>
      </w:tr>
      <w:tr w:rsidR="00110428" w:rsidRPr="00DA2E4E" w:rsidTr="00110428">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Pr="00DA2E4E" w:rsidRDefault="00110428" w:rsidP="00110428">
            <w:pPr>
              <w:ind w:left="0"/>
              <w:rPr>
                <w:rFonts w:cs="Lucida Sans Unicode"/>
                <w:b/>
                <w:bCs/>
                <w:position w:val="0"/>
                <w:szCs w:val="20"/>
              </w:rPr>
            </w:pPr>
            <w:r w:rsidRPr="00DA2E4E">
              <w:rPr>
                <w:rFonts w:cs="Lucida Sans Unicode"/>
                <w:b/>
                <w:bCs/>
                <w:position w:val="0"/>
                <w:szCs w:val="20"/>
              </w:rPr>
              <w:t>Konzern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110428" w:rsidRPr="00AB1DB9" w:rsidRDefault="00110428" w:rsidP="00110428">
            <w:pPr>
              <w:ind w:left="0"/>
              <w:jc w:val="right"/>
              <w:rPr>
                <w:rFonts w:cs="Lucida Sans Unicode"/>
                <w:bCs/>
                <w:position w:val="0"/>
                <w:szCs w:val="20"/>
              </w:rPr>
            </w:pPr>
            <w:r>
              <w:rPr>
                <w:rFonts w:cs="Lucida Sans Unicode"/>
                <w:bCs/>
                <w:position w:val="0"/>
                <w:szCs w:val="20"/>
              </w:rPr>
              <w:t>6.944</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Pr="00AB1DB9" w:rsidRDefault="00110428" w:rsidP="00110428">
            <w:pPr>
              <w:ind w:left="0"/>
              <w:jc w:val="right"/>
              <w:rPr>
                <w:rFonts w:cs="Lucida Sans Unicode"/>
                <w:bCs/>
                <w:position w:val="0"/>
                <w:szCs w:val="20"/>
              </w:rPr>
            </w:pPr>
            <w:r>
              <w:rPr>
                <w:rFonts w:cs="Lucida Sans Unicode"/>
                <w:bCs/>
                <w:position w:val="0"/>
                <w:szCs w:val="20"/>
              </w:rPr>
              <w:t>6.448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AB1DB9" w:rsidRDefault="00110428" w:rsidP="00110428">
            <w:pPr>
              <w:ind w:left="0"/>
              <w:jc w:val="right"/>
              <w:rPr>
                <w:rFonts w:cs="Lucida Sans Unicode"/>
                <w:bCs/>
                <w:position w:val="0"/>
                <w:szCs w:val="20"/>
              </w:rPr>
            </w:pPr>
            <w:r>
              <w:rPr>
                <w:rFonts w:cs="Lucida Sans Unicode"/>
                <w:bCs/>
                <w:position w:val="0"/>
                <w:szCs w:val="20"/>
              </w:rPr>
              <w:t>8</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110428" w:rsidRPr="00AB1DB9" w:rsidRDefault="00110428" w:rsidP="00110428">
            <w:pPr>
              <w:ind w:left="0"/>
              <w:jc w:val="right"/>
              <w:rPr>
                <w:rFonts w:cs="Lucida Sans Unicode"/>
                <w:bCs/>
                <w:position w:val="0"/>
                <w:szCs w:val="20"/>
              </w:rPr>
            </w:pPr>
            <w:r>
              <w:rPr>
                <w:rFonts w:cs="Lucida Sans Unicode"/>
                <w:bCs/>
                <w:position w:val="0"/>
                <w:szCs w:val="20"/>
              </w:rPr>
              <w:t>1.311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428" w:rsidRPr="00AB1DB9" w:rsidRDefault="00110428" w:rsidP="00110428">
            <w:pPr>
              <w:ind w:left="0"/>
              <w:jc w:val="right"/>
              <w:rPr>
                <w:rFonts w:cs="Lucida Sans Unicode"/>
                <w:bCs/>
                <w:position w:val="0"/>
                <w:szCs w:val="20"/>
              </w:rPr>
            </w:pPr>
            <w:r>
              <w:rPr>
                <w:rFonts w:cs="Lucida Sans Unicode"/>
                <w:bCs/>
                <w:position w:val="0"/>
                <w:szCs w:val="20"/>
              </w:rPr>
              <w:t>936</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10428" w:rsidRPr="00AB1DB9" w:rsidRDefault="00110428" w:rsidP="00110428">
            <w:pPr>
              <w:ind w:left="0"/>
              <w:jc w:val="right"/>
              <w:rPr>
                <w:rFonts w:cs="Lucida Sans Unicode"/>
                <w:bCs/>
                <w:position w:val="0"/>
                <w:szCs w:val="20"/>
              </w:rPr>
            </w:pPr>
            <w:r>
              <w:rPr>
                <w:rFonts w:cs="Lucida Sans Unicode"/>
                <w:bCs/>
                <w:position w:val="0"/>
                <w:szCs w:val="20"/>
              </w:rPr>
              <w:t>40</w:t>
            </w:r>
          </w:p>
        </w:tc>
      </w:tr>
    </w:tbl>
    <w:p w:rsidR="00110428" w:rsidRPr="00A03972" w:rsidRDefault="00110428" w:rsidP="00110428">
      <w:pPr>
        <w:spacing w:line="240" w:lineRule="auto"/>
        <w:ind w:left="0" w:right="0"/>
        <w:rPr>
          <w:bCs/>
          <w:sz w:val="16"/>
          <w:szCs w:val="16"/>
        </w:rPr>
      </w:pPr>
      <w:r>
        <w:rPr>
          <w:bCs/>
          <w:sz w:val="16"/>
          <w:szCs w:val="16"/>
        </w:rPr>
        <w:t>Vorjahreszahlen angepasst</w:t>
      </w:r>
    </w:p>
    <w:p w:rsidR="00110428" w:rsidRPr="00A03972" w:rsidRDefault="00110428" w:rsidP="00110428">
      <w:pPr>
        <w:spacing w:line="240" w:lineRule="auto"/>
        <w:ind w:left="0" w:right="0"/>
        <w:rPr>
          <w:bCs/>
          <w:sz w:val="16"/>
          <w:szCs w:val="16"/>
        </w:rPr>
      </w:pPr>
    </w:p>
    <w:p w:rsidR="00110428" w:rsidRDefault="00110428" w:rsidP="00110428">
      <w:pPr>
        <w:spacing w:after="120"/>
        <w:rPr>
          <w:b/>
          <w:bCs/>
        </w:rPr>
      </w:pPr>
    </w:p>
    <w:p w:rsidR="00110428" w:rsidRPr="009511D1" w:rsidRDefault="00110428" w:rsidP="009511D1">
      <w:pPr>
        <w:spacing w:after="120" w:line="300" w:lineRule="atLeast"/>
        <w:ind w:left="0"/>
        <w:rPr>
          <w:rFonts w:cs="Lucida Sans Unicode"/>
          <w:b/>
          <w:bCs/>
          <w:sz w:val="20"/>
          <w:szCs w:val="20"/>
        </w:rPr>
      </w:pPr>
      <w:r w:rsidRPr="009511D1">
        <w:rPr>
          <w:rFonts w:cs="Lucida Sans Unicode"/>
          <w:b/>
          <w:bCs/>
          <w:sz w:val="20"/>
          <w:szCs w:val="20"/>
        </w:rPr>
        <w:lastRenderedPageBreak/>
        <w:t>Mitarbeiter nach Segmenten</w:t>
      </w:r>
    </w:p>
    <w:tbl>
      <w:tblPr>
        <w:tblW w:w="8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110428" w:rsidRPr="00BE5DBC" w:rsidTr="00110428">
        <w:tc>
          <w:tcPr>
            <w:tcW w:w="4122" w:type="dxa"/>
            <w:shd w:val="clear" w:color="auto" w:fill="auto"/>
          </w:tcPr>
          <w:p w:rsidR="00110428" w:rsidRPr="00B13E9A" w:rsidRDefault="00110428" w:rsidP="00110428">
            <w:pPr>
              <w:ind w:left="0"/>
              <w:rPr>
                <w:bCs/>
              </w:rPr>
            </w:pPr>
          </w:p>
        </w:tc>
        <w:tc>
          <w:tcPr>
            <w:tcW w:w="2172" w:type="dxa"/>
            <w:shd w:val="clear" w:color="auto" w:fill="auto"/>
          </w:tcPr>
          <w:p w:rsidR="00110428" w:rsidRPr="00BE5DBC" w:rsidRDefault="00110428" w:rsidP="00110428">
            <w:pPr>
              <w:ind w:left="0"/>
              <w:jc w:val="center"/>
              <w:rPr>
                <w:b/>
                <w:bCs/>
              </w:rPr>
            </w:pPr>
            <w:r>
              <w:rPr>
                <w:b/>
                <w:bCs/>
              </w:rPr>
              <w:t>30.06.2015</w:t>
            </w:r>
          </w:p>
        </w:tc>
        <w:tc>
          <w:tcPr>
            <w:tcW w:w="2173" w:type="dxa"/>
            <w:shd w:val="clear" w:color="auto" w:fill="auto"/>
          </w:tcPr>
          <w:p w:rsidR="00110428" w:rsidRPr="00BE5DBC" w:rsidRDefault="00110428" w:rsidP="00110428">
            <w:pPr>
              <w:ind w:left="0"/>
              <w:jc w:val="center"/>
              <w:rPr>
                <w:b/>
                <w:bCs/>
              </w:rPr>
            </w:pPr>
            <w:r w:rsidRPr="00BE5DBC">
              <w:rPr>
                <w:b/>
                <w:bCs/>
              </w:rPr>
              <w:t>31.12.201</w:t>
            </w:r>
            <w:r>
              <w:rPr>
                <w:b/>
                <w:bCs/>
              </w:rPr>
              <w:t>4</w:t>
            </w:r>
          </w:p>
        </w:tc>
      </w:tr>
      <w:tr w:rsidR="00110428" w:rsidRPr="00A14C8B" w:rsidTr="00110428">
        <w:tc>
          <w:tcPr>
            <w:tcW w:w="4122" w:type="dxa"/>
            <w:shd w:val="clear" w:color="auto" w:fill="auto"/>
          </w:tcPr>
          <w:p w:rsidR="00110428" w:rsidRPr="00B13E9A" w:rsidRDefault="00110428" w:rsidP="00110428">
            <w:pPr>
              <w:ind w:left="0"/>
              <w:rPr>
                <w:bCs/>
              </w:rPr>
            </w:pPr>
            <w:r w:rsidRPr="00B13E9A">
              <w:rPr>
                <w:bCs/>
              </w:rPr>
              <w:t>Nutrition</w:t>
            </w:r>
            <w:r>
              <w:rPr>
                <w:bCs/>
              </w:rPr>
              <w:t xml:space="preserve"> &amp; Care</w:t>
            </w:r>
          </w:p>
        </w:tc>
        <w:tc>
          <w:tcPr>
            <w:tcW w:w="2172" w:type="dxa"/>
            <w:shd w:val="clear" w:color="auto" w:fill="auto"/>
          </w:tcPr>
          <w:p w:rsidR="00110428" w:rsidRPr="00A14C8B" w:rsidRDefault="00110428" w:rsidP="00110428">
            <w:pPr>
              <w:ind w:left="0"/>
              <w:jc w:val="right"/>
              <w:rPr>
                <w:bCs/>
                <w:lang w:val="en-US"/>
              </w:rPr>
            </w:pPr>
            <w:r>
              <w:rPr>
                <w:bCs/>
                <w:lang w:val="en-US"/>
              </w:rPr>
              <w:t>6.916</w:t>
            </w:r>
          </w:p>
        </w:tc>
        <w:tc>
          <w:tcPr>
            <w:tcW w:w="2173" w:type="dxa"/>
            <w:shd w:val="clear" w:color="auto" w:fill="auto"/>
          </w:tcPr>
          <w:p w:rsidR="00110428" w:rsidRPr="00A14C8B" w:rsidRDefault="00110428" w:rsidP="00110428">
            <w:pPr>
              <w:ind w:left="0"/>
              <w:jc w:val="right"/>
              <w:rPr>
                <w:bCs/>
                <w:lang w:val="en-US"/>
              </w:rPr>
            </w:pPr>
            <w:r>
              <w:rPr>
                <w:bCs/>
                <w:lang w:val="en-US"/>
              </w:rPr>
              <w:t>6.943</w:t>
            </w:r>
          </w:p>
        </w:tc>
      </w:tr>
      <w:tr w:rsidR="00110428" w:rsidRPr="00A14C8B" w:rsidTr="00110428">
        <w:tc>
          <w:tcPr>
            <w:tcW w:w="4122" w:type="dxa"/>
            <w:shd w:val="clear" w:color="auto" w:fill="auto"/>
          </w:tcPr>
          <w:p w:rsidR="00110428" w:rsidRPr="00A14C8B" w:rsidRDefault="00110428" w:rsidP="00110428">
            <w:pPr>
              <w:ind w:left="0"/>
              <w:rPr>
                <w:bCs/>
                <w:lang w:val="en-US"/>
              </w:rPr>
            </w:pPr>
            <w:r w:rsidRPr="00A14C8B">
              <w:rPr>
                <w:bCs/>
                <w:lang w:val="en-US"/>
              </w:rPr>
              <w:t>Resource Efficiency</w:t>
            </w:r>
          </w:p>
        </w:tc>
        <w:tc>
          <w:tcPr>
            <w:tcW w:w="2172" w:type="dxa"/>
            <w:shd w:val="clear" w:color="auto" w:fill="auto"/>
          </w:tcPr>
          <w:p w:rsidR="00110428" w:rsidRPr="00A14C8B" w:rsidRDefault="00110428" w:rsidP="00110428">
            <w:pPr>
              <w:ind w:left="0"/>
              <w:jc w:val="right"/>
              <w:rPr>
                <w:bCs/>
                <w:lang w:val="en-US"/>
              </w:rPr>
            </w:pPr>
            <w:r>
              <w:rPr>
                <w:bCs/>
                <w:lang w:val="en-US"/>
              </w:rPr>
              <w:t>8.231</w:t>
            </w:r>
          </w:p>
        </w:tc>
        <w:tc>
          <w:tcPr>
            <w:tcW w:w="2173" w:type="dxa"/>
            <w:shd w:val="clear" w:color="auto" w:fill="auto"/>
          </w:tcPr>
          <w:p w:rsidR="00110428" w:rsidRPr="00A14C8B" w:rsidRDefault="00110428" w:rsidP="00110428">
            <w:pPr>
              <w:ind w:left="0"/>
              <w:jc w:val="right"/>
              <w:rPr>
                <w:bCs/>
                <w:lang w:val="en-US"/>
              </w:rPr>
            </w:pPr>
            <w:r>
              <w:rPr>
                <w:bCs/>
                <w:lang w:val="en-US"/>
              </w:rPr>
              <w:t>7.835</w:t>
            </w:r>
          </w:p>
        </w:tc>
      </w:tr>
      <w:tr w:rsidR="00110428" w:rsidRPr="00A14C8B" w:rsidTr="00110428">
        <w:tc>
          <w:tcPr>
            <w:tcW w:w="4122" w:type="dxa"/>
            <w:shd w:val="clear" w:color="auto" w:fill="auto"/>
          </w:tcPr>
          <w:p w:rsidR="00110428" w:rsidRPr="00A14C8B" w:rsidRDefault="00110428" w:rsidP="00110428">
            <w:pPr>
              <w:ind w:left="0"/>
              <w:rPr>
                <w:bCs/>
                <w:lang w:val="en-US"/>
              </w:rPr>
            </w:pPr>
            <w:r>
              <w:rPr>
                <w:bCs/>
                <w:lang w:val="en-US"/>
              </w:rPr>
              <w:t>Performance</w:t>
            </w:r>
            <w:r w:rsidRPr="00A14C8B">
              <w:rPr>
                <w:bCs/>
                <w:lang w:val="en-US"/>
              </w:rPr>
              <w:t xml:space="preserve"> Materials</w:t>
            </w:r>
          </w:p>
        </w:tc>
        <w:tc>
          <w:tcPr>
            <w:tcW w:w="2172" w:type="dxa"/>
            <w:shd w:val="clear" w:color="auto" w:fill="auto"/>
          </w:tcPr>
          <w:p w:rsidR="00110428" w:rsidRPr="00A14C8B" w:rsidRDefault="00110428" w:rsidP="00110428">
            <w:pPr>
              <w:ind w:left="0"/>
              <w:jc w:val="right"/>
              <w:rPr>
                <w:bCs/>
                <w:lang w:val="en-US"/>
              </w:rPr>
            </w:pPr>
            <w:r>
              <w:rPr>
                <w:bCs/>
                <w:lang w:val="en-US"/>
              </w:rPr>
              <w:t>4.245</w:t>
            </w:r>
          </w:p>
        </w:tc>
        <w:tc>
          <w:tcPr>
            <w:tcW w:w="2173" w:type="dxa"/>
            <w:shd w:val="clear" w:color="auto" w:fill="auto"/>
          </w:tcPr>
          <w:p w:rsidR="00110428" w:rsidRPr="00A14C8B" w:rsidRDefault="00110428" w:rsidP="00110428">
            <w:pPr>
              <w:ind w:left="0"/>
              <w:jc w:val="right"/>
              <w:rPr>
                <w:bCs/>
                <w:lang w:val="en-US"/>
              </w:rPr>
            </w:pPr>
            <w:r>
              <w:rPr>
                <w:bCs/>
                <w:lang w:val="en-US"/>
              </w:rPr>
              <w:t>4.353</w:t>
            </w:r>
          </w:p>
        </w:tc>
      </w:tr>
      <w:tr w:rsidR="00110428" w:rsidRPr="00A14C8B" w:rsidTr="00110428">
        <w:tc>
          <w:tcPr>
            <w:tcW w:w="4122" w:type="dxa"/>
            <w:shd w:val="clear" w:color="auto" w:fill="auto"/>
          </w:tcPr>
          <w:p w:rsidR="00110428" w:rsidRPr="00A14C8B" w:rsidRDefault="00110428" w:rsidP="00110428">
            <w:pPr>
              <w:ind w:left="0"/>
              <w:rPr>
                <w:bCs/>
                <w:lang w:val="en-US"/>
              </w:rPr>
            </w:pPr>
            <w:r w:rsidRPr="00A14C8B">
              <w:rPr>
                <w:bCs/>
                <w:lang w:val="en-US"/>
              </w:rPr>
              <w:t>Services</w:t>
            </w:r>
          </w:p>
        </w:tc>
        <w:tc>
          <w:tcPr>
            <w:tcW w:w="2172" w:type="dxa"/>
            <w:shd w:val="clear" w:color="auto" w:fill="auto"/>
          </w:tcPr>
          <w:p w:rsidR="00110428" w:rsidRPr="00A14C8B" w:rsidRDefault="00110428" w:rsidP="00110428">
            <w:pPr>
              <w:ind w:left="0"/>
              <w:jc w:val="right"/>
              <w:rPr>
                <w:bCs/>
                <w:lang w:val="en-US"/>
              </w:rPr>
            </w:pPr>
            <w:r>
              <w:rPr>
                <w:bCs/>
                <w:lang w:val="en-US"/>
              </w:rPr>
              <w:t>12.907</w:t>
            </w:r>
          </w:p>
        </w:tc>
        <w:tc>
          <w:tcPr>
            <w:tcW w:w="2173" w:type="dxa"/>
            <w:shd w:val="clear" w:color="auto" w:fill="auto"/>
          </w:tcPr>
          <w:p w:rsidR="00110428" w:rsidRPr="00A14C8B" w:rsidRDefault="00110428" w:rsidP="00110428">
            <w:pPr>
              <w:ind w:left="0"/>
              <w:jc w:val="right"/>
              <w:rPr>
                <w:bCs/>
                <w:lang w:val="en-US"/>
              </w:rPr>
            </w:pPr>
            <w:r>
              <w:rPr>
                <w:bCs/>
                <w:lang w:val="en-US"/>
              </w:rPr>
              <w:t>13.173</w:t>
            </w:r>
          </w:p>
        </w:tc>
      </w:tr>
      <w:tr w:rsidR="00110428" w:rsidRPr="00B13E9A" w:rsidTr="00110428">
        <w:tc>
          <w:tcPr>
            <w:tcW w:w="4122" w:type="dxa"/>
            <w:shd w:val="clear" w:color="auto" w:fill="auto"/>
          </w:tcPr>
          <w:p w:rsidR="00110428" w:rsidRPr="00A14C8B" w:rsidRDefault="00987FCF" w:rsidP="00110428">
            <w:pPr>
              <w:ind w:left="0"/>
              <w:rPr>
                <w:bCs/>
                <w:lang w:val="en-US"/>
              </w:rPr>
            </w:pPr>
            <w:proofErr w:type="spellStart"/>
            <w:r>
              <w:rPr>
                <w:bCs/>
                <w:lang w:val="en-US"/>
              </w:rPr>
              <w:t>Sonstige</w:t>
            </w:r>
            <w:proofErr w:type="spellEnd"/>
            <w:r>
              <w:rPr>
                <w:bCs/>
                <w:lang w:val="en-US"/>
              </w:rPr>
              <w:t xml:space="preserve"> </w:t>
            </w:r>
            <w:proofErr w:type="spellStart"/>
            <w:r>
              <w:rPr>
                <w:bCs/>
                <w:lang w:val="en-US"/>
              </w:rPr>
              <w:t>Aktiv</w:t>
            </w:r>
            <w:bookmarkStart w:id="1" w:name="_GoBack"/>
            <w:bookmarkEnd w:id="1"/>
            <w:r>
              <w:rPr>
                <w:bCs/>
                <w:lang w:val="en-US"/>
              </w:rPr>
              <w:t>itäten</w:t>
            </w:r>
            <w:proofErr w:type="spellEnd"/>
            <w:r>
              <w:rPr>
                <w:bCs/>
                <w:lang w:val="en-US"/>
              </w:rPr>
              <w:t xml:space="preserve"> </w:t>
            </w:r>
          </w:p>
        </w:tc>
        <w:tc>
          <w:tcPr>
            <w:tcW w:w="2172" w:type="dxa"/>
            <w:shd w:val="clear" w:color="auto" w:fill="auto"/>
          </w:tcPr>
          <w:p w:rsidR="00110428" w:rsidRPr="00A14C8B" w:rsidRDefault="00110428" w:rsidP="00110428">
            <w:pPr>
              <w:ind w:left="0"/>
              <w:jc w:val="right"/>
              <w:rPr>
                <w:bCs/>
                <w:lang w:val="en-US"/>
              </w:rPr>
            </w:pPr>
            <w:r>
              <w:rPr>
                <w:bCs/>
                <w:lang w:val="en-US"/>
              </w:rPr>
              <w:t>888</w:t>
            </w:r>
          </w:p>
        </w:tc>
        <w:tc>
          <w:tcPr>
            <w:tcW w:w="2173" w:type="dxa"/>
            <w:shd w:val="clear" w:color="auto" w:fill="auto"/>
          </w:tcPr>
          <w:p w:rsidR="00110428" w:rsidRPr="00B13E9A" w:rsidRDefault="00110428" w:rsidP="00110428">
            <w:pPr>
              <w:ind w:left="0"/>
              <w:jc w:val="right"/>
              <w:rPr>
                <w:bCs/>
              </w:rPr>
            </w:pPr>
            <w:r>
              <w:rPr>
                <w:bCs/>
              </w:rPr>
              <w:t>937</w:t>
            </w:r>
          </w:p>
        </w:tc>
      </w:tr>
      <w:tr w:rsidR="00110428" w:rsidRPr="00B13E9A" w:rsidTr="00110428">
        <w:tc>
          <w:tcPr>
            <w:tcW w:w="4122" w:type="dxa"/>
            <w:shd w:val="clear" w:color="auto" w:fill="auto"/>
          </w:tcPr>
          <w:p w:rsidR="00110428" w:rsidRPr="001E6A70" w:rsidRDefault="00110428" w:rsidP="00110428">
            <w:pPr>
              <w:ind w:left="0"/>
              <w:rPr>
                <w:b/>
                <w:bCs/>
              </w:rPr>
            </w:pPr>
            <w:r w:rsidRPr="001E6A70">
              <w:rPr>
                <w:b/>
                <w:bCs/>
              </w:rPr>
              <w:t>Fortgeführte Aktivitäten</w:t>
            </w:r>
          </w:p>
        </w:tc>
        <w:tc>
          <w:tcPr>
            <w:tcW w:w="2172" w:type="dxa"/>
            <w:shd w:val="clear" w:color="auto" w:fill="auto"/>
          </w:tcPr>
          <w:p w:rsidR="00110428" w:rsidRPr="001E6A70" w:rsidRDefault="00110428" w:rsidP="00110428">
            <w:pPr>
              <w:ind w:left="0"/>
              <w:jc w:val="right"/>
              <w:rPr>
                <w:b/>
                <w:bCs/>
              </w:rPr>
            </w:pPr>
            <w:r w:rsidRPr="001E6A70">
              <w:rPr>
                <w:b/>
                <w:bCs/>
              </w:rPr>
              <w:t>33.187</w:t>
            </w:r>
          </w:p>
        </w:tc>
        <w:tc>
          <w:tcPr>
            <w:tcW w:w="2173" w:type="dxa"/>
            <w:shd w:val="clear" w:color="auto" w:fill="auto"/>
          </w:tcPr>
          <w:p w:rsidR="00110428" w:rsidRPr="001E6A70" w:rsidRDefault="00110428" w:rsidP="00110428">
            <w:pPr>
              <w:ind w:left="0"/>
              <w:jc w:val="right"/>
              <w:rPr>
                <w:b/>
                <w:bCs/>
              </w:rPr>
            </w:pPr>
            <w:r w:rsidRPr="001E6A70">
              <w:rPr>
                <w:b/>
                <w:bCs/>
              </w:rPr>
              <w:t>33.412</w:t>
            </w:r>
          </w:p>
        </w:tc>
      </w:tr>
      <w:tr w:rsidR="00110428" w:rsidRPr="00B13E9A" w:rsidTr="00110428">
        <w:tc>
          <w:tcPr>
            <w:tcW w:w="4122" w:type="dxa"/>
            <w:shd w:val="clear" w:color="auto" w:fill="auto"/>
          </w:tcPr>
          <w:p w:rsidR="00110428" w:rsidRPr="00B13E9A" w:rsidRDefault="00110428" w:rsidP="00110428">
            <w:pPr>
              <w:ind w:left="0"/>
              <w:rPr>
                <w:bCs/>
              </w:rPr>
            </w:pPr>
            <w:r w:rsidRPr="00B13E9A">
              <w:rPr>
                <w:bCs/>
              </w:rPr>
              <w:t xml:space="preserve">Nicht fortgeführte Aktivitäten </w:t>
            </w:r>
          </w:p>
        </w:tc>
        <w:tc>
          <w:tcPr>
            <w:tcW w:w="2172" w:type="dxa"/>
            <w:shd w:val="clear" w:color="auto" w:fill="auto"/>
          </w:tcPr>
          <w:p w:rsidR="00110428" w:rsidRPr="00B13E9A" w:rsidRDefault="00110428" w:rsidP="00110428">
            <w:pPr>
              <w:ind w:left="0"/>
              <w:jc w:val="right"/>
              <w:rPr>
                <w:bCs/>
              </w:rPr>
            </w:pPr>
            <w:r>
              <w:rPr>
                <w:bCs/>
              </w:rPr>
              <w:t>-</w:t>
            </w:r>
          </w:p>
        </w:tc>
        <w:tc>
          <w:tcPr>
            <w:tcW w:w="2173" w:type="dxa"/>
            <w:shd w:val="clear" w:color="auto" w:fill="auto"/>
          </w:tcPr>
          <w:p w:rsidR="00110428" w:rsidRPr="00B13E9A" w:rsidRDefault="00110428" w:rsidP="00110428">
            <w:pPr>
              <w:ind w:left="0"/>
              <w:jc w:val="right"/>
              <w:rPr>
                <w:bCs/>
              </w:rPr>
            </w:pPr>
            <w:r>
              <w:rPr>
                <w:bCs/>
              </w:rPr>
              <w:t>171</w:t>
            </w:r>
          </w:p>
        </w:tc>
      </w:tr>
      <w:tr w:rsidR="00110428" w:rsidRPr="00BE5DBC" w:rsidTr="00110428">
        <w:tc>
          <w:tcPr>
            <w:tcW w:w="4122" w:type="dxa"/>
            <w:shd w:val="clear" w:color="auto" w:fill="auto"/>
          </w:tcPr>
          <w:p w:rsidR="00110428" w:rsidRPr="00BE5DBC" w:rsidRDefault="00110428" w:rsidP="00110428">
            <w:pPr>
              <w:ind w:left="0"/>
              <w:rPr>
                <w:b/>
                <w:bCs/>
              </w:rPr>
            </w:pPr>
            <w:r>
              <w:rPr>
                <w:b/>
                <w:bCs/>
              </w:rPr>
              <w:t>Konzern</w:t>
            </w:r>
          </w:p>
        </w:tc>
        <w:tc>
          <w:tcPr>
            <w:tcW w:w="2172" w:type="dxa"/>
            <w:shd w:val="clear" w:color="auto" w:fill="auto"/>
          </w:tcPr>
          <w:p w:rsidR="00110428" w:rsidRPr="00BE5DBC" w:rsidRDefault="00110428" w:rsidP="00110428">
            <w:pPr>
              <w:ind w:left="0"/>
              <w:jc w:val="right"/>
              <w:rPr>
                <w:b/>
                <w:bCs/>
              </w:rPr>
            </w:pPr>
            <w:r>
              <w:rPr>
                <w:b/>
                <w:bCs/>
              </w:rPr>
              <w:t>33.187</w:t>
            </w:r>
          </w:p>
        </w:tc>
        <w:tc>
          <w:tcPr>
            <w:tcW w:w="2173" w:type="dxa"/>
            <w:shd w:val="clear" w:color="auto" w:fill="auto"/>
          </w:tcPr>
          <w:p w:rsidR="00110428" w:rsidRPr="00BE5DBC" w:rsidRDefault="00110428" w:rsidP="00110428">
            <w:pPr>
              <w:ind w:left="0"/>
              <w:jc w:val="right"/>
              <w:rPr>
                <w:b/>
                <w:bCs/>
              </w:rPr>
            </w:pPr>
            <w:r>
              <w:rPr>
                <w:b/>
                <w:bCs/>
              </w:rPr>
              <w:t>33.412</w:t>
            </w:r>
          </w:p>
        </w:tc>
      </w:tr>
    </w:tbl>
    <w:p w:rsidR="00110428" w:rsidRPr="00B13E9A" w:rsidRDefault="00110428" w:rsidP="00110428">
      <w:pPr>
        <w:ind w:left="0"/>
        <w:rPr>
          <w:bCs/>
          <w:lang w:eastAsia="en-US"/>
        </w:rPr>
      </w:pPr>
    </w:p>
    <w:p w:rsidR="00110428" w:rsidRDefault="00110428" w:rsidP="00110428">
      <w:pPr>
        <w:spacing w:line="240" w:lineRule="auto"/>
        <w:ind w:left="0" w:right="0"/>
        <w:rPr>
          <w:b/>
          <w:bCs/>
          <w:sz w:val="22"/>
          <w:szCs w:val="22"/>
        </w:rPr>
      </w:pPr>
    </w:p>
    <w:p w:rsidR="00B6136F" w:rsidRDefault="00B6136F">
      <w:pPr>
        <w:spacing w:line="300" w:lineRule="exact"/>
        <w:ind w:left="0"/>
        <w:rPr>
          <w:sz w:val="22"/>
          <w:szCs w:val="22"/>
        </w:rPr>
      </w:pPr>
    </w:p>
    <w:p w:rsidR="00DD58C1" w:rsidRDefault="00E66C59" w:rsidP="00DD58C1">
      <w:pPr>
        <w:autoSpaceDE w:val="0"/>
        <w:autoSpaceDN w:val="0"/>
        <w:adjustRightInd w:val="0"/>
        <w:spacing w:line="220" w:lineRule="exact"/>
        <w:ind w:left="0"/>
        <w:rPr>
          <w:rFonts w:cs="Lucida Sans Unicode"/>
          <w:b/>
          <w:bCs/>
          <w:szCs w:val="18"/>
        </w:rPr>
      </w:pPr>
      <w:bookmarkStart w:id="2" w:name="OLE_LINK1"/>
      <w:r>
        <w:rPr>
          <w:rFonts w:cs="Lucida Sans Unicode"/>
          <w:b/>
          <w:bCs/>
          <w:szCs w:val="18"/>
        </w:rPr>
        <w:br/>
      </w:r>
      <w:r>
        <w:rPr>
          <w:rFonts w:cs="Lucida Sans Unicode"/>
          <w:b/>
          <w:bCs/>
          <w:szCs w:val="18"/>
        </w:rPr>
        <w:br/>
      </w:r>
      <w:r>
        <w:rPr>
          <w:rFonts w:cs="Lucida Sans Unicode"/>
          <w:b/>
          <w:bCs/>
          <w:szCs w:val="18"/>
        </w:rPr>
        <w:br/>
      </w:r>
      <w:r>
        <w:rPr>
          <w:rFonts w:cs="Lucida Sans Unicode"/>
          <w:b/>
          <w:bCs/>
          <w:szCs w:val="18"/>
        </w:rPr>
        <w:br/>
      </w:r>
      <w:r>
        <w:rPr>
          <w:rFonts w:cs="Lucida Sans Unicode"/>
          <w:b/>
          <w:bCs/>
          <w:szCs w:val="18"/>
        </w:rPr>
        <w:br/>
      </w:r>
      <w:r w:rsidR="00110428">
        <w:rPr>
          <w:rFonts w:cs="Lucida Sans Unicode"/>
          <w:b/>
          <w:bCs/>
          <w:szCs w:val="18"/>
        </w:rPr>
        <w:t>In</w:t>
      </w:r>
      <w:r w:rsidR="00DD58C1">
        <w:rPr>
          <w:rFonts w:cs="Lucida Sans Unicode"/>
          <w:b/>
          <w:bCs/>
          <w:szCs w:val="18"/>
        </w:rPr>
        <w:t xml:space="preserve">formationen zum Konzern </w:t>
      </w:r>
    </w:p>
    <w:p w:rsidR="00DD58C1" w:rsidRPr="009D734A" w:rsidRDefault="00DD58C1" w:rsidP="00DD58C1">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DD58C1" w:rsidRDefault="00DD58C1" w:rsidP="00DD58C1">
      <w:pPr>
        <w:autoSpaceDE w:val="0"/>
        <w:autoSpaceDN w:val="0"/>
        <w:adjustRightInd w:val="0"/>
        <w:spacing w:line="220" w:lineRule="exact"/>
        <w:ind w:left="0" w:right="0"/>
        <w:rPr>
          <w:rFonts w:cs="Lucida Sans Unicode"/>
          <w:position w:val="0"/>
          <w:szCs w:val="18"/>
        </w:rPr>
      </w:pPr>
    </w:p>
    <w:p w:rsidR="00DD58C1" w:rsidRDefault="00DD58C1" w:rsidP="00DD58C1">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2"/>
    <w:p w:rsidR="00DD58C1" w:rsidRDefault="00DD58C1" w:rsidP="00DD58C1">
      <w:pPr>
        <w:autoSpaceDE w:val="0"/>
        <w:autoSpaceDN w:val="0"/>
        <w:adjustRightInd w:val="0"/>
        <w:spacing w:line="220" w:lineRule="exact"/>
        <w:ind w:left="0" w:right="0"/>
        <w:rPr>
          <w:rFonts w:cs="Lucida Sans Unicode"/>
          <w:position w:val="0"/>
          <w:szCs w:val="18"/>
        </w:rPr>
      </w:pPr>
    </w:p>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508" w:rsidRDefault="00045508">
      <w:r>
        <w:separator/>
      </w:r>
    </w:p>
    <w:p w:rsidR="00045508" w:rsidRDefault="00045508"/>
  </w:endnote>
  <w:endnote w:type="continuationSeparator" w:id="0">
    <w:p w:rsidR="00045508" w:rsidRDefault="00045508">
      <w:r>
        <w:continuationSeparator/>
      </w:r>
    </w:p>
    <w:p w:rsidR="00045508" w:rsidRDefault="00045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87FC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87FCF">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729A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729A4">
      <w:rPr>
        <w:rStyle w:val="Seitenzahl"/>
        <w:noProof/>
      </w:rPr>
      <w:t>5</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508" w:rsidRDefault="00045508">
      <w:r>
        <w:separator/>
      </w:r>
    </w:p>
    <w:p w:rsidR="00045508" w:rsidRDefault="00045508"/>
  </w:footnote>
  <w:footnote w:type="continuationSeparator" w:id="0">
    <w:p w:rsidR="00045508" w:rsidRDefault="00045508">
      <w:r>
        <w:continuationSeparator/>
      </w:r>
    </w:p>
    <w:p w:rsidR="00045508" w:rsidRDefault="000455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04EFBF"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428" w:rsidRDefault="00110428">
    <w:pPr>
      <w:pStyle w:val="Kopfzeile"/>
      <w:ind w:left="0"/>
    </w:pPr>
  </w:p>
  <w:p w:rsidR="00110428" w:rsidRDefault="00110428">
    <w:pPr>
      <w:pStyle w:val="Kopfzeile"/>
      <w:ind w:left="0"/>
    </w:pPr>
  </w:p>
  <w:p w:rsidR="00110428" w:rsidRDefault="00110428">
    <w:pPr>
      <w:pStyle w:val="Kopfzeile"/>
      <w:ind w:left="0"/>
    </w:pPr>
  </w:p>
  <w:p w:rsidR="00110428" w:rsidRDefault="00110428">
    <w:pPr>
      <w:pStyle w:val="Kopfzeile"/>
      <w:ind w:left="0"/>
    </w:pPr>
  </w:p>
  <w:p w:rsidR="00110428" w:rsidRDefault="00110428">
    <w:pPr>
      <w:pStyle w:val="Kopfzeile"/>
      <w:ind w:left="0"/>
    </w:pPr>
  </w:p>
  <w:p w:rsidR="00110428" w:rsidRDefault="00110428">
    <w:pPr>
      <w:pStyle w:val="Kopfzeile"/>
      <w:ind w:left="0"/>
    </w:pPr>
  </w:p>
  <w:p w:rsidR="00110428" w:rsidRPr="008224A5" w:rsidRDefault="00110428" w:rsidP="00110428">
    <w:pPr>
      <w:spacing w:line="300" w:lineRule="exact"/>
      <w:ind w:left="0"/>
      <w:rPr>
        <w:b/>
        <w:szCs w:val="18"/>
        <w:u w:val="single"/>
      </w:rPr>
    </w:pPr>
    <w:r w:rsidRPr="008224A5">
      <w:rPr>
        <w:b/>
        <w:szCs w:val="18"/>
        <w:u w:val="single"/>
      </w:rPr>
      <w:t xml:space="preserve">Sendesperrfrist: </w:t>
    </w:r>
    <w:r>
      <w:rPr>
        <w:b/>
        <w:szCs w:val="18"/>
        <w:u w:val="single"/>
      </w:rPr>
      <w:t>04.08.2015,</w:t>
    </w:r>
    <w:r w:rsidRPr="008224A5">
      <w:rPr>
        <w:b/>
        <w:szCs w:val="18"/>
        <w:u w:val="single"/>
      </w:rPr>
      <w:t xml:space="preserve"> 7:</w:t>
    </w:r>
    <w:r>
      <w:rPr>
        <w:b/>
        <w:szCs w:val="18"/>
        <w:u w:val="single"/>
      </w:rPr>
      <w:t>00</w:t>
    </w:r>
    <w:r w:rsidRPr="008224A5">
      <w:rPr>
        <w:b/>
        <w:szCs w:val="18"/>
        <w:u w:val="single"/>
      </w:rPr>
      <w:t xml:space="preserve"> Uhr</w:t>
    </w:r>
  </w:p>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7746A1"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28"/>
    <w:rsid w:val="00045508"/>
    <w:rsid w:val="000A4B59"/>
    <w:rsid w:val="000E44B1"/>
    <w:rsid w:val="00110428"/>
    <w:rsid w:val="00367112"/>
    <w:rsid w:val="00570AF0"/>
    <w:rsid w:val="00573BFD"/>
    <w:rsid w:val="00702D61"/>
    <w:rsid w:val="007A4AC8"/>
    <w:rsid w:val="008136C4"/>
    <w:rsid w:val="00826FA3"/>
    <w:rsid w:val="00856B95"/>
    <w:rsid w:val="008729A4"/>
    <w:rsid w:val="009511D1"/>
    <w:rsid w:val="00987FCF"/>
    <w:rsid w:val="00AD7F34"/>
    <w:rsid w:val="00B14022"/>
    <w:rsid w:val="00B6136F"/>
    <w:rsid w:val="00CB40B9"/>
    <w:rsid w:val="00D47659"/>
    <w:rsid w:val="00D55792"/>
    <w:rsid w:val="00DD58C1"/>
    <w:rsid w:val="00E66C59"/>
    <w:rsid w:val="00EA58B0"/>
    <w:rsid w:val="00EF0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2196BA-664B-466A-8F3E-51A884F3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9E7C5A33</Template>
  <TotalTime>0</TotalTime>
  <Pages>5</Pages>
  <Words>1216</Words>
  <Characters>7797</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3</cp:revision>
  <cp:lastPrinted>2015-07-31T09:18:00Z</cp:lastPrinted>
  <dcterms:created xsi:type="dcterms:W3CDTF">2015-07-31T09:18:00Z</dcterms:created>
  <dcterms:modified xsi:type="dcterms:W3CDTF">2015-08-03T08:59:00Z</dcterms:modified>
</cp:coreProperties>
</file>