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0A4B59">
        <w:trPr>
          <w:trHeight w:hRule="exact" w:val="227"/>
        </w:trPr>
        <w:tc>
          <w:tcPr>
            <w:tcW w:w="2271" w:type="dxa"/>
            <w:shd w:val="clear" w:color="auto" w:fill="auto"/>
          </w:tcPr>
          <w:p w:rsidR="00B6136F" w:rsidRDefault="00110428" w:rsidP="00E26E56">
            <w:pPr>
              <w:pStyle w:val="E-Datum"/>
              <w:framePr w:wrap="auto" w:vAnchor="margin" w:hAnchor="text" w:xAlign="left" w:yAlign="inline"/>
              <w:suppressOverlap w:val="0"/>
            </w:pPr>
            <w:r>
              <w:t xml:space="preserve">4. </w:t>
            </w:r>
            <w:r w:rsidR="00E26E56">
              <w:t>November</w:t>
            </w:r>
            <w:r>
              <w:t xml:space="preserve"> 2015</w:t>
            </w:r>
            <w:r w:rsidR="000A4B59">
              <w:br/>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367112">
            <w:pPr>
              <w:pStyle w:val="M7"/>
              <w:framePr w:wrap="auto" w:vAnchor="margin" w:hAnchor="text" w:xAlign="left" w:yAlign="inline"/>
              <w:suppressOverlap w:val="0"/>
            </w:pPr>
            <w:r>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110428" w:rsidRDefault="00110428" w:rsidP="00110428">
            <w:pPr>
              <w:pStyle w:val="M7"/>
              <w:framePr w:wrap="auto" w:vAnchor="margin" w:hAnchor="text" w:xAlign="left" w:yAlign="inline"/>
              <w:suppressOverlap w:val="0"/>
            </w:pPr>
            <w:r>
              <w:t>Alexandra Boy</w:t>
            </w:r>
          </w:p>
          <w:p w:rsidR="00110428" w:rsidRDefault="00110428" w:rsidP="00110428">
            <w:pPr>
              <w:pStyle w:val="M8"/>
              <w:framePr w:wrap="auto" w:vAnchor="margin" w:hAnchor="text" w:xAlign="left" w:yAlign="inline"/>
              <w:suppressOverlap w:val="0"/>
            </w:pPr>
            <w:proofErr w:type="spellStart"/>
            <w:r>
              <w:t>Stellvertr</w:t>
            </w:r>
            <w:proofErr w:type="spellEnd"/>
            <w:r>
              <w:t xml:space="preserve">. Leiterin Konzernpresse </w:t>
            </w:r>
          </w:p>
          <w:p w:rsidR="00110428" w:rsidRDefault="00110428" w:rsidP="00110428">
            <w:pPr>
              <w:pStyle w:val="M9"/>
              <w:framePr w:wrap="auto" w:vAnchor="margin" w:hAnchor="text" w:xAlign="left" w:yAlign="inline"/>
              <w:suppressOverlap w:val="0"/>
            </w:pPr>
            <w:r>
              <w:t>Telefon +49</w:t>
            </w:r>
            <w:r>
              <w:tab/>
              <w:t>201 177-3167</w:t>
            </w:r>
          </w:p>
          <w:p w:rsidR="00110428" w:rsidRDefault="00110428" w:rsidP="00110428">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110428" w:rsidP="00110428">
            <w:pPr>
              <w:pStyle w:val="M12"/>
              <w:framePr w:wrap="auto" w:vAnchor="margin" w:hAnchor="text" w:xAlign="left" w:yAlign="inline"/>
              <w:suppressOverlap w:val="0"/>
            </w:pPr>
            <w:r w:rsidRPr="00617B2D">
              <w:t>alexandra.boy@evonik.com</w:t>
            </w:r>
            <w:r>
              <w:t xml:space="preserve"> </w:t>
            </w:r>
            <w:r w:rsidR="00B14022">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2009D">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2009D">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2009D">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2009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2009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2009D">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2009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2009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2009D">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2009D">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2009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2009D">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2009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2009D">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2009D">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2009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2009D">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2009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2009D">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D4D79" w:rsidRDefault="00110428" w:rsidP="00110428">
      <w:pPr>
        <w:ind w:left="0"/>
        <w:rPr>
          <w:u w:val="single"/>
        </w:rPr>
      </w:pPr>
      <w:r>
        <w:rPr>
          <w:u w:val="single"/>
        </w:rPr>
        <w:lastRenderedPageBreak/>
        <w:t>Wirtschaftliche Eckdaten:</w:t>
      </w:r>
    </w:p>
    <w:p w:rsidR="00110428" w:rsidRPr="00FD4D79" w:rsidRDefault="00FD4D79" w:rsidP="00FD4D79">
      <w:pPr>
        <w:ind w:left="0"/>
        <w:rPr>
          <w:u w:val="single"/>
        </w:rPr>
      </w:pPr>
      <w:r>
        <w:rPr>
          <w:u w:val="single"/>
        </w:rPr>
        <w:t xml:space="preserve">1. </w:t>
      </w:r>
      <w:r w:rsidRPr="00FD4D79">
        <w:rPr>
          <w:u w:val="single"/>
        </w:rPr>
        <w:t>Jan</w:t>
      </w:r>
      <w:r>
        <w:rPr>
          <w:u w:val="single"/>
        </w:rPr>
        <w:t xml:space="preserve">uar bis 30. September 2015 / </w:t>
      </w:r>
      <w:r w:rsidR="00E26E56" w:rsidRPr="00FD4D79">
        <w:rPr>
          <w:u w:val="single"/>
        </w:rPr>
        <w:t>3</w:t>
      </w:r>
      <w:r w:rsidR="000E44B1" w:rsidRPr="00FD4D79">
        <w:rPr>
          <w:u w:val="single"/>
        </w:rPr>
        <w:t xml:space="preserve">. Quartal 2015 </w:t>
      </w:r>
    </w:p>
    <w:p w:rsidR="00110428" w:rsidRDefault="00110428" w:rsidP="00110428">
      <w:pPr>
        <w:spacing w:line="300" w:lineRule="exact"/>
        <w:rPr>
          <w:u w:val="single"/>
        </w:rPr>
      </w:pPr>
    </w:p>
    <w:p w:rsidR="00FD4D79" w:rsidRDefault="00FD4D79" w:rsidP="00110428">
      <w:pPr>
        <w:spacing w:line="300" w:lineRule="exact"/>
        <w:ind w:left="0"/>
        <w:rPr>
          <w:b/>
          <w:bCs/>
          <w:sz w:val="22"/>
        </w:rPr>
      </w:pPr>
      <w:bookmarkStart w:id="0" w:name="Überschrift"/>
    </w:p>
    <w:p w:rsidR="00110428" w:rsidRDefault="00110428" w:rsidP="00FD4D79">
      <w:pPr>
        <w:spacing w:line="300" w:lineRule="exact"/>
        <w:ind w:left="0"/>
        <w:rPr>
          <w:b/>
          <w:bCs/>
          <w:sz w:val="20"/>
          <w:szCs w:val="20"/>
        </w:rPr>
      </w:pPr>
      <w:r w:rsidRPr="00EA58B0">
        <w:rPr>
          <w:b/>
          <w:bCs/>
          <w:sz w:val="22"/>
        </w:rPr>
        <w:t xml:space="preserve">Evonik </w:t>
      </w:r>
      <w:r w:rsidR="00E26E56">
        <w:rPr>
          <w:b/>
          <w:bCs/>
          <w:sz w:val="22"/>
        </w:rPr>
        <w:t xml:space="preserve">mit drittem </w:t>
      </w:r>
      <w:proofErr w:type="gramStart"/>
      <w:r w:rsidR="00E26E56">
        <w:rPr>
          <w:b/>
          <w:bCs/>
          <w:sz w:val="22"/>
        </w:rPr>
        <w:t>starken</w:t>
      </w:r>
      <w:proofErr w:type="gramEnd"/>
      <w:r w:rsidR="00E26E56">
        <w:rPr>
          <w:b/>
          <w:bCs/>
          <w:sz w:val="22"/>
        </w:rPr>
        <w:t xml:space="preserve"> Quartal in Folge</w:t>
      </w:r>
      <w:r w:rsidR="00C33BEB">
        <w:rPr>
          <w:b/>
          <w:bCs/>
          <w:sz w:val="22"/>
        </w:rPr>
        <w:br/>
      </w:r>
    </w:p>
    <w:p w:rsidR="00FD4D79" w:rsidRDefault="00FD4D79" w:rsidP="00FD4D79">
      <w:pPr>
        <w:spacing w:line="300" w:lineRule="exact"/>
        <w:ind w:left="0"/>
        <w:rPr>
          <w:b/>
          <w:bCs/>
          <w:sz w:val="20"/>
          <w:szCs w:val="20"/>
        </w:rPr>
      </w:pPr>
    </w:p>
    <w:bookmarkEnd w:id="0"/>
    <w:p w:rsidR="006F5B89" w:rsidRPr="00FD4D79" w:rsidRDefault="00D12750"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 xml:space="preserve">Erfolgreiche </w:t>
      </w:r>
      <w:r w:rsidR="00F61187" w:rsidRPr="00FD4D79">
        <w:rPr>
          <w:rFonts w:cs="Lucida Sans Unicode"/>
          <w:b/>
          <w:bCs/>
          <w:position w:val="0"/>
          <w:sz w:val="20"/>
          <w:szCs w:val="20"/>
        </w:rPr>
        <w:t xml:space="preserve">Geschäftsentwicklung setzt sich </w:t>
      </w:r>
      <w:r w:rsidR="006F5B89" w:rsidRPr="00FD4D79">
        <w:rPr>
          <w:rFonts w:cs="Lucida Sans Unicode"/>
          <w:b/>
          <w:bCs/>
          <w:position w:val="0"/>
          <w:sz w:val="20"/>
          <w:szCs w:val="20"/>
        </w:rPr>
        <w:t xml:space="preserve">auch </w:t>
      </w:r>
      <w:r w:rsidR="00F61187" w:rsidRPr="00FD4D79">
        <w:rPr>
          <w:rFonts w:cs="Lucida Sans Unicode"/>
          <w:b/>
          <w:bCs/>
          <w:position w:val="0"/>
          <w:sz w:val="20"/>
          <w:szCs w:val="20"/>
        </w:rPr>
        <w:t xml:space="preserve">in der </w:t>
      </w:r>
    </w:p>
    <w:p w:rsidR="00F61187" w:rsidRPr="00FD4D79" w:rsidRDefault="00F61187" w:rsidP="00025602">
      <w:pPr>
        <w:tabs>
          <w:tab w:val="num" w:pos="1425"/>
        </w:tabs>
        <w:spacing w:line="300" w:lineRule="exact"/>
        <w:ind w:left="312"/>
        <w:rPr>
          <w:rFonts w:cs="Lucida Sans Unicode"/>
          <w:b/>
          <w:bCs/>
          <w:position w:val="0"/>
          <w:sz w:val="20"/>
          <w:szCs w:val="20"/>
        </w:rPr>
      </w:pPr>
      <w:r w:rsidRPr="00FD4D79">
        <w:rPr>
          <w:rFonts w:cs="Lucida Sans Unicode"/>
          <w:b/>
          <w:bCs/>
          <w:position w:val="0"/>
          <w:sz w:val="20"/>
          <w:szCs w:val="20"/>
        </w:rPr>
        <w:t>2. Jahreshälfte fort</w:t>
      </w:r>
    </w:p>
    <w:p w:rsidR="00F61187" w:rsidRPr="00FD4D79" w:rsidRDefault="00F61187"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 xml:space="preserve">Umsatz steigt um 4 Prozent auf 3,4 Milliarden </w:t>
      </w:r>
      <w:r w:rsidR="00FD4D79">
        <w:rPr>
          <w:rFonts w:cs="Lucida Sans Unicode"/>
          <w:b/>
          <w:bCs/>
          <w:position w:val="0"/>
          <w:sz w:val="20"/>
          <w:szCs w:val="20"/>
        </w:rPr>
        <w:t>€</w:t>
      </w:r>
    </w:p>
    <w:p w:rsidR="00F61187" w:rsidRPr="00FD4D79" w:rsidRDefault="00F61187"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 xml:space="preserve">Bereinigtes EBITDA deutlich auf 653 Millionen </w:t>
      </w:r>
      <w:r w:rsidR="00FD4D79">
        <w:rPr>
          <w:rFonts w:cs="Lucida Sans Unicode"/>
          <w:b/>
          <w:bCs/>
          <w:position w:val="0"/>
          <w:sz w:val="20"/>
          <w:szCs w:val="20"/>
        </w:rPr>
        <w:t>€</w:t>
      </w:r>
      <w:r w:rsidRPr="00FD4D79">
        <w:rPr>
          <w:rFonts w:cs="Lucida Sans Unicode"/>
          <w:b/>
          <w:bCs/>
          <w:position w:val="0"/>
          <w:sz w:val="20"/>
          <w:szCs w:val="20"/>
        </w:rPr>
        <w:t xml:space="preserve"> (+31 Prozent) verbessert und damit auf dem hohen Niveau der Vorquartale</w:t>
      </w:r>
    </w:p>
    <w:p w:rsidR="00F61187" w:rsidRPr="00FD4D79" w:rsidRDefault="00F61187"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Alle drei Chemiesegmente steigern Ergebnisse gegenüber Vorjahr</w:t>
      </w:r>
    </w:p>
    <w:p w:rsidR="00F61187" w:rsidRPr="00FD4D79" w:rsidRDefault="00F61187"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 xml:space="preserve">Bereinigte EBITDA-Marge mit 19,4 Prozent </w:t>
      </w:r>
      <w:r w:rsidR="00F2263B" w:rsidRPr="00FD4D79">
        <w:rPr>
          <w:rFonts w:cs="Lucida Sans Unicode"/>
          <w:b/>
          <w:bCs/>
          <w:position w:val="0"/>
          <w:sz w:val="20"/>
          <w:szCs w:val="20"/>
        </w:rPr>
        <w:t xml:space="preserve">im Branchenvergleich auf herausragendem </w:t>
      </w:r>
      <w:r w:rsidRPr="00FD4D79">
        <w:rPr>
          <w:rFonts w:cs="Lucida Sans Unicode"/>
          <w:b/>
          <w:bCs/>
          <w:position w:val="0"/>
          <w:sz w:val="20"/>
          <w:szCs w:val="20"/>
        </w:rPr>
        <w:t>Niveau</w:t>
      </w:r>
    </w:p>
    <w:p w:rsidR="00F61187" w:rsidRPr="00FD4D79" w:rsidRDefault="00F61187" w:rsidP="00FD4D79">
      <w:pPr>
        <w:numPr>
          <w:ilvl w:val="0"/>
          <w:numId w:val="14"/>
        </w:numPr>
        <w:tabs>
          <w:tab w:val="clear" w:pos="1425"/>
          <w:tab w:val="num" w:pos="851"/>
          <w:tab w:val="num" w:pos="1397"/>
        </w:tabs>
        <w:spacing w:line="300" w:lineRule="exact"/>
        <w:ind w:left="312" w:hanging="312"/>
        <w:rPr>
          <w:rFonts w:cs="Lucida Sans Unicode"/>
          <w:b/>
          <w:bCs/>
          <w:position w:val="0"/>
          <w:sz w:val="20"/>
          <w:szCs w:val="20"/>
        </w:rPr>
      </w:pPr>
      <w:r w:rsidRPr="00FD4D79">
        <w:rPr>
          <w:rFonts w:cs="Lucida Sans Unicode"/>
          <w:b/>
          <w:bCs/>
          <w:position w:val="0"/>
          <w:sz w:val="20"/>
          <w:szCs w:val="20"/>
        </w:rPr>
        <w:t xml:space="preserve">Prognose für das Gesamtjahr 2015 bestätigt  </w:t>
      </w:r>
    </w:p>
    <w:p w:rsidR="00110428" w:rsidRPr="00A02C86" w:rsidRDefault="00110428" w:rsidP="00110428">
      <w:pPr>
        <w:spacing w:line="300" w:lineRule="exact"/>
        <w:ind w:left="312"/>
        <w:rPr>
          <w:rFonts w:cs="Lucida Sans Unicode"/>
          <w:b/>
          <w:bCs/>
          <w:position w:val="0"/>
          <w:sz w:val="20"/>
          <w:szCs w:val="20"/>
        </w:rPr>
      </w:pPr>
      <w:r>
        <w:rPr>
          <w:rFonts w:cs="Lucida Sans Unicode"/>
          <w:b/>
          <w:bCs/>
          <w:position w:val="0"/>
          <w:sz w:val="20"/>
          <w:szCs w:val="20"/>
        </w:rPr>
        <w:br/>
      </w:r>
    </w:p>
    <w:p w:rsidR="00F61187" w:rsidRDefault="00F61187" w:rsidP="00FD4D79">
      <w:pPr>
        <w:spacing w:line="300" w:lineRule="exact"/>
        <w:ind w:left="0" w:right="-62"/>
        <w:rPr>
          <w:rFonts w:cs="Lucida Sans Unicode"/>
          <w:sz w:val="20"/>
          <w:szCs w:val="20"/>
        </w:rPr>
      </w:pPr>
      <w:r w:rsidRPr="00F61187">
        <w:rPr>
          <w:rFonts w:cs="Lucida Sans Unicode"/>
          <w:sz w:val="20"/>
          <w:szCs w:val="20"/>
        </w:rPr>
        <w:t xml:space="preserve">Essen. „Evonik bleibt auf einem erfolgreichen Weg“, erklärte Klaus Engel, Vorstandsvorsitzender der Evonik Industries AG, heute anlässlich der Veröffentlichung der wirtschaftlichen Eckdaten für das </w:t>
      </w:r>
      <w:r w:rsidR="00D5061B">
        <w:rPr>
          <w:rFonts w:cs="Lucida Sans Unicode"/>
          <w:sz w:val="20"/>
          <w:szCs w:val="20"/>
        </w:rPr>
        <w:t>3.</w:t>
      </w:r>
      <w:r w:rsidR="00D12750">
        <w:rPr>
          <w:rFonts w:cs="Lucida Sans Unicode"/>
          <w:sz w:val="20"/>
          <w:szCs w:val="20"/>
        </w:rPr>
        <w:t xml:space="preserve"> </w:t>
      </w:r>
      <w:r w:rsidRPr="00F61187">
        <w:rPr>
          <w:rFonts w:cs="Lucida Sans Unicode"/>
          <w:sz w:val="20"/>
          <w:szCs w:val="20"/>
        </w:rPr>
        <w:t xml:space="preserve">Quartal und </w:t>
      </w:r>
      <w:r w:rsidR="00557012">
        <w:rPr>
          <w:rFonts w:cs="Lucida Sans Unicode"/>
          <w:sz w:val="20"/>
          <w:szCs w:val="20"/>
        </w:rPr>
        <w:br/>
      </w:r>
      <w:r w:rsidRPr="00F61187">
        <w:rPr>
          <w:rFonts w:cs="Lucida Sans Unicode"/>
          <w:sz w:val="20"/>
          <w:szCs w:val="20"/>
        </w:rPr>
        <w:t>de</w:t>
      </w:r>
      <w:r w:rsidR="00D00C67">
        <w:rPr>
          <w:rFonts w:cs="Lucida Sans Unicode"/>
          <w:sz w:val="20"/>
          <w:szCs w:val="20"/>
        </w:rPr>
        <w:t>s</w:t>
      </w:r>
      <w:r w:rsidRPr="00F61187">
        <w:rPr>
          <w:rFonts w:cs="Lucida Sans Unicode"/>
          <w:sz w:val="20"/>
          <w:szCs w:val="20"/>
        </w:rPr>
        <w:t xml:space="preserve"> Zwischenbericht</w:t>
      </w:r>
      <w:r w:rsidR="00D00C67">
        <w:rPr>
          <w:rFonts w:cs="Lucida Sans Unicode"/>
          <w:sz w:val="20"/>
          <w:szCs w:val="20"/>
        </w:rPr>
        <w:t>s</w:t>
      </w:r>
      <w:r w:rsidRPr="00F61187">
        <w:rPr>
          <w:rFonts w:cs="Lucida Sans Unicode"/>
          <w:sz w:val="20"/>
          <w:szCs w:val="20"/>
        </w:rPr>
        <w:t xml:space="preserve"> für den Zeitraum Januar bis September 2015. Zur Begründung sagte er: „Auch in der zweiten Jahreshälfte </w:t>
      </w:r>
      <w:r w:rsidR="00193396">
        <w:rPr>
          <w:rFonts w:cs="Lucida Sans Unicode"/>
          <w:sz w:val="20"/>
          <w:szCs w:val="20"/>
        </w:rPr>
        <w:t xml:space="preserve">setzt </w:t>
      </w:r>
      <w:r w:rsidRPr="00F61187">
        <w:rPr>
          <w:rFonts w:cs="Lucida Sans Unicode"/>
          <w:sz w:val="20"/>
          <w:szCs w:val="20"/>
        </w:rPr>
        <w:t>sich unsere Geschäftsentwicklung auf hohem Niveau fort. Erfreulich</w:t>
      </w:r>
      <w:r w:rsidR="00193396">
        <w:rPr>
          <w:rFonts w:cs="Lucida Sans Unicode"/>
          <w:sz w:val="20"/>
          <w:szCs w:val="20"/>
        </w:rPr>
        <w:t xml:space="preserve"> </w:t>
      </w:r>
      <w:r w:rsidR="00D00C67">
        <w:rPr>
          <w:rFonts w:cs="Lucida Sans Unicode"/>
          <w:sz w:val="20"/>
          <w:szCs w:val="20"/>
        </w:rPr>
        <w:t>ist</w:t>
      </w:r>
      <w:r w:rsidRPr="00F61187">
        <w:rPr>
          <w:rFonts w:cs="Lucida Sans Unicode"/>
          <w:sz w:val="20"/>
          <w:szCs w:val="20"/>
        </w:rPr>
        <w:t xml:space="preserve">, dass alle drei Chemiesegmente </w:t>
      </w:r>
      <w:r w:rsidR="00193396">
        <w:rPr>
          <w:rFonts w:cs="Lucida Sans Unicode"/>
          <w:sz w:val="20"/>
          <w:szCs w:val="20"/>
        </w:rPr>
        <w:t xml:space="preserve">im </w:t>
      </w:r>
      <w:r w:rsidR="00D5061B">
        <w:rPr>
          <w:rFonts w:cs="Lucida Sans Unicode"/>
          <w:sz w:val="20"/>
          <w:szCs w:val="20"/>
        </w:rPr>
        <w:t>3.</w:t>
      </w:r>
      <w:r w:rsidR="00161D2B">
        <w:rPr>
          <w:rFonts w:cs="Lucida Sans Unicode"/>
          <w:sz w:val="20"/>
          <w:szCs w:val="20"/>
        </w:rPr>
        <w:t xml:space="preserve"> </w:t>
      </w:r>
      <w:r w:rsidR="00193396">
        <w:rPr>
          <w:rFonts w:cs="Lucida Sans Unicode"/>
          <w:sz w:val="20"/>
          <w:szCs w:val="20"/>
        </w:rPr>
        <w:t xml:space="preserve">Quartal </w:t>
      </w:r>
      <w:r w:rsidRPr="00F61187">
        <w:rPr>
          <w:rFonts w:cs="Lucida Sans Unicode"/>
          <w:sz w:val="20"/>
          <w:szCs w:val="20"/>
        </w:rPr>
        <w:t>ihre Ergebnisse gegenüber dem Vorjahr steigern konnten. Darauf aufbauend und überzeugt von unserer Leistungsfähigkeit blicken wir zuversichtlich nach vorn.“</w:t>
      </w:r>
    </w:p>
    <w:p w:rsidR="00FD4D79" w:rsidRPr="00F61187" w:rsidRDefault="00FD4D79" w:rsidP="00FD4D79">
      <w:pPr>
        <w:spacing w:line="300" w:lineRule="exact"/>
        <w:ind w:left="0" w:right="-62"/>
        <w:rPr>
          <w:rFonts w:cs="Lucida Sans Unicode"/>
          <w:sz w:val="20"/>
          <w:szCs w:val="20"/>
        </w:rPr>
      </w:pPr>
    </w:p>
    <w:p w:rsidR="00F61187" w:rsidRPr="00F61187" w:rsidRDefault="00F61187" w:rsidP="00FD4D79">
      <w:pPr>
        <w:spacing w:line="300" w:lineRule="exact"/>
        <w:ind w:left="0" w:right="-62"/>
        <w:rPr>
          <w:rFonts w:cs="Lucida Sans Unicode"/>
          <w:sz w:val="20"/>
          <w:szCs w:val="20"/>
        </w:rPr>
      </w:pPr>
      <w:r w:rsidRPr="00F61187">
        <w:rPr>
          <w:rFonts w:cs="Lucida Sans Unicode"/>
          <w:sz w:val="20"/>
          <w:szCs w:val="20"/>
        </w:rPr>
        <w:t xml:space="preserve">Auf Konzernebene </w:t>
      </w:r>
      <w:r w:rsidR="00D00C67">
        <w:rPr>
          <w:rFonts w:cs="Lucida Sans Unicode"/>
          <w:sz w:val="20"/>
          <w:szCs w:val="20"/>
        </w:rPr>
        <w:t>knüpf</w:t>
      </w:r>
      <w:r w:rsidR="00EA1612">
        <w:rPr>
          <w:rFonts w:cs="Lucida Sans Unicode"/>
          <w:sz w:val="20"/>
          <w:szCs w:val="20"/>
        </w:rPr>
        <w:t>t</w:t>
      </w:r>
      <w:r w:rsidR="00D00C67">
        <w:rPr>
          <w:rFonts w:cs="Lucida Sans Unicode"/>
          <w:sz w:val="20"/>
          <w:szCs w:val="20"/>
        </w:rPr>
        <w:t>en</w:t>
      </w:r>
      <w:r w:rsidRPr="00F61187">
        <w:rPr>
          <w:rFonts w:cs="Lucida Sans Unicode"/>
          <w:sz w:val="20"/>
          <w:szCs w:val="20"/>
        </w:rPr>
        <w:t xml:space="preserve"> sowohl Umsatz als auch bereinigte</w:t>
      </w:r>
      <w:r w:rsidR="00C33BEB">
        <w:rPr>
          <w:rFonts w:cs="Lucida Sans Unicode"/>
          <w:sz w:val="20"/>
          <w:szCs w:val="20"/>
        </w:rPr>
        <w:t>s</w:t>
      </w:r>
      <w:r w:rsidRPr="00F61187">
        <w:rPr>
          <w:rFonts w:cs="Lucida Sans Unicode"/>
          <w:sz w:val="20"/>
          <w:szCs w:val="20"/>
        </w:rPr>
        <w:t xml:space="preserve"> EBITDA </w:t>
      </w:r>
      <w:r w:rsidR="00557012">
        <w:rPr>
          <w:rFonts w:cs="Lucida Sans Unicode"/>
          <w:sz w:val="20"/>
          <w:szCs w:val="20"/>
        </w:rPr>
        <w:br/>
      </w:r>
      <w:r w:rsidRPr="00F61187">
        <w:rPr>
          <w:rFonts w:cs="Lucida Sans Unicode"/>
          <w:sz w:val="20"/>
          <w:szCs w:val="20"/>
        </w:rPr>
        <w:t>an die beiden starken Vorquartale an</w:t>
      </w:r>
      <w:r>
        <w:rPr>
          <w:rFonts w:cs="Lucida Sans Unicode"/>
          <w:sz w:val="20"/>
          <w:szCs w:val="20"/>
        </w:rPr>
        <w:t>. Weltweit waren Evonik-</w:t>
      </w:r>
      <w:r w:rsidRPr="00F61187">
        <w:rPr>
          <w:rFonts w:cs="Lucida Sans Unicode"/>
          <w:sz w:val="20"/>
          <w:szCs w:val="20"/>
        </w:rPr>
        <w:t xml:space="preserve">Produkte erneut gut nachgefragt. Die Absatzmengen blieben jedoch </w:t>
      </w:r>
      <w:r w:rsidR="002D6FC5">
        <w:rPr>
          <w:rFonts w:cs="Lucida Sans Unicode"/>
          <w:sz w:val="20"/>
          <w:szCs w:val="20"/>
        </w:rPr>
        <w:t xml:space="preserve">auch </w:t>
      </w:r>
      <w:r w:rsidRPr="00F61187">
        <w:rPr>
          <w:rFonts w:cs="Lucida Sans Unicode"/>
          <w:sz w:val="20"/>
          <w:szCs w:val="20"/>
        </w:rPr>
        <w:t xml:space="preserve">infolge </w:t>
      </w:r>
      <w:r w:rsidR="00557012">
        <w:rPr>
          <w:rFonts w:cs="Lucida Sans Unicode"/>
          <w:sz w:val="20"/>
          <w:szCs w:val="20"/>
        </w:rPr>
        <w:br/>
      </w:r>
      <w:r w:rsidRPr="00F61187">
        <w:rPr>
          <w:rFonts w:cs="Lucida Sans Unicode"/>
          <w:sz w:val="20"/>
          <w:szCs w:val="20"/>
        </w:rPr>
        <w:t xml:space="preserve">von geplanten Anlagenwartungen leicht unter denen des Vorjahresquartals. Die Verkaufspreise erhöhten sich im Segment Nutrition &amp; Care deutlich, während sie im Segment Performance Materials vor allem infolge des geringeren Rohölpreises nachgaben. Insgesamt lagen sie über dem </w:t>
      </w:r>
      <w:r w:rsidR="00557012">
        <w:rPr>
          <w:rFonts w:cs="Lucida Sans Unicode"/>
          <w:sz w:val="20"/>
          <w:szCs w:val="20"/>
        </w:rPr>
        <w:br/>
      </w:r>
      <w:r w:rsidRPr="00F61187">
        <w:rPr>
          <w:rFonts w:cs="Lucida Sans Unicode"/>
          <w:sz w:val="20"/>
          <w:szCs w:val="20"/>
        </w:rPr>
        <w:t xml:space="preserve">Niveau des Vorjahresquartals. </w:t>
      </w:r>
    </w:p>
    <w:p w:rsidR="00F61187" w:rsidRPr="00F61187" w:rsidRDefault="00F61187" w:rsidP="00F61187">
      <w:pPr>
        <w:spacing w:after="120" w:line="300" w:lineRule="exact"/>
        <w:ind w:left="0" w:right="-62"/>
        <w:rPr>
          <w:rFonts w:cs="Lucida Sans Unicode"/>
          <w:sz w:val="20"/>
          <w:szCs w:val="20"/>
        </w:rPr>
      </w:pPr>
    </w:p>
    <w:p w:rsidR="00557012" w:rsidRDefault="00557012">
      <w:pPr>
        <w:spacing w:line="240" w:lineRule="auto"/>
        <w:ind w:left="0" w:right="0"/>
        <w:rPr>
          <w:rFonts w:cs="Lucida Sans Unicode"/>
          <w:b/>
          <w:sz w:val="20"/>
          <w:szCs w:val="20"/>
        </w:rPr>
      </w:pPr>
      <w:r>
        <w:rPr>
          <w:rFonts w:cs="Lucida Sans Unicode"/>
          <w:b/>
          <w:sz w:val="20"/>
          <w:szCs w:val="20"/>
        </w:rPr>
        <w:br w:type="page"/>
      </w:r>
    </w:p>
    <w:p w:rsidR="00F61187" w:rsidRPr="00F61187" w:rsidRDefault="00F61187" w:rsidP="00F61187">
      <w:pPr>
        <w:spacing w:after="120" w:line="300" w:lineRule="exact"/>
        <w:ind w:left="0" w:right="-62"/>
        <w:rPr>
          <w:rFonts w:cs="Lucida Sans Unicode"/>
          <w:b/>
          <w:sz w:val="20"/>
          <w:szCs w:val="20"/>
        </w:rPr>
      </w:pPr>
      <w:r w:rsidRPr="00F61187">
        <w:rPr>
          <w:rFonts w:cs="Lucida Sans Unicode"/>
          <w:b/>
          <w:sz w:val="20"/>
          <w:szCs w:val="20"/>
        </w:rPr>
        <w:lastRenderedPageBreak/>
        <w:t>Kennzahlen Evonik-Konzern 3.</w:t>
      </w:r>
      <w:r w:rsidR="00161D2B">
        <w:rPr>
          <w:rFonts w:cs="Lucida Sans Unicode"/>
          <w:b/>
          <w:sz w:val="20"/>
          <w:szCs w:val="20"/>
        </w:rPr>
        <w:t xml:space="preserve"> </w:t>
      </w:r>
      <w:r w:rsidRPr="00F61187">
        <w:rPr>
          <w:rFonts w:cs="Lucida Sans Unicode"/>
          <w:b/>
          <w:sz w:val="20"/>
          <w:szCs w:val="20"/>
        </w:rPr>
        <w:t>Quartal und Dreivierteljahr 2015</w:t>
      </w:r>
    </w:p>
    <w:p w:rsidR="00F61187" w:rsidRPr="00F61187" w:rsidRDefault="00F61187" w:rsidP="00F61187">
      <w:pPr>
        <w:spacing w:after="120" w:line="300" w:lineRule="exact"/>
        <w:ind w:left="0" w:right="-62"/>
        <w:rPr>
          <w:rFonts w:cs="Lucida Sans Unicode"/>
          <w:sz w:val="20"/>
          <w:szCs w:val="20"/>
        </w:rPr>
      </w:pPr>
      <w:r w:rsidRPr="00F61187">
        <w:rPr>
          <w:rFonts w:cs="Lucida Sans Unicode"/>
          <w:sz w:val="20"/>
          <w:szCs w:val="20"/>
        </w:rPr>
        <w:t xml:space="preserve">Getragen von höheren Preisen </w:t>
      </w:r>
      <w:r w:rsidR="00161D2B">
        <w:rPr>
          <w:rFonts w:cs="Lucida Sans Unicode"/>
          <w:sz w:val="20"/>
          <w:szCs w:val="20"/>
        </w:rPr>
        <w:t>und</w:t>
      </w:r>
      <w:r w:rsidR="00161D2B" w:rsidRPr="00F61187">
        <w:rPr>
          <w:rFonts w:cs="Lucida Sans Unicode"/>
          <w:sz w:val="20"/>
          <w:szCs w:val="20"/>
        </w:rPr>
        <w:t xml:space="preserve"> </w:t>
      </w:r>
      <w:r w:rsidR="00C33BEB">
        <w:rPr>
          <w:rFonts w:cs="Lucida Sans Unicode"/>
          <w:sz w:val="20"/>
          <w:szCs w:val="20"/>
        </w:rPr>
        <w:t xml:space="preserve">positiven </w:t>
      </w:r>
      <w:r w:rsidRPr="00F61187">
        <w:rPr>
          <w:rFonts w:cs="Lucida Sans Unicode"/>
          <w:sz w:val="20"/>
          <w:szCs w:val="20"/>
        </w:rPr>
        <w:t xml:space="preserve">Währungseffekten stieg der Umsatz im </w:t>
      </w:r>
      <w:r w:rsidR="007565A4">
        <w:rPr>
          <w:rFonts w:cs="Lucida Sans Unicode"/>
          <w:sz w:val="20"/>
          <w:szCs w:val="20"/>
        </w:rPr>
        <w:t>Berichtsq</w:t>
      </w:r>
      <w:r w:rsidRPr="00F61187">
        <w:rPr>
          <w:rFonts w:cs="Lucida Sans Unicode"/>
          <w:sz w:val="20"/>
          <w:szCs w:val="20"/>
        </w:rPr>
        <w:t>uartal um 4 Prozent auf 3.365 Millionen €, seit Jahresbeginn</w:t>
      </w:r>
      <w:r w:rsidR="007B76EF">
        <w:rPr>
          <w:rFonts w:cs="Lucida Sans Unicode"/>
          <w:sz w:val="20"/>
          <w:szCs w:val="20"/>
        </w:rPr>
        <w:t xml:space="preserve"> </w:t>
      </w:r>
      <w:r w:rsidR="00D12750">
        <w:rPr>
          <w:rFonts w:cs="Lucida Sans Unicode"/>
          <w:sz w:val="20"/>
          <w:szCs w:val="20"/>
        </w:rPr>
        <w:t xml:space="preserve">auch </w:t>
      </w:r>
      <w:r w:rsidR="007B76EF">
        <w:rPr>
          <w:rFonts w:cs="Lucida Sans Unicode"/>
          <w:sz w:val="20"/>
          <w:szCs w:val="20"/>
        </w:rPr>
        <w:t>infolge von höheren Mengen</w:t>
      </w:r>
      <w:r w:rsidRPr="00F61187">
        <w:rPr>
          <w:rFonts w:cs="Lucida Sans Unicode"/>
          <w:sz w:val="20"/>
          <w:szCs w:val="20"/>
        </w:rPr>
        <w:t xml:space="preserve"> um 6 Prozent auf </w:t>
      </w:r>
      <w:r w:rsidR="00557012">
        <w:rPr>
          <w:rFonts w:cs="Lucida Sans Unicode"/>
          <w:sz w:val="20"/>
          <w:szCs w:val="20"/>
        </w:rPr>
        <w:br/>
      </w:r>
      <w:r w:rsidRPr="00F61187">
        <w:rPr>
          <w:rFonts w:cs="Lucida Sans Unicode"/>
          <w:sz w:val="20"/>
          <w:szCs w:val="20"/>
        </w:rPr>
        <w:t xml:space="preserve">10.309 Millionen €. Das bereinigte EBITDA des Konzerns stieg </w:t>
      </w:r>
      <w:r w:rsidR="00D12750">
        <w:rPr>
          <w:rFonts w:cs="Lucida Sans Unicode"/>
          <w:sz w:val="20"/>
          <w:szCs w:val="20"/>
        </w:rPr>
        <w:t xml:space="preserve">im </w:t>
      </w:r>
      <w:r w:rsidR="00557012">
        <w:rPr>
          <w:rFonts w:cs="Lucida Sans Unicode"/>
          <w:sz w:val="20"/>
          <w:szCs w:val="20"/>
        </w:rPr>
        <w:br/>
      </w:r>
      <w:r w:rsidR="00D12750">
        <w:rPr>
          <w:rFonts w:cs="Lucida Sans Unicode"/>
          <w:sz w:val="20"/>
          <w:szCs w:val="20"/>
        </w:rPr>
        <w:t>3. Quartal</w:t>
      </w:r>
      <w:r w:rsidR="007565A4">
        <w:rPr>
          <w:rFonts w:cs="Lucida Sans Unicode"/>
          <w:sz w:val="20"/>
          <w:szCs w:val="20"/>
        </w:rPr>
        <w:t xml:space="preserve"> </w:t>
      </w:r>
      <w:r w:rsidRPr="00F61187">
        <w:rPr>
          <w:rFonts w:cs="Lucida Sans Unicode"/>
          <w:sz w:val="20"/>
          <w:szCs w:val="20"/>
        </w:rPr>
        <w:t xml:space="preserve">um 31 Prozent auf 653 Millionen € und lag damit auf dem hohen Niveau der Vorquartale. Auf das Dreivierteljahr gesehen erhöhte sich das bereinigte EBITDA um 37 Prozent auf 1.964 Millionen </w:t>
      </w:r>
      <w:r w:rsidR="00FD4D79">
        <w:rPr>
          <w:rFonts w:cs="Lucida Sans Unicode"/>
          <w:sz w:val="20"/>
          <w:szCs w:val="20"/>
        </w:rPr>
        <w:t>€</w:t>
      </w:r>
      <w:r w:rsidRPr="00F61187">
        <w:rPr>
          <w:rFonts w:cs="Lucida Sans Unicode"/>
          <w:sz w:val="20"/>
          <w:szCs w:val="20"/>
        </w:rPr>
        <w:t xml:space="preserve">. Diese Entwicklung ist auf die anhaltend gute Mengenentwicklung, zu der auch neue Kapazitäten beitrugen, sowie höhere Verkaufspreise </w:t>
      </w:r>
      <w:r w:rsidR="00C33BEB" w:rsidRPr="00F61187">
        <w:rPr>
          <w:rFonts w:cs="Lucida Sans Unicode"/>
          <w:sz w:val="20"/>
          <w:szCs w:val="20"/>
        </w:rPr>
        <w:t>zurückzuführen</w:t>
      </w:r>
      <w:r w:rsidR="00C33BEB">
        <w:rPr>
          <w:rFonts w:cs="Lucida Sans Unicode"/>
          <w:sz w:val="20"/>
          <w:szCs w:val="20"/>
        </w:rPr>
        <w:t>.</w:t>
      </w:r>
      <w:r w:rsidR="00C33BEB" w:rsidRPr="00F61187">
        <w:rPr>
          <w:rFonts w:cs="Lucida Sans Unicode"/>
          <w:sz w:val="20"/>
          <w:szCs w:val="20"/>
        </w:rPr>
        <w:t xml:space="preserve"> </w:t>
      </w:r>
      <w:r w:rsidR="00C33BEB">
        <w:rPr>
          <w:rFonts w:cs="Lucida Sans Unicode"/>
          <w:sz w:val="20"/>
          <w:szCs w:val="20"/>
        </w:rPr>
        <w:t>L</w:t>
      </w:r>
      <w:r w:rsidRPr="00F61187">
        <w:rPr>
          <w:rFonts w:cs="Lucida Sans Unicode"/>
          <w:sz w:val="20"/>
          <w:szCs w:val="20"/>
        </w:rPr>
        <w:t>eicht geringere Rohstoffkosten</w:t>
      </w:r>
      <w:r w:rsidR="00C33BEB">
        <w:rPr>
          <w:rFonts w:cs="Lucida Sans Unicode"/>
          <w:sz w:val="20"/>
          <w:szCs w:val="20"/>
        </w:rPr>
        <w:t xml:space="preserve"> und Währungseffekte wirkten ebenfalls positiv</w:t>
      </w:r>
      <w:r w:rsidRPr="00F61187">
        <w:rPr>
          <w:rFonts w:cs="Lucida Sans Unicode"/>
          <w:sz w:val="20"/>
          <w:szCs w:val="20"/>
        </w:rPr>
        <w:t xml:space="preserve">. Die bereinigte EBITDA-Marge erreichte im </w:t>
      </w:r>
      <w:r w:rsidR="00D5061B">
        <w:rPr>
          <w:rFonts w:cs="Lucida Sans Unicode"/>
          <w:sz w:val="20"/>
          <w:szCs w:val="20"/>
        </w:rPr>
        <w:t>3.</w:t>
      </w:r>
      <w:r w:rsidR="00C521E3">
        <w:rPr>
          <w:rFonts w:cs="Lucida Sans Unicode"/>
          <w:sz w:val="20"/>
          <w:szCs w:val="20"/>
        </w:rPr>
        <w:t xml:space="preserve"> </w:t>
      </w:r>
      <w:r w:rsidR="00D5061B">
        <w:rPr>
          <w:rFonts w:cs="Lucida Sans Unicode"/>
          <w:sz w:val="20"/>
          <w:szCs w:val="20"/>
        </w:rPr>
        <w:t>Q</w:t>
      </w:r>
      <w:r w:rsidRPr="00F61187">
        <w:rPr>
          <w:rFonts w:cs="Lucida Sans Unicode"/>
          <w:sz w:val="20"/>
          <w:szCs w:val="20"/>
        </w:rPr>
        <w:t xml:space="preserve">uartal mit </w:t>
      </w:r>
      <w:r w:rsidR="00557012">
        <w:rPr>
          <w:rFonts w:cs="Lucida Sans Unicode"/>
          <w:sz w:val="20"/>
          <w:szCs w:val="20"/>
        </w:rPr>
        <w:br/>
      </w:r>
      <w:r w:rsidRPr="00F61187">
        <w:rPr>
          <w:rFonts w:cs="Lucida Sans Unicode"/>
          <w:sz w:val="20"/>
          <w:szCs w:val="20"/>
        </w:rPr>
        <w:t>19,4 Prozent einen im Branchenvergleich herausragenden Wert. In den Monaten Januar bis September verbesserte sie</w:t>
      </w:r>
      <w:bookmarkStart w:id="1" w:name="_GoBack"/>
      <w:bookmarkEnd w:id="1"/>
      <w:r w:rsidRPr="00F61187">
        <w:rPr>
          <w:rFonts w:cs="Lucida Sans Unicode"/>
          <w:sz w:val="20"/>
          <w:szCs w:val="20"/>
        </w:rPr>
        <w:t xml:space="preserve"> sich von 14,8 Prozent im Vorjahreszeitraum auf  19,1 Prozent. Das bereinigte Konzernergebnis</w:t>
      </w:r>
      <w:r w:rsidR="007B76EF">
        <w:rPr>
          <w:rFonts w:cs="Lucida Sans Unicode"/>
          <w:sz w:val="20"/>
          <w:szCs w:val="20"/>
        </w:rPr>
        <w:t xml:space="preserve"> </w:t>
      </w:r>
      <w:r w:rsidRPr="00F61187">
        <w:rPr>
          <w:rFonts w:cs="Lucida Sans Unicode"/>
          <w:sz w:val="20"/>
          <w:szCs w:val="20"/>
        </w:rPr>
        <w:t xml:space="preserve">erhöhte sich im </w:t>
      </w:r>
      <w:r w:rsidR="00D5061B">
        <w:rPr>
          <w:rFonts w:cs="Lucida Sans Unicode"/>
          <w:sz w:val="20"/>
          <w:szCs w:val="20"/>
        </w:rPr>
        <w:t>3.</w:t>
      </w:r>
      <w:r w:rsidR="00D12750">
        <w:rPr>
          <w:rFonts w:cs="Lucida Sans Unicode"/>
          <w:sz w:val="20"/>
          <w:szCs w:val="20"/>
        </w:rPr>
        <w:t xml:space="preserve"> </w:t>
      </w:r>
      <w:r w:rsidRPr="00F61187">
        <w:rPr>
          <w:rFonts w:cs="Lucida Sans Unicode"/>
          <w:sz w:val="20"/>
          <w:szCs w:val="20"/>
        </w:rPr>
        <w:t xml:space="preserve">Quartal um 36 Prozent auf 296 </w:t>
      </w:r>
      <w:r>
        <w:rPr>
          <w:rFonts w:cs="Lucida Sans Unicode"/>
          <w:sz w:val="20"/>
          <w:szCs w:val="20"/>
        </w:rPr>
        <w:t xml:space="preserve">Millionen </w:t>
      </w:r>
      <w:r w:rsidRPr="00F61187">
        <w:rPr>
          <w:rFonts w:cs="Lucida Sans Unicode"/>
          <w:sz w:val="20"/>
          <w:szCs w:val="20"/>
        </w:rPr>
        <w:t xml:space="preserve">€ und um </w:t>
      </w:r>
      <w:r w:rsidR="00557012">
        <w:rPr>
          <w:rFonts w:cs="Lucida Sans Unicode"/>
          <w:sz w:val="20"/>
          <w:szCs w:val="20"/>
        </w:rPr>
        <w:br/>
      </w:r>
      <w:r w:rsidR="00161D2B">
        <w:rPr>
          <w:rFonts w:cs="Lucida Sans Unicode"/>
          <w:sz w:val="20"/>
          <w:szCs w:val="20"/>
        </w:rPr>
        <w:t>56</w:t>
      </w:r>
      <w:r w:rsidRPr="00F61187">
        <w:rPr>
          <w:rFonts w:cs="Lucida Sans Unicode"/>
          <w:sz w:val="20"/>
          <w:szCs w:val="20"/>
        </w:rPr>
        <w:t xml:space="preserve"> Prozent auf 923 Millionen € im Dreivierteljahr 2015. </w:t>
      </w:r>
      <w:r w:rsidR="004C0493" w:rsidRPr="004C0493">
        <w:rPr>
          <w:rFonts w:cs="Lucida Sans Unicode"/>
          <w:sz w:val="20"/>
          <w:szCs w:val="20"/>
        </w:rPr>
        <w:t>Die starke Geschäftsentwicklung im bisherigen Verlauf des Jahres wirkte sich auch positiv auf den Cashflow aus laufender Geschäftstätigkeit aus</w:t>
      </w:r>
      <w:r w:rsidR="004C0493">
        <w:rPr>
          <w:rFonts w:cs="Lucida Sans Unicode"/>
          <w:sz w:val="20"/>
          <w:szCs w:val="20"/>
        </w:rPr>
        <w:t xml:space="preserve">. </w:t>
      </w:r>
      <w:r w:rsidR="00557012">
        <w:rPr>
          <w:rFonts w:cs="Lucida Sans Unicode"/>
          <w:sz w:val="20"/>
          <w:szCs w:val="20"/>
        </w:rPr>
        <w:br/>
      </w:r>
      <w:r w:rsidR="004C0493" w:rsidRPr="004C0493">
        <w:rPr>
          <w:rFonts w:cs="Lucida Sans Unicode"/>
          <w:sz w:val="20"/>
          <w:szCs w:val="20"/>
        </w:rPr>
        <w:t>Mit 1.329 Millionen € lag er bereits deutlich über dem im gesamten Jahr 2014 erzielten Wert von 1.066 Millionen €.</w:t>
      </w:r>
    </w:p>
    <w:p w:rsidR="00F61187" w:rsidRDefault="00F61187" w:rsidP="00F61187">
      <w:pPr>
        <w:spacing w:after="120" w:line="300" w:lineRule="exact"/>
        <w:ind w:left="0" w:right="-62"/>
        <w:rPr>
          <w:rFonts w:cs="Lucida Sans Unicode"/>
          <w:sz w:val="20"/>
          <w:szCs w:val="20"/>
        </w:rPr>
      </w:pPr>
    </w:p>
    <w:p w:rsidR="00F61187" w:rsidRPr="00F61187" w:rsidRDefault="00F61187" w:rsidP="00F61187">
      <w:pPr>
        <w:spacing w:after="120" w:line="300" w:lineRule="exact"/>
        <w:ind w:left="0" w:right="-62"/>
        <w:rPr>
          <w:rFonts w:cs="Lucida Sans Unicode"/>
          <w:b/>
          <w:sz w:val="20"/>
          <w:szCs w:val="20"/>
        </w:rPr>
      </w:pPr>
      <w:r w:rsidRPr="00F61187">
        <w:rPr>
          <w:rFonts w:cs="Lucida Sans Unicode"/>
          <w:b/>
          <w:sz w:val="20"/>
          <w:szCs w:val="20"/>
        </w:rPr>
        <w:t>Jahresprognose bestätigt</w:t>
      </w:r>
    </w:p>
    <w:p w:rsidR="00F61187" w:rsidRPr="00F61187" w:rsidRDefault="001D2AE8" w:rsidP="00F61187">
      <w:pPr>
        <w:spacing w:after="120" w:line="300" w:lineRule="exact"/>
        <w:ind w:left="0" w:right="-62"/>
        <w:rPr>
          <w:rFonts w:cs="Lucida Sans Unicode"/>
          <w:sz w:val="20"/>
          <w:szCs w:val="20"/>
        </w:rPr>
      </w:pPr>
      <w:r>
        <w:rPr>
          <w:rFonts w:cs="Lucida Sans Unicode"/>
          <w:sz w:val="20"/>
          <w:szCs w:val="20"/>
        </w:rPr>
        <w:t>Vor dem Hintergrund der unverändert starken Geschäftsentwicklung</w:t>
      </w:r>
      <w:r w:rsidR="00F61187" w:rsidRPr="00F61187">
        <w:rPr>
          <w:rFonts w:cs="Lucida Sans Unicode"/>
          <w:sz w:val="20"/>
          <w:szCs w:val="20"/>
        </w:rPr>
        <w:t xml:space="preserve"> </w:t>
      </w:r>
      <w:r w:rsidR="00557012">
        <w:rPr>
          <w:rFonts w:cs="Lucida Sans Unicode"/>
          <w:sz w:val="20"/>
          <w:szCs w:val="20"/>
        </w:rPr>
        <w:br/>
      </w:r>
      <w:r w:rsidR="00F61187" w:rsidRPr="00F61187">
        <w:rPr>
          <w:rFonts w:cs="Lucida Sans Unicode"/>
          <w:sz w:val="20"/>
          <w:szCs w:val="20"/>
        </w:rPr>
        <w:t xml:space="preserve">sieht sich Evonik in seinen </w:t>
      </w:r>
      <w:r w:rsidR="00D00C67">
        <w:rPr>
          <w:rFonts w:cs="Lucida Sans Unicode"/>
          <w:sz w:val="20"/>
          <w:szCs w:val="20"/>
        </w:rPr>
        <w:t>Erwartungen</w:t>
      </w:r>
      <w:r w:rsidR="00F61187" w:rsidRPr="00F61187">
        <w:rPr>
          <w:rFonts w:cs="Lucida Sans Unicode"/>
          <w:sz w:val="20"/>
          <w:szCs w:val="20"/>
        </w:rPr>
        <w:t xml:space="preserve"> für das Gesamtjahr bestätigt. </w:t>
      </w:r>
      <w:r w:rsidR="00557012">
        <w:rPr>
          <w:rFonts w:cs="Lucida Sans Unicode"/>
          <w:sz w:val="20"/>
          <w:szCs w:val="20"/>
        </w:rPr>
        <w:br/>
      </w:r>
      <w:r w:rsidR="00F61187" w:rsidRPr="00F61187">
        <w:rPr>
          <w:rFonts w:cs="Lucida Sans Unicode"/>
          <w:sz w:val="20"/>
          <w:szCs w:val="20"/>
        </w:rPr>
        <w:t xml:space="preserve">Zur Jahresmitte war die Prognose angesichts der starken operativen Geschäftsentwicklung auf einen Umsatz von etwa 13,5 Milliarden </w:t>
      </w:r>
      <w:r w:rsidR="00FD4D79">
        <w:rPr>
          <w:rFonts w:cs="Lucida Sans Unicode"/>
          <w:sz w:val="20"/>
          <w:szCs w:val="20"/>
        </w:rPr>
        <w:t>€</w:t>
      </w:r>
      <w:r w:rsidR="00F61187" w:rsidRPr="00F61187">
        <w:rPr>
          <w:rFonts w:cs="Lucida Sans Unicode"/>
          <w:sz w:val="20"/>
          <w:szCs w:val="20"/>
        </w:rPr>
        <w:t xml:space="preserve"> (Vorjahr: 12,9 Milliarden </w:t>
      </w:r>
      <w:r w:rsidR="00FD4D79">
        <w:rPr>
          <w:rFonts w:cs="Lucida Sans Unicode"/>
          <w:sz w:val="20"/>
          <w:szCs w:val="20"/>
        </w:rPr>
        <w:t>€</w:t>
      </w:r>
      <w:r w:rsidR="00F61187" w:rsidRPr="00F61187">
        <w:rPr>
          <w:rFonts w:cs="Lucida Sans Unicode"/>
          <w:sz w:val="20"/>
          <w:szCs w:val="20"/>
        </w:rPr>
        <w:t xml:space="preserve">) und ein bereinigtes EBITDA von </w:t>
      </w:r>
      <w:r w:rsidR="002F78B2">
        <w:rPr>
          <w:rFonts w:cs="Lucida Sans Unicode"/>
          <w:sz w:val="20"/>
          <w:szCs w:val="20"/>
        </w:rPr>
        <w:t xml:space="preserve">etwa </w:t>
      </w:r>
      <w:r w:rsidR="00557012">
        <w:rPr>
          <w:rFonts w:cs="Lucida Sans Unicode"/>
          <w:sz w:val="20"/>
          <w:szCs w:val="20"/>
        </w:rPr>
        <w:br/>
      </w:r>
      <w:r w:rsidR="00F61187" w:rsidRPr="00F61187">
        <w:rPr>
          <w:rFonts w:cs="Lucida Sans Unicode"/>
          <w:sz w:val="20"/>
          <w:szCs w:val="20"/>
        </w:rPr>
        <w:t xml:space="preserve">2,4 Milliarden </w:t>
      </w:r>
      <w:r w:rsidR="00FD4D79">
        <w:rPr>
          <w:rFonts w:cs="Lucida Sans Unicode"/>
          <w:sz w:val="20"/>
          <w:szCs w:val="20"/>
        </w:rPr>
        <w:t>€</w:t>
      </w:r>
      <w:r w:rsidR="00F61187" w:rsidRPr="00F61187">
        <w:rPr>
          <w:rFonts w:cs="Lucida Sans Unicode"/>
          <w:sz w:val="20"/>
          <w:szCs w:val="20"/>
        </w:rPr>
        <w:t xml:space="preserve"> (Vorjahr</w:t>
      </w:r>
      <w:r w:rsidR="00161D2B">
        <w:rPr>
          <w:rFonts w:cs="Lucida Sans Unicode"/>
          <w:sz w:val="20"/>
          <w:szCs w:val="20"/>
        </w:rPr>
        <w:t>:</w:t>
      </w:r>
      <w:r w:rsidR="00F61187" w:rsidRPr="00F61187">
        <w:rPr>
          <w:rFonts w:cs="Lucida Sans Unicode"/>
          <w:sz w:val="20"/>
          <w:szCs w:val="20"/>
        </w:rPr>
        <w:t xml:space="preserve"> 1,9 Milliarden </w:t>
      </w:r>
      <w:r w:rsidR="00FD4D79">
        <w:rPr>
          <w:rFonts w:cs="Lucida Sans Unicode"/>
          <w:sz w:val="20"/>
          <w:szCs w:val="20"/>
        </w:rPr>
        <w:t>€</w:t>
      </w:r>
      <w:r w:rsidR="00F61187" w:rsidRPr="00F61187">
        <w:rPr>
          <w:rFonts w:cs="Lucida Sans Unicode"/>
          <w:sz w:val="20"/>
          <w:szCs w:val="20"/>
        </w:rPr>
        <w:t xml:space="preserve">) erhöht worden.       </w:t>
      </w:r>
    </w:p>
    <w:p w:rsidR="00F61187" w:rsidRDefault="00F61187" w:rsidP="00F61187">
      <w:pPr>
        <w:spacing w:after="120" w:line="300" w:lineRule="exact"/>
        <w:ind w:left="0" w:right="-62"/>
        <w:rPr>
          <w:rFonts w:cs="Lucida Sans Unicode"/>
          <w:sz w:val="20"/>
          <w:szCs w:val="20"/>
        </w:rPr>
      </w:pPr>
    </w:p>
    <w:p w:rsidR="00F61187" w:rsidRPr="00F61187" w:rsidRDefault="00F61187" w:rsidP="00F61187">
      <w:pPr>
        <w:spacing w:after="120" w:line="300" w:lineRule="exact"/>
        <w:ind w:left="0" w:right="-62"/>
        <w:rPr>
          <w:rFonts w:cs="Lucida Sans Unicode"/>
          <w:b/>
          <w:sz w:val="20"/>
          <w:szCs w:val="20"/>
        </w:rPr>
      </w:pPr>
      <w:r w:rsidRPr="00F61187">
        <w:rPr>
          <w:rFonts w:cs="Lucida Sans Unicode"/>
          <w:b/>
          <w:sz w:val="20"/>
          <w:szCs w:val="20"/>
        </w:rPr>
        <w:t>Entwicklung in den Segmenten</w:t>
      </w:r>
    </w:p>
    <w:p w:rsidR="00F61187" w:rsidRPr="00F61187" w:rsidRDefault="00F61187" w:rsidP="00F61187">
      <w:pPr>
        <w:spacing w:after="120" w:line="300" w:lineRule="exact"/>
        <w:ind w:left="0" w:right="-62"/>
        <w:rPr>
          <w:rFonts w:cs="Lucida Sans Unicode"/>
          <w:sz w:val="20"/>
          <w:szCs w:val="20"/>
        </w:rPr>
      </w:pPr>
      <w:r w:rsidRPr="00F61187">
        <w:rPr>
          <w:rFonts w:cs="Lucida Sans Unicode"/>
          <w:sz w:val="20"/>
          <w:szCs w:val="20"/>
        </w:rPr>
        <w:t xml:space="preserve">Erstmals </w:t>
      </w:r>
      <w:r w:rsidR="001D2AE8">
        <w:rPr>
          <w:rFonts w:cs="Lucida Sans Unicode"/>
          <w:sz w:val="20"/>
          <w:szCs w:val="20"/>
        </w:rPr>
        <w:t xml:space="preserve">im Geschäftsjahr 2015 </w:t>
      </w:r>
      <w:r w:rsidRPr="00F61187">
        <w:rPr>
          <w:rFonts w:cs="Lucida Sans Unicode"/>
          <w:sz w:val="20"/>
          <w:szCs w:val="20"/>
        </w:rPr>
        <w:t xml:space="preserve">konnten </w:t>
      </w:r>
      <w:r w:rsidR="001D2AE8">
        <w:rPr>
          <w:rFonts w:cs="Lucida Sans Unicode"/>
          <w:sz w:val="20"/>
          <w:szCs w:val="20"/>
        </w:rPr>
        <w:t xml:space="preserve">im </w:t>
      </w:r>
      <w:r w:rsidR="00D5061B">
        <w:rPr>
          <w:rFonts w:cs="Lucida Sans Unicode"/>
          <w:sz w:val="20"/>
          <w:szCs w:val="20"/>
        </w:rPr>
        <w:t>3.</w:t>
      </w:r>
      <w:r w:rsidR="00D12750">
        <w:rPr>
          <w:rFonts w:cs="Lucida Sans Unicode"/>
          <w:sz w:val="20"/>
          <w:szCs w:val="20"/>
        </w:rPr>
        <w:t xml:space="preserve"> </w:t>
      </w:r>
      <w:r w:rsidR="001D2AE8">
        <w:rPr>
          <w:rFonts w:cs="Lucida Sans Unicode"/>
          <w:sz w:val="20"/>
          <w:szCs w:val="20"/>
        </w:rPr>
        <w:t xml:space="preserve">Quartal </w:t>
      </w:r>
      <w:r w:rsidRPr="00F61187">
        <w:rPr>
          <w:rFonts w:cs="Lucida Sans Unicode"/>
          <w:sz w:val="20"/>
          <w:szCs w:val="20"/>
        </w:rPr>
        <w:t xml:space="preserve">alle drei Chemiesegmente ihre Ergebnisse gegenüber dem Vorjahr steigern. </w:t>
      </w:r>
    </w:p>
    <w:p w:rsidR="00F61187" w:rsidRPr="00F61187" w:rsidRDefault="00F61187" w:rsidP="00F61187">
      <w:pPr>
        <w:spacing w:after="120" w:line="300" w:lineRule="exact"/>
        <w:ind w:left="0" w:right="-62"/>
        <w:rPr>
          <w:rFonts w:cs="Lucida Sans Unicode"/>
          <w:sz w:val="20"/>
          <w:szCs w:val="20"/>
        </w:rPr>
      </w:pPr>
      <w:r w:rsidRPr="00F61187">
        <w:rPr>
          <w:rFonts w:cs="Lucida Sans Unicode"/>
          <w:sz w:val="20"/>
          <w:szCs w:val="20"/>
        </w:rPr>
        <w:t xml:space="preserve">Im Segment </w:t>
      </w:r>
      <w:r w:rsidRPr="00F61187">
        <w:rPr>
          <w:rFonts w:cs="Lucida Sans Unicode"/>
          <w:b/>
          <w:sz w:val="20"/>
          <w:szCs w:val="20"/>
        </w:rPr>
        <w:t>Nutrition &amp; Care</w:t>
      </w:r>
      <w:r w:rsidRPr="00F61187">
        <w:rPr>
          <w:rFonts w:cs="Lucida Sans Unicode"/>
          <w:sz w:val="20"/>
          <w:szCs w:val="20"/>
        </w:rPr>
        <w:t xml:space="preserve"> stieg der Umsatz im </w:t>
      </w:r>
      <w:r w:rsidR="00D5061B">
        <w:rPr>
          <w:rFonts w:cs="Lucida Sans Unicode"/>
          <w:sz w:val="20"/>
          <w:szCs w:val="20"/>
        </w:rPr>
        <w:t>Berichtsq</w:t>
      </w:r>
      <w:r w:rsidRPr="00F61187">
        <w:rPr>
          <w:rFonts w:cs="Lucida Sans Unicode"/>
          <w:sz w:val="20"/>
          <w:szCs w:val="20"/>
        </w:rPr>
        <w:t xml:space="preserve">uartal um </w:t>
      </w:r>
      <w:r w:rsidR="00557012">
        <w:rPr>
          <w:rFonts w:cs="Lucida Sans Unicode"/>
          <w:sz w:val="20"/>
          <w:szCs w:val="20"/>
        </w:rPr>
        <w:br/>
      </w:r>
      <w:r w:rsidRPr="00F61187">
        <w:rPr>
          <w:rFonts w:cs="Lucida Sans Unicode"/>
          <w:sz w:val="20"/>
          <w:szCs w:val="20"/>
        </w:rPr>
        <w:t xml:space="preserve">22 Prozent auf 1.240 Millionen </w:t>
      </w:r>
      <w:r w:rsidR="00FD4D79">
        <w:rPr>
          <w:rFonts w:cs="Lucida Sans Unicode"/>
          <w:sz w:val="20"/>
          <w:szCs w:val="20"/>
        </w:rPr>
        <w:t>€</w:t>
      </w:r>
      <w:r w:rsidRPr="00F61187">
        <w:rPr>
          <w:rFonts w:cs="Lucida Sans Unicode"/>
          <w:sz w:val="20"/>
          <w:szCs w:val="20"/>
        </w:rPr>
        <w:t xml:space="preserve"> (Vorjahr: 1.016 Millionen </w:t>
      </w:r>
      <w:r w:rsidR="00FD4D79">
        <w:rPr>
          <w:rFonts w:cs="Lucida Sans Unicode"/>
          <w:sz w:val="20"/>
          <w:szCs w:val="20"/>
        </w:rPr>
        <w:t>€</w:t>
      </w:r>
      <w:r w:rsidRPr="00F61187">
        <w:rPr>
          <w:rFonts w:cs="Lucida Sans Unicode"/>
          <w:sz w:val="20"/>
          <w:szCs w:val="20"/>
        </w:rPr>
        <w:t xml:space="preserve">). Hierzu trugen bei leicht gestiegenen Mengen vor allem deutliche höhere Verkaufspreise sowie positive Währungseinflüsse bei. </w:t>
      </w:r>
      <w:r w:rsidR="00A971B8">
        <w:rPr>
          <w:rFonts w:cs="Lucida Sans Unicode"/>
          <w:sz w:val="20"/>
          <w:szCs w:val="20"/>
        </w:rPr>
        <w:t xml:space="preserve">Begünstigt durch </w:t>
      </w:r>
      <w:r w:rsidRPr="00F61187">
        <w:rPr>
          <w:rFonts w:cs="Lucida Sans Unicode"/>
          <w:sz w:val="20"/>
          <w:szCs w:val="20"/>
        </w:rPr>
        <w:t xml:space="preserve">höhere Preise sowie geringere Rohstoffkosten stieg das bereinigte EBITDA </w:t>
      </w:r>
      <w:r w:rsidRPr="00F61187">
        <w:rPr>
          <w:rFonts w:cs="Lucida Sans Unicode"/>
          <w:sz w:val="20"/>
          <w:szCs w:val="20"/>
        </w:rPr>
        <w:lastRenderedPageBreak/>
        <w:t xml:space="preserve">um 85 Prozent auf 382 Millionen €. Die bereinigte EBITDA-Marge verbesserte sich deutlich von 20,3 Prozent im Vorjahresquartal auf </w:t>
      </w:r>
      <w:r w:rsidR="00557012">
        <w:rPr>
          <w:rFonts w:cs="Lucida Sans Unicode"/>
          <w:sz w:val="20"/>
          <w:szCs w:val="20"/>
        </w:rPr>
        <w:br/>
      </w:r>
      <w:r w:rsidRPr="00F61187">
        <w:rPr>
          <w:rFonts w:cs="Lucida Sans Unicode"/>
          <w:sz w:val="20"/>
          <w:szCs w:val="20"/>
        </w:rPr>
        <w:t>30,8 Prozent.</w:t>
      </w:r>
    </w:p>
    <w:p w:rsidR="00F61187" w:rsidRPr="00F61187" w:rsidRDefault="00F61187" w:rsidP="00F61187">
      <w:pPr>
        <w:spacing w:after="120" w:line="300" w:lineRule="exact"/>
        <w:ind w:left="0" w:right="-62"/>
        <w:rPr>
          <w:rFonts w:cs="Lucida Sans Unicode"/>
          <w:sz w:val="20"/>
          <w:szCs w:val="20"/>
        </w:rPr>
      </w:pPr>
      <w:r w:rsidRPr="00F61187">
        <w:rPr>
          <w:rFonts w:cs="Lucida Sans Unicode"/>
          <w:sz w:val="20"/>
          <w:szCs w:val="20"/>
        </w:rPr>
        <w:t xml:space="preserve">Im Segment </w:t>
      </w:r>
      <w:r w:rsidRPr="00F61187">
        <w:rPr>
          <w:rFonts w:cs="Lucida Sans Unicode"/>
          <w:b/>
          <w:sz w:val="20"/>
          <w:szCs w:val="20"/>
        </w:rPr>
        <w:t>Resource Efficiency</w:t>
      </w:r>
      <w:r w:rsidRPr="00F61187">
        <w:rPr>
          <w:rFonts w:cs="Lucida Sans Unicode"/>
          <w:sz w:val="20"/>
          <w:szCs w:val="20"/>
        </w:rPr>
        <w:t xml:space="preserve"> wuchs der Umsatz im </w:t>
      </w:r>
      <w:r w:rsidR="00D5061B">
        <w:rPr>
          <w:rFonts w:cs="Lucida Sans Unicode"/>
          <w:sz w:val="20"/>
          <w:szCs w:val="20"/>
        </w:rPr>
        <w:t>3.</w:t>
      </w:r>
      <w:r w:rsidR="00D12750">
        <w:rPr>
          <w:rFonts w:cs="Lucida Sans Unicode"/>
          <w:sz w:val="20"/>
          <w:szCs w:val="20"/>
        </w:rPr>
        <w:t xml:space="preserve"> </w:t>
      </w:r>
      <w:r w:rsidR="00D5061B">
        <w:rPr>
          <w:rFonts w:cs="Lucida Sans Unicode"/>
          <w:sz w:val="20"/>
          <w:szCs w:val="20"/>
        </w:rPr>
        <w:t>Q</w:t>
      </w:r>
      <w:r w:rsidRPr="00F61187">
        <w:rPr>
          <w:rFonts w:cs="Lucida Sans Unicode"/>
          <w:sz w:val="20"/>
          <w:szCs w:val="20"/>
        </w:rPr>
        <w:t xml:space="preserve">uartal bei </w:t>
      </w:r>
      <w:r w:rsidR="00696F89">
        <w:rPr>
          <w:rFonts w:cs="Lucida Sans Unicode"/>
          <w:sz w:val="20"/>
          <w:szCs w:val="20"/>
        </w:rPr>
        <w:br/>
      </w:r>
      <w:r w:rsidRPr="00F61187">
        <w:rPr>
          <w:rFonts w:cs="Lucida Sans Unicode"/>
          <w:sz w:val="20"/>
          <w:szCs w:val="20"/>
        </w:rPr>
        <w:t>leicht höheren Verkaufspreisen und positive</w:t>
      </w:r>
      <w:r w:rsidR="00D00C67">
        <w:rPr>
          <w:rFonts w:cs="Lucida Sans Unicode"/>
          <w:sz w:val="20"/>
          <w:szCs w:val="20"/>
        </w:rPr>
        <w:t>n</w:t>
      </w:r>
      <w:r w:rsidRPr="00F61187">
        <w:rPr>
          <w:rFonts w:cs="Lucida Sans Unicode"/>
          <w:sz w:val="20"/>
          <w:szCs w:val="20"/>
        </w:rPr>
        <w:t xml:space="preserve"> Währungseinflüsse</w:t>
      </w:r>
      <w:r w:rsidR="00D00C67">
        <w:rPr>
          <w:rFonts w:cs="Lucida Sans Unicode"/>
          <w:sz w:val="20"/>
          <w:szCs w:val="20"/>
        </w:rPr>
        <w:t>n</w:t>
      </w:r>
      <w:r w:rsidRPr="00F61187">
        <w:rPr>
          <w:rFonts w:cs="Lucida Sans Unicode"/>
          <w:sz w:val="20"/>
          <w:szCs w:val="20"/>
        </w:rPr>
        <w:t xml:space="preserve"> um </w:t>
      </w:r>
      <w:r w:rsidR="00696F89">
        <w:rPr>
          <w:rFonts w:cs="Lucida Sans Unicode"/>
          <w:sz w:val="20"/>
          <w:szCs w:val="20"/>
        </w:rPr>
        <w:br/>
      </w:r>
      <w:r w:rsidRPr="00F61187">
        <w:rPr>
          <w:rFonts w:cs="Lucida Sans Unicode"/>
          <w:sz w:val="20"/>
          <w:szCs w:val="20"/>
        </w:rPr>
        <w:t xml:space="preserve">2 Prozent auf 1.044 Millionen € (Vorjahr: 1.027 Millionen €). Der leichte Mengenrückgang ist auf geplante Wartungsarbeiten in einigen Produktionsanlagen zurückzuführen. Das bereinigte EBITDA erhöhte </w:t>
      </w:r>
      <w:r w:rsidR="00557012">
        <w:rPr>
          <w:rFonts w:cs="Lucida Sans Unicode"/>
          <w:sz w:val="20"/>
          <w:szCs w:val="20"/>
        </w:rPr>
        <w:br/>
      </w:r>
      <w:r w:rsidRPr="00F61187">
        <w:rPr>
          <w:rFonts w:cs="Lucida Sans Unicode"/>
          <w:sz w:val="20"/>
          <w:szCs w:val="20"/>
        </w:rPr>
        <w:t xml:space="preserve">sich leicht auf 216 Millionen €. Die bereinigte EBITDA-Marge lag mit </w:t>
      </w:r>
      <w:r w:rsidR="00557012">
        <w:rPr>
          <w:rFonts w:cs="Lucida Sans Unicode"/>
          <w:sz w:val="20"/>
          <w:szCs w:val="20"/>
        </w:rPr>
        <w:br/>
      </w:r>
      <w:r w:rsidRPr="00F61187">
        <w:rPr>
          <w:rFonts w:cs="Lucida Sans Unicode"/>
          <w:sz w:val="20"/>
          <w:szCs w:val="20"/>
        </w:rPr>
        <w:t>20,7 Prozent etwa auf der Höhe des Vorjahres.</w:t>
      </w:r>
    </w:p>
    <w:p w:rsidR="00F61187" w:rsidRDefault="00F61187" w:rsidP="00F61187">
      <w:pPr>
        <w:spacing w:after="120" w:line="300" w:lineRule="exact"/>
        <w:ind w:left="0" w:right="-62"/>
        <w:rPr>
          <w:rFonts w:cs="Lucida Sans Unicode"/>
          <w:b/>
          <w:sz w:val="20"/>
          <w:szCs w:val="20"/>
        </w:rPr>
      </w:pPr>
      <w:r w:rsidRPr="00F61187">
        <w:rPr>
          <w:rFonts w:cs="Lucida Sans Unicode"/>
          <w:sz w:val="20"/>
          <w:szCs w:val="20"/>
        </w:rPr>
        <w:t xml:space="preserve">Im Segment </w:t>
      </w:r>
      <w:r w:rsidRPr="00F61187">
        <w:rPr>
          <w:rFonts w:cs="Lucida Sans Unicode"/>
          <w:b/>
          <w:sz w:val="20"/>
          <w:szCs w:val="20"/>
        </w:rPr>
        <w:t>Performance Materials</w:t>
      </w:r>
      <w:r w:rsidRPr="00F61187">
        <w:rPr>
          <w:rFonts w:cs="Lucida Sans Unicode"/>
          <w:sz w:val="20"/>
          <w:szCs w:val="20"/>
        </w:rPr>
        <w:t xml:space="preserve"> ging der Umsatz im </w:t>
      </w:r>
      <w:r w:rsidR="00D5061B">
        <w:rPr>
          <w:rFonts w:cs="Lucida Sans Unicode"/>
          <w:sz w:val="20"/>
          <w:szCs w:val="20"/>
        </w:rPr>
        <w:t>3.</w:t>
      </w:r>
      <w:r w:rsidR="00D12750">
        <w:rPr>
          <w:rFonts w:cs="Lucida Sans Unicode"/>
          <w:sz w:val="20"/>
          <w:szCs w:val="20"/>
        </w:rPr>
        <w:t xml:space="preserve"> </w:t>
      </w:r>
      <w:r w:rsidRPr="00F61187">
        <w:rPr>
          <w:rFonts w:cs="Lucida Sans Unicode"/>
          <w:sz w:val="20"/>
          <w:szCs w:val="20"/>
        </w:rPr>
        <w:t xml:space="preserve">Quartal um </w:t>
      </w:r>
      <w:r w:rsidR="00557012">
        <w:rPr>
          <w:rFonts w:cs="Lucida Sans Unicode"/>
          <w:sz w:val="20"/>
          <w:szCs w:val="20"/>
        </w:rPr>
        <w:br/>
      </w:r>
      <w:r w:rsidRPr="00F61187">
        <w:rPr>
          <w:rFonts w:cs="Lucida Sans Unicode"/>
          <w:sz w:val="20"/>
          <w:szCs w:val="20"/>
        </w:rPr>
        <w:t xml:space="preserve">11 Prozent auf 858 Millionen € (Vorjahr: 966 Millionen €) zurück. </w:t>
      </w:r>
      <w:r w:rsidR="002F78B2">
        <w:rPr>
          <w:rFonts w:cs="Lucida Sans Unicode"/>
          <w:sz w:val="20"/>
          <w:szCs w:val="20"/>
        </w:rPr>
        <w:t xml:space="preserve">Neben </w:t>
      </w:r>
      <w:r w:rsidR="002F78B2" w:rsidRPr="00F61187">
        <w:rPr>
          <w:rFonts w:cs="Lucida Sans Unicode"/>
          <w:sz w:val="20"/>
          <w:szCs w:val="20"/>
        </w:rPr>
        <w:t xml:space="preserve">Anlagenwartungen in den beiden wichtigsten Geschäften </w:t>
      </w:r>
      <w:r w:rsidR="002F78B2">
        <w:rPr>
          <w:rFonts w:cs="Lucida Sans Unicode"/>
          <w:sz w:val="20"/>
          <w:szCs w:val="20"/>
        </w:rPr>
        <w:t>wirkte sich d</w:t>
      </w:r>
      <w:r w:rsidR="006F5B89">
        <w:rPr>
          <w:rFonts w:cs="Lucida Sans Unicode"/>
          <w:sz w:val="20"/>
          <w:szCs w:val="20"/>
        </w:rPr>
        <w:t xml:space="preserve">er anhaltend niedrige </w:t>
      </w:r>
      <w:r w:rsidRPr="00F61187">
        <w:rPr>
          <w:rFonts w:cs="Lucida Sans Unicode"/>
          <w:sz w:val="20"/>
          <w:szCs w:val="20"/>
        </w:rPr>
        <w:t xml:space="preserve"> Rohölpreis </w:t>
      </w:r>
      <w:r w:rsidR="006F5B89">
        <w:rPr>
          <w:rFonts w:cs="Lucida Sans Unicode"/>
          <w:sz w:val="20"/>
          <w:szCs w:val="20"/>
        </w:rPr>
        <w:t>auf</w:t>
      </w:r>
      <w:r w:rsidRPr="00F61187">
        <w:rPr>
          <w:rFonts w:cs="Lucida Sans Unicode"/>
          <w:sz w:val="20"/>
          <w:szCs w:val="20"/>
        </w:rPr>
        <w:t xml:space="preserve"> die Verkaufspreise aus. Auf der Ergebnisseite wurde d</w:t>
      </w:r>
      <w:r w:rsidR="001D2AE8">
        <w:rPr>
          <w:rFonts w:cs="Lucida Sans Unicode"/>
          <w:sz w:val="20"/>
          <w:szCs w:val="20"/>
        </w:rPr>
        <w:t>ies</w:t>
      </w:r>
      <w:r w:rsidRPr="00F61187">
        <w:rPr>
          <w:rFonts w:cs="Lucida Sans Unicode"/>
          <w:sz w:val="20"/>
          <w:szCs w:val="20"/>
        </w:rPr>
        <w:t xml:space="preserve">er Preiseffekt jedoch durch einen temporären Margenvorteil aufgrund gesunkener </w:t>
      </w:r>
      <w:r w:rsidR="00161D2B">
        <w:rPr>
          <w:rFonts w:cs="Lucida Sans Unicode"/>
          <w:sz w:val="20"/>
          <w:szCs w:val="20"/>
        </w:rPr>
        <w:t xml:space="preserve">ölbasierter </w:t>
      </w:r>
      <w:r w:rsidRPr="00F61187">
        <w:rPr>
          <w:rFonts w:cs="Lucida Sans Unicode"/>
          <w:sz w:val="20"/>
          <w:szCs w:val="20"/>
        </w:rPr>
        <w:t>Rohstoffkosten</w:t>
      </w:r>
      <w:r w:rsidR="00D00C67">
        <w:rPr>
          <w:rFonts w:cs="Lucida Sans Unicode"/>
          <w:sz w:val="20"/>
          <w:szCs w:val="20"/>
        </w:rPr>
        <w:t xml:space="preserve"> </w:t>
      </w:r>
      <w:r w:rsidRPr="00F61187">
        <w:rPr>
          <w:rFonts w:cs="Lucida Sans Unicode"/>
          <w:sz w:val="20"/>
          <w:szCs w:val="20"/>
        </w:rPr>
        <w:t xml:space="preserve">überkompensiert. Das bereinigte EBITDA verbesserte sich daher um </w:t>
      </w:r>
      <w:r w:rsidR="00557012">
        <w:rPr>
          <w:rFonts w:cs="Lucida Sans Unicode"/>
          <w:sz w:val="20"/>
          <w:szCs w:val="20"/>
        </w:rPr>
        <w:br/>
      </w:r>
      <w:r w:rsidRPr="00F61187">
        <w:rPr>
          <w:rFonts w:cs="Lucida Sans Unicode"/>
          <w:sz w:val="20"/>
          <w:szCs w:val="20"/>
        </w:rPr>
        <w:t xml:space="preserve">4 Prozent auf 94 Millionen € (Vorjahr: 90 Millionen €). Die bereinigte EBITDA-Marge erhöhte sich entsprechend von 9,3 Prozent im Vorjahresquartal auf 11 Prozent. </w:t>
      </w:r>
    </w:p>
    <w:p w:rsidR="00110428" w:rsidRDefault="00110428" w:rsidP="00110428">
      <w:pPr>
        <w:spacing w:line="240" w:lineRule="auto"/>
        <w:ind w:left="0" w:right="0"/>
        <w:jc w:val="both"/>
        <w:rPr>
          <w:bCs/>
          <w:sz w:val="20"/>
          <w:szCs w:val="20"/>
        </w:rPr>
      </w:pPr>
      <w:r>
        <w:rPr>
          <w:bCs/>
          <w:sz w:val="20"/>
          <w:szCs w:val="20"/>
        </w:rPr>
        <w:br w:type="page"/>
      </w:r>
    </w:p>
    <w:p w:rsidR="00110428" w:rsidRPr="00B2662A" w:rsidRDefault="00110428" w:rsidP="00110428">
      <w:pPr>
        <w:spacing w:line="300" w:lineRule="exact"/>
        <w:rPr>
          <w:bCs/>
          <w:sz w:val="20"/>
          <w:szCs w:val="20"/>
        </w:rPr>
      </w:pPr>
    </w:p>
    <w:p w:rsidR="00110428" w:rsidRDefault="00110428" w:rsidP="00110428">
      <w:pPr>
        <w:spacing w:line="300" w:lineRule="exact"/>
        <w:rPr>
          <w:rFonts w:cs="Lucida Sans Unicode"/>
          <w:b/>
          <w:sz w:val="20"/>
          <w:szCs w:val="20"/>
        </w:rPr>
      </w:pPr>
    </w:p>
    <w:p w:rsidR="00110428" w:rsidRDefault="00110428" w:rsidP="00110428">
      <w:pPr>
        <w:spacing w:after="120" w:line="300" w:lineRule="atLeast"/>
        <w:ind w:left="0"/>
        <w:rPr>
          <w:rFonts w:cs="Lucida Sans Unicode"/>
          <w:b/>
          <w:bCs/>
          <w:sz w:val="20"/>
          <w:szCs w:val="20"/>
        </w:rPr>
      </w:pPr>
      <w:r>
        <w:rPr>
          <w:rFonts w:cs="Lucida Sans Unicode"/>
          <w:b/>
          <w:bCs/>
          <w:sz w:val="20"/>
          <w:szCs w:val="20"/>
        </w:rPr>
        <w:t>Evonik-Konzern: Ergebnisrechnung im Überblick</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863"/>
        <w:gridCol w:w="862"/>
        <w:gridCol w:w="898"/>
        <w:gridCol w:w="863"/>
        <w:gridCol w:w="862"/>
        <w:gridCol w:w="898"/>
      </w:tblGrid>
      <w:tr w:rsidR="00110428" w:rsidTr="009511D1">
        <w:trPr>
          <w:trHeight w:val="510"/>
        </w:trPr>
        <w:tc>
          <w:tcPr>
            <w:tcW w:w="4678" w:type="dxa"/>
            <w:shd w:val="clear" w:color="auto" w:fill="auto"/>
            <w:noWrap/>
            <w:vAlign w:val="center"/>
          </w:tcPr>
          <w:p w:rsidR="00110428" w:rsidRDefault="00110428" w:rsidP="00E017C5">
            <w:pPr>
              <w:ind w:left="0"/>
              <w:rPr>
                <w:rFonts w:cs="Lucida Sans Unicode"/>
                <w:b/>
                <w:bCs/>
                <w:szCs w:val="20"/>
              </w:rPr>
            </w:pPr>
            <w:r>
              <w:rPr>
                <w:rFonts w:cs="Lucida Sans Unicode"/>
                <w:b/>
                <w:bCs/>
                <w:szCs w:val="20"/>
              </w:rPr>
              <w:t>(in Mio. €)</w:t>
            </w:r>
          </w:p>
        </w:tc>
        <w:tc>
          <w:tcPr>
            <w:tcW w:w="863" w:type="dxa"/>
            <w:shd w:val="clear" w:color="auto" w:fill="CCCCCC"/>
            <w:vAlign w:val="center"/>
          </w:tcPr>
          <w:p w:rsidR="00110428" w:rsidRDefault="00F61187" w:rsidP="00E017C5">
            <w:pPr>
              <w:ind w:left="0"/>
              <w:jc w:val="center"/>
              <w:rPr>
                <w:rFonts w:cs="Lucida Sans Unicode"/>
                <w:b/>
                <w:bCs/>
                <w:szCs w:val="20"/>
              </w:rPr>
            </w:pPr>
            <w:r>
              <w:rPr>
                <w:rFonts w:cs="Lucida Sans Unicode"/>
                <w:b/>
                <w:bCs/>
                <w:szCs w:val="20"/>
              </w:rPr>
              <w:t>Q3</w:t>
            </w:r>
            <w:r w:rsidR="00110428">
              <w:rPr>
                <w:rFonts w:cs="Lucida Sans Unicode"/>
                <w:b/>
                <w:bCs/>
                <w:szCs w:val="20"/>
              </w:rPr>
              <w:t xml:space="preserve"> 2015</w:t>
            </w:r>
          </w:p>
        </w:tc>
        <w:tc>
          <w:tcPr>
            <w:tcW w:w="862" w:type="dxa"/>
            <w:shd w:val="clear" w:color="auto" w:fill="auto"/>
            <w:vAlign w:val="center"/>
          </w:tcPr>
          <w:p w:rsidR="00110428" w:rsidRDefault="00F61187" w:rsidP="00E017C5">
            <w:pPr>
              <w:ind w:left="0"/>
              <w:jc w:val="center"/>
              <w:rPr>
                <w:rFonts w:cs="Lucida Sans Unicode"/>
                <w:b/>
                <w:bCs/>
                <w:szCs w:val="20"/>
              </w:rPr>
            </w:pPr>
            <w:r>
              <w:rPr>
                <w:rFonts w:cs="Lucida Sans Unicode"/>
                <w:b/>
                <w:bCs/>
                <w:szCs w:val="20"/>
              </w:rPr>
              <w:t>Q3</w:t>
            </w:r>
            <w:r w:rsidR="00110428">
              <w:rPr>
                <w:rFonts w:cs="Lucida Sans Unicode"/>
                <w:b/>
                <w:bCs/>
                <w:szCs w:val="20"/>
              </w:rPr>
              <w:t xml:space="preserve"> </w:t>
            </w:r>
            <w:r w:rsidR="00110428">
              <w:rPr>
                <w:rFonts w:cs="Lucida Sans Unicode"/>
                <w:b/>
                <w:bCs/>
                <w:szCs w:val="20"/>
              </w:rPr>
              <w:br/>
              <w:t xml:space="preserve"> 2014</w:t>
            </w:r>
          </w:p>
        </w:tc>
        <w:tc>
          <w:tcPr>
            <w:tcW w:w="898" w:type="dxa"/>
            <w:shd w:val="clear" w:color="auto" w:fill="auto"/>
            <w:vAlign w:val="center"/>
          </w:tcPr>
          <w:p w:rsidR="00110428" w:rsidRDefault="00110428" w:rsidP="00E017C5">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c>
          <w:tcPr>
            <w:tcW w:w="863" w:type="dxa"/>
            <w:shd w:val="clear" w:color="auto" w:fill="CCCCCC"/>
            <w:vAlign w:val="center"/>
          </w:tcPr>
          <w:p w:rsidR="00110428" w:rsidRDefault="00F61187" w:rsidP="00E017C5">
            <w:pPr>
              <w:ind w:left="0"/>
              <w:jc w:val="center"/>
              <w:rPr>
                <w:rFonts w:cs="Lucida Sans Unicode"/>
                <w:b/>
                <w:bCs/>
                <w:szCs w:val="20"/>
              </w:rPr>
            </w:pPr>
            <w:r>
              <w:rPr>
                <w:rFonts w:cs="Lucida Sans Unicode"/>
                <w:b/>
                <w:bCs/>
                <w:szCs w:val="20"/>
              </w:rPr>
              <w:t>1-9</w:t>
            </w:r>
          </w:p>
          <w:p w:rsidR="00110428" w:rsidRDefault="00110428" w:rsidP="00E017C5">
            <w:pPr>
              <w:ind w:left="0"/>
              <w:jc w:val="center"/>
              <w:rPr>
                <w:rFonts w:cs="Lucida Sans Unicode"/>
                <w:b/>
                <w:bCs/>
                <w:szCs w:val="20"/>
              </w:rPr>
            </w:pPr>
            <w:r>
              <w:rPr>
                <w:rFonts w:cs="Lucida Sans Unicode"/>
                <w:b/>
                <w:bCs/>
                <w:szCs w:val="20"/>
              </w:rPr>
              <w:t>2015</w:t>
            </w:r>
          </w:p>
        </w:tc>
        <w:tc>
          <w:tcPr>
            <w:tcW w:w="862" w:type="dxa"/>
            <w:shd w:val="clear" w:color="auto" w:fill="auto"/>
            <w:vAlign w:val="center"/>
          </w:tcPr>
          <w:p w:rsidR="00110428" w:rsidRDefault="00F61187" w:rsidP="00E017C5">
            <w:pPr>
              <w:ind w:left="0"/>
              <w:jc w:val="center"/>
              <w:rPr>
                <w:rFonts w:cs="Lucida Sans Unicode"/>
                <w:b/>
                <w:bCs/>
                <w:szCs w:val="20"/>
              </w:rPr>
            </w:pPr>
            <w:r>
              <w:rPr>
                <w:rFonts w:cs="Lucida Sans Unicode"/>
                <w:b/>
                <w:bCs/>
                <w:szCs w:val="20"/>
              </w:rPr>
              <w:t>1-9</w:t>
            </w:r>
          </w:p>
          <w:p w:rsidR="00110428" w:rsidRDefault="00110428" w:rsidP="00E017C5">
            <w:pPr>
              <w:ind w:left="0"/>
              <w:jc w:val="center"/>
              <w:rPr>
                <w:rFonts w:cs="Lucida Sans Unicode"/>
                <w:b/>
                <w:bCs/>
                <w:szCs w:val="20"/>
              </w:rPr>
            </w:pPr>
            <w:r>
              <w:rPr>
                <w:rFonts w:cs="Lucida Sans Unicode"/>
                <w:b/>
                <w:bCs/>
                <w:szCs w:val="20"/>
              </w:rPr>
              <w:t>2014</w:t>
            </w:r>
          </w:p>
        </w:tc>
        <w:tc>
          <w:tcPr>
            <w:tcW w:w="898" w:type="dxa"/>
            <w:shd w:val="clear" w:color="auto" w:fill="auto"/>
            <w:vAlign w:val="center"/>
          </w:tcPr>
          <w:p w:rsidR="00110428" w:rsidRDefault="00110428" w:rsidP="00E017C5">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Umsatz</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3.365</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3.243</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4</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10.309</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9.691</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6</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Bereinigtes EBITDA</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653</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500</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31</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1.964</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1.436</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37</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Bereinigtes EBIT</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473</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349</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36</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1.444</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988</w:t>
            </w:r>
          </w:p>
        </w:tc>
        <w:tc>
          <w:tcPr>
            <w:tcW w:w="898"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46</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Bereinigungen</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-91</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-54</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-6</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-144</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Finanzergebnis</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-86</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-63</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-200</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-211</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sidRPr="00665480">
              <w:rPr>
                <w:rFonts w:cs="Lucida Sans Unicode"/>
                <w:position w:val="0"/>
                <w:szCs w:val="20"/>
              </w:rPr>
              <w:t>Ergebnis vor Ertragsteuern fortgeführter Aktivitäten</w:t>
            </w:r>
          </w:p>
        </w:tc>
        <w:tc>
          <w:tcPr>
            <w:tcW w:w="863" w:type="dxa"/>
            <w:shd w:val="clear" w:color="auto" w:fill="CCCCCC"/>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296</w:t>
            </w:r>
          </w:p>
        </w:tc>
        <w:tc>
          <w:tcPr>
            <w:tcW w:w="862"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232</w:t>
            </w:r>
          </w:p>
        </w:tc>
        <w:tc>
          <w:tcPr>
            <w:tcW w:w="898"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28</w:t>
            </w:r>
          </w:p>
        </w:tc>
        <w:tc>
          <w:tcPr>
            <w:tcW w:w="863" w:type="dxa"/>
            <w:shd w:val="clear" w:color="auto" w:fill="CCCCCC"/>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1.238</w:t>
            </w:r>
          </w:p>
        </w:tc>
        <w:tc>
          <w:tcPr>
            <w:tcW w:w="862"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633</w:t>
            </w:r>
          </w:p>
        </w:tc>
        <w:tc>
          <w:tcPr>
            <w:tcW w:w="898"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96</w:t>
            </w: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position w:val="0"/>
                <w:szCs w:val="20"/>
              </w:rPr>
            </w:pPr>
            <w:r w:rsidRPr="00E83E1D">
              <w:rPr>
                <w:rFonts w:cs="Lucida Sans Unicode"/>
                <w:position w:val="0"/>
                <w:szCs w:val="20"/>
              </w:rPr>
              <w:t>Ertragsteuern</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-105</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-64</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-354</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-196</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Pr>
                <w:rFonts w:cs="Lucida Sans Unicode"/>
                <w:position w:val="0"/>
                <w:szCs w:val="20"/>
              </w:rPr>
              <w:t>Ergebnis nach S</w:t>
            </w:r>
            <w:r w:rsidRPr="00DA2E4E">
              <w:rPr>
                <w:rFonts w:cs="Lucida Sans Unicode"/>
                <w:position w:val="0"/>
                <w:szCs w:val="20"/>
              </w:rPr>
              <w:t>teuern fortgeführter Aktivitäten</w:t>
            </w:r>
          </w:p>
        </w:tc>
        <w:tc>
          <w:tcPr>
            <w:tcW w:w="863" w:type="dxa"/>
            <w:shd w:val="clear" w:color="auto" w:fill="CCCCCC"/>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191</w:t>
            </w:r>
          </w:p>
        </w:tc>
        <w:tc>
          <w:tcPr>
            <w:tcW w:w="862"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168</w:t>
            </w:r>
          </w:p>
        </w:tc>
        <w:tc>
          <w:tcPr>
            <w:tcW w:w="898"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14</w:t>
            </w:r>
          </w:p>
        </w:tc>
        <w:tc>
          <w:tcPr>
            <w:tcW w:w="863" w:type="dxa"/>
            <w:shd w:val="clear" w:color="auto" w:fill="CCCCCC"/>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884</w:t>
            </w:r>
          </w:p>
        </w:tc>
        <w:tc>
          <w:tcPr>
            <w:tcW w:w="862"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437</w:t>
            </w:r>
          </w:p>
        </w:tc>
        <w:tc>
          <w:tcPr>
            <w:tcW w:w="898"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102</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Ergebnis nach Steuern nicht fortgeführter Aktivitäten</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-54</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-15</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-11</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sidRPr="00E83E1D">
              <w:rPr>
                <w:rFonts w:cs="Lucida Sans Unicode"/>
                <w:bCs/>
                <w:position w:val="0"/>
                <w:szCs w:val="20"/>
              </w:rPr>
              <w:t>Ergebnis nach Steuern</w:t>
            </w:r>
          </w:p>
        </w:tc>
        <w:tc>
          <w:tcPr>
            <w:tcW w:w="863" w:type="dxa"/>
            <w:shd w:val="clear" w:color="auto" w:fill="CCCCCC"/>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191</w:t>
            </w:r>
          </w:p>
        </w:tc>
        <w:tc>
          <w:tcPr>
            <w:tcW w:w="862"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114</w:t>
            </w:r>
          </w:p>
        </w:tc>
        <w:tc>
          <w:tcPr>
            <w:tcW w:w="898" w:type="dxa"/>
            <w:shd w:val="clear" w:color="auto" w:fill="auto"/>
            <w:noWrap/>
            <w:vAlign w:val="bottom"/>
          </w:tcPr>
          <w:p w:rsidR="00110428" w:rsidRPr="002B19DA" w:rsidRDefault="009E3A07" w:rsidP="00E017C5">
            <w:pPr>
              <w:ind w:left="0"/>
              <w:jc w:val="right"/>
              <w:rPr>
                <w:rFonts w:cs="Lucida Sans Unicode"/>
                <w:bCs/>
                <w:position w:val="0"/>
                <w:szCs w:val="20"/>
              </w:rPr>
            </w:pPr>
            <w:r>
              <w:rPr>
                <w:rFonts w:cs="Lucida Sans Unicode"/>
                <w:bCs/>
                <w:position w:val="0"/>
                <w:szCs w:val="20"/>
              </w:rPr>
              <w:t>68</w:t>
            </w:r>
          </w:p>
        </w:tc>
        <w:tc>
          <w:tcPr>
            <w:tcW w:w="863" w:type="dxa"/>
            <w:shd w:val="clear" w:color="auto" w:fill="CCCCCC"/>
            <w:noWrap/>
            <w:vAlign w:val="bottom"/>
          </w:tcPr>
          <w:p w:rsidR="00110428" w:rsidRPr="002B19DA" w:rsidRDefault="009E3A07" w:rsidP="00E017C5">
            <w:pPr>
              <w:ind w:left="0"/>
              <w:jc w:val="right"/>
              <w:rPr>
                <w:rFonts w:cs="Lucida Sans Unicode"/>
                <w:position w:val="0"/>
                <w:szCs w:val="20"/>
              </w:rPr>
            </w:pPr>
            <w:r>
              <w:rPr>
                <w:rFonts w:cs="Lucida Sans Unicode"/>
                <w:position w:val="0"/>
                <w:szCs w:val="20"/>
              </w:rPr>
              <w:t>869</w:t>
            </w:r>
          </w:p>
        </w:tc>
        <w:tc>
          <w:tcPr>
            <w:tcW w:w="862" w:type="dxa"/>
            <w:shd w:val="clear" w:color="auto" w:fill="auto"/>
            <w:noWrap/>
            <w:vAlign w:val="bottom"/>
          </w:tcPr>
          <w:p w:rsidR="00110428" w:rsidRPr="002B19DA" w:rsidRDefault="009E3A07" w:rsidP="00E017C5">
            <w:pPr>
              <w:ind w:left="0"/>
              <w:jc w:val="right"/>
              <w:rPr>
                <w:rFonts w:cs="Lucida Sans Unicode"/>
                <w:position w:val="0"/>
                <w:szCs w:val="20"/>
              </w:rPr>
            </w:pPr>
            <w:r>
              <w:rPr>
                <w:rFonts w:cs="Lucida Sans Unicode"/>
                <w:position w:val="0"/>
                <w:szCs w:val="20"/>
              </w:rPr>
              <w:t>426</w:t>
            </w:r>
          </w:p>
        </w:tc>
        <w:tc>
          <w:tcPr>
            <w:tcW w:w="898" w:type="dxa"/>
            <w:shd w:val="clear" w:color="auto" w:fill="auto"/>
            <w:noWrap/>
            <w:vAlign w:val="bottom"/>
          </w:tcPr>
          <w:p w:rsidR="00110428" w:rsidRPr="002B19DA" w:rsidRDefault="009E3A07" w:rsidP="00E017C5">
            <w:pPr>
              <w:ind w:left="0"/>
              <w:jc w:val="right"/>
              <w:rPr>
                <w:rFonts w:cs="Lucida Sans Unicode"/>
                <w:position w:val="0"/>
                <w:szCs w:val="20"/>
              </w:rPr>
            </w:pPr>
            <w:r>
              <w:rPr>
                <w:rFonts w:cs="Lucida Sans Unicode"/>
                <w:position w:val="0"/>
                <w:szCs w:val="20"/>
              </w:rPr>
              <w:t>104</w:t>
            </w:r>
          </w:p>
        </w:tc>
      </w:tr>
      <w:tr w:rsidR="00110428" w:rsidTr="009511D1">
        <w:trPr>
          <w:trHeight w:val="255"/>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Davon Ergebnis anderer Gesellschafter</w:t>
            </w:r>
          </w:p>
        </w:tc>
        <w:tc>
          <w:tcPr>
            <w:tcW w:w="863" w:type="dxa"/>
            <w:shd w:val="clear" w:color="auto" w:fill="CCCCCC"/>
            <w:noWrap/>
            <w:vAlign w:val="bottom"/>
          </w:tcPr>
          <w:p w:rsidR="00110428" w:rsidRDefault="009E3A07" w:rsidP="00E017C5">
            <w:pPr>
              <w:ind w:left="0"/>
              <w:jc w:val="right"/>
              <w:rPr>
                <w:rFonts w:cs="Lucida Sans Unicode"/>
                <w:position w:val="0"/>
                <w:szCs w:val="20"/>
              </w:rPr>
            </w:pPr>
            <w:r>
              <w:rPr>
                <w:rFonts w:cs="Lucida Sans Unicode"/>
                <w:position w:val="0"/>
                <w:szCs w:val="20"/>
              </w:rPr>
              <w:t>3</w:t>
            </w:r>
          </w:p>
        </w:tc>
        <w:tc>
          <w:tcPr>
            <w:tcW w:w="862" w:type="dxa"/>
            <w:shd w:val="clear" w:color="auto" w:fill="auto"/>
            <w:noWrap/>
            <w:vAlign w:val="bottom"/>
          </w:tcPr>
          <w:p w:rsidR="00110428" w:rsidRDefault="009E3A07" w:rsidP="00E017C5">
            <w:pPr>
              <w:ind w:left="0"/>
              <w:jc w:val="right"/>
              <w:rPr>
                <w:rFonts w:cs="Lucida Sans Unicode"/>
                <w:position w:val="0"/>
                <w:szCs w:val="20"/>
              </w:rPr>
            </w:pPr>
            <w:r>
              <w:rPr>
                <w:rFonts w:cs="Lucida Sans Unicode"/>
                <w:position w:val="0"/>
                <w:szCs w:val="20"/>
              </w:rPr>
              <w:t>3</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9E3A07" w:rsidP="00E017C5">
            <w:pPr>
              <w:ind w:left="0"/>
              <w:jc w:val="right"/>
              <w:rPr>
                <w:rFonts w:cs="Lucida Sans Unicode"/>
                <w:bCs/>
                <w:position w:val="0"/>
                <w:szCs w:val="20"/>
              </w:rPr>
            </w:pPr>
            <w:r>
              <w:rPr>
                <w:rFonts w:cs="Lucida Sans Unicode"/>
                <w:bCs/>
                <w:position w:val="0"/>
                <w:szCs w:val="20"/>
              </w:rPr>
              <w:t>7</w:t>
            </w:r>
          </w:p>
        </w:tc>
        <w:tc>
          <w:tcPr>
            <w:tcW w:w="862" w:type="dxa"/>
            <w:shd w:val="clear" w:color="auto" w:fill="auto"/>
            <w:noWrap/>
            <w:vAlign w:val="bottom"/>
          </w:tcPr>
          <w:p w:rsidR="00110428" w:rsidRDefault="009E3A07" w:rsidP="00E017C5">
            <w:pPr>
              <w:ind w:left="0"/>
              <w:jc w:val="right"/>
              <w:rPr>
                <w:rFonts w:cs="Lucida Sans Unicode"/>
                <w:bCs/>
                <w:position w:val="0"/>
                <w:szCs w:val="20"/>
              </w:rPr>
            </w:pPr>
            <w:r>
              <w:rPr>
                <w:rFonts w:cs="Lucida Sans Unicode"/>
                <w:bCs/>
                <w:position w:val="0"/>
                <w:szCs w:val="20"/>
              </w:rPr>
              <w:t>10</w:t>
            </w:r>
          </w:p>
        </w:tc>
        <w:tc>
          <w:tcPr>
            <w:tcW w:w="898" w:type="dxa"/>
            <w:shd w:val="clear" w:color="auto" w:fill="auto"/>
            <w:noWrap/>
            <w:vAlign w:val="bottom"/>
          </w:tcPr>
          <w:p w:rsidR="00110428" w:rsidRDefault="00110428" w:rsidP="00E017C5">
            <w:pPr>
              <w:ind w:left="0"/>
              <w:jc w:val="right"/>
              <w:rPr>
                <w:rFonts w:cs="Lucida Sans Unicode"/>
                <w:b/>
                <w:bCs/>
                <w:position w:val="0"/>
                <w:szCs w:val="20"/>
              </w:rPr>
            </w:pPr>
          </w:p>
        </w:tc>
      </w:tr>
      <w:tr w:rsidR="00110428" w:rsidRPr="00DA2E4E" w:rsidTr="009511D1">
        <w:trPr>
          <w:trHeight w:val="255"/>
        </w:trPr>
        <w:tc>
          <w:tcPr>
            <w:tcW w:w="4678" w:type="dxa"/>
            <w:shd w:val="clear" w:color="auto" w:fill="auto"/>
            <w:noWrap/>
            <w:vAlign w:val="bottom"/>
          </w:tcPr>
          <w:p w:rsidR="00110428" w:rsidRPr="00DA2E4E" w:rsidRDefault="00110428" w:rsidP="00E017C5">
            <w:pPr>
              <w:ind w:left="0"/>
              <w:rPr>
                <w:rFonts w:cs="Lucida Sans Unicode"/>
                <w:b/>
                <w:position w:val="0"/>
                <w:szCs w:val="20"/>
              </w:rPr>
            </w:pPr>
            <w:r w:rsidRPr="00DA2E4E">
              <w:rPr>
                <w:rFonts w:cs="Lucida Sans Unicode"/>
                <w:b/>
                <w:position w:val="0"/>
                <w:szCs w:val="20"/>
              </w:rPr>
              <w:t>Konzernergebnis</w:t>
            </w:r>
          </w:p>
        </w:tc>
        <w:tc>
          <w:tcPr>
            <w:tcW w:w="863" w:type="dxa"/>
            <w:shd w:val="clear" w:color="auto" w:fill="CCCCCC"/>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188</w:t>
            </w:r>
          </w:p>
        </w:tc>
        <w:tc>
          <w:tcPr>
            <w:tcW w:w="862" w:type="dxa"/>
            <w:shd w:val="clear" w:color="auto" w:fill="auto"/>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111</w:t>
            </w:r>
          </w:p>
        </w:tc>
        <w:tc>
          <w:tcPr>
            <w:tcW w:w="898" w:type="dxa"/>
            <w:shd w:val="clear" w:color="auto" w:fill="auto"/>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69</w:t>
            </w:r>
          </w:p>
        </w:tc>
        <w:tc>
          <w:tcPr>
            <w:tcW w:w="863" w:type="dxa"/>
            <w:shd w:val="clear" w:color="auto" w:fill="CCCCCC"/>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862</w:t>
            </w:r>
          </w:p>
        </w:tc>
        <w:tc>
          <w:tcPr>
            <w:tcW w:w="862" w:type="dxa"/>
            <w:shd w:val="clear" w:color="auto" w:fill="auto"/>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416</w:t>
            </w:r>
          </w:p>
        </w:tc>
        <w:tc>
          <w:tcPr>
            <w:tcW w:w="898" w:type="dxa"/>
            <w:shd w:val="clear" w:color="auto" w:fill="auto"/>
            <w:noWrap/>
            <w:vAlign w:val="bottom"/>
          </w:tcPr>
          <w:p w:rsidR="00110428" w:rsidRPr="00F73E17" w:rsidRDefault="009E3A07" w:rsidP="00E017C5">
            <w:pPr>
              <w:ind w:left="0"/>
              <w:jc w:val="right"/>
              <w:rPr>
                <w:rFonts w:cs="Lucida Sans Unicode"/>
                <w:bCs/>
                <w:position w:val="0"/>
                <w:szCs w:val="20"/>
              </w:rPr>
            </w:pPr>
            <w:r>
              <w:rPr>
                <w:rFonts w:cs="Lucida Sans Unicode"/>
                <w:bCs/>
                <w:position w:val="0"/>
                <w:szCs w:val="20"/>
              </w:rPr>
              <w:t>107</w:t>
            </w:r>
          </w:p>
        </w:tc>
      </w:tr>
      <w:tr w:rsidR="00110428" w:rsidRPr="00DA2E4E" w:rsidTr="009511D1">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rPr>
                <w:rFonts w:cs="Lucida Sans Unicode"/>
                <w:b/>
                <w:position w:val="0"/>
                <w:szCs w:val="20"/>
              </w:rPr>
            </w:pPr>
            <w:r w:rsidRPr="00DA2E4E">
              <w:rPr>
                <w:rFonts w:cs="Lucida Sans Unicode"/>
                <w:b/>
                <w:position w:val="0"/>
                <w:szCs w:val="20"/>
              </w:rPr>
              <w:t>Bereinigtes Konzernergebnis</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296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217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36</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923</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593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9E3A07" w:rsidP="00E017C5">
            <w:pPr>
              <w:ind w:left="0"/>
              <w:jc w:val="right"/>
              <w:rPr>
                <w:rFonts w:cs="Lucida Sans Unicode"/>
                <w:b/>
                <w:bCs/>
                <w:position w:val="0"/>
                <w:szCs w:val="20"/>
              </w:rPr>
            </w:pPr>
            <w:r>
              <w:rPr>
                <w:rFonts w:cs="Lucida Sans Unicode"/>
                <w:b/>
                <w:bCs/>
                <w:position w:val="0"/>
                <w:szCs w:val="20"/>
              </w:rPr>
              <w:t>56</w:t>
            </w:r>
          </w:p>
        </w:tc>
      </w:tr>
    </w:tbl>
    <w:p w:rsidR="00110428" w:rsidRPr="009511D1" w:rsidRDefault="00110428" w:rsidP="009511D1">
      <w:pPr>
        <w:spacing w:line="240" w:lineRule="auto"/>
        <w:ind w:left="0" w:right="0"/>
        <w:rPr>
          <w:bCs/>
          <w:sz w:val="16"/>
          <w:szCs w:val="16"/>
        </w:rPr>
      </w:pPr>
      <w:r w:rsidRPr="009511D1">
        <w:rPr>
          <w:bCs/>
          <w:sz w:val="16"/>
          <w:szCs w:val="16"/>
        </w:rPr>
        <w:t>Vorjahreszahlen angepasst</w:t>
      </w:r>
    </w:p>
    <w:p w:rsidR="00110428" w:rsidRDefault="00110428" w:rsidP="00110428">
      <w:pPr>
        <w:spacing w:line="300" w:lineRule="exact"/>
        <w:ind w:left="0"/>
        <w:outlineLvl w:val="0"/>
        <w:rPr>
          <w:rFonts w:cs="Lucida Sans Unicode"/>
          <w:b/>
          <w:bCs/>
          <w:sz w:val="20"/>
          <w:szCs w:val="20"/>
        </w:rPr>
      </w:pPr>
    </w:p>
    <w:p w:rsidR="00110428" w:rsidRDefault="00110428" w:rsidP="00110428">
      <w:pPr>
        <w:spacing w:after="120" w:line="300" w:lineRule="atLeast"/>
        <w:ind w:left="0"/>
        <w:rPr>
          <w:rFonts w:cs="Lucida Sans Unicode"/>
          <w:b/>
          <w:bCs/>
          <w:sz w:val="20"/>
          <w:szCs w:val="20"/>
        </w:rPr>
      </w:pPr>
      <w:r>
        <w:rPr>
          <w:rFonts w:cs="Lucida Sans Unicode"/>
          <w:b/>
          <w:bCs/>
          <w:sz w:val="20"/>
          <w:szCs w:val="20"/>
        </w:rPr>
        <w:t>Entwicklung in den Segmenten</w:t>
      </w:r>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110428" w:rsidTr="00110428">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110428" w:rsidRDefault="00110428" w:rsidP="00110428">
            <w:pPr>
              <w:ind w:left="0"/>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110428" w:rsidRDefault="00F61187" w:rsidP="00110428">
            <w:pPr>
              <w:ind w:left="0"/>
              <w:jc w:val="center"/>
              <w:rPr>
                <w:rFonts w:cs="Lucida Sans Unicode"/>
                <w:b/>
                <w:bCs/>
                <w:szCs w:val="20"/>
              </w:rPr>
            </w:pPr>
            <w:r>
              <w:rPr>
                <w:rFonts w:cs="Lucida Sans Unicode"/>
                <w:b/>
                <w:bCs/>
                <w:szCs w:val="20"/>
              </w:rPr>
              <w:t>Umsatz 3</w:t>
            </w:r>
            <w:r w:rsidR="00110428">
              <w:rPr>
                <w:rFonts w:cs="Lucida Sans Unicode"/>
                <w:b/>
                <w:bCs/>
                <w:szCs w:val="20"/>
              </w:rPr>
              <w:t xml:space="preserve">.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110428" w:rsidRDefault="00F61187" w:rsidP="00110428">
            <w:pPr>
              <w:ind w:left="0"/>
              <w:jc w:val="center"/>
              <w:rPr>
                <w:rFonts w:cs="Lucida Sans Unicode"/>
                <w:b/>
                <w:bCs/>
                <w:szCs w:val="20"/>
              </w:rPr>
            </w:pPr>
            <w:r>
              <w:rPr>
                <w:rFonts w:cs="Lucida Sans Unicode"/>
                <w:b/>
                <w:bCs/>
                <w:szCs w:val="20"/>
              </w:rPr>
              <w:t>Bereinigtes EBITDA 3</w:t>
            </w:r>
            <w:r w:rsidR="00110428">
              <w:rPr>
                <w:rFonts w:cs="Lucida Sans Unicode"/>
                <w:b/>
                <w:bCs/>
                <w:szCs w:val="20"/>
              </w:rPr>
              <w:t>. Quartal</w:t>
            </w:r>
          </w:p>
        </w:tc>
      </w:tr>
      <w:tr w:rsidR="00110428" w:rsidTr="00110428">
        <w:trPr>
          <w:trHeight w:val="255"/>
        </w:trPr>
        <w:tc>
          <w:tcPr>
            <w:tcW w:w="3193" w:type="dxa"/>
            <w:tcBorders>
              <w:top w:val="nil"/>
              <w:left w:val="single" w:sz="4" w:space="0" w:color="auto"/>
              <w:bottom w:val="nil"/>
              <w:right w:val="single" w:sz="4" w:space="0" w:color="auto"/>
            </w:tcBorders>
            <w:shd w:val="clear" w:color="auto" w:fill="auto"/>
            <w:noWrap/>
            <w:vAlign w:val="center"/>
          </w:tcPr>
          <w:p w:rsidR="00110428" w:rsidRDefault="00110428" w:rsidP="00110428">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szCs w:val="20"/>
              </w:rPr>
            </w:pPr>
            <w:r>
              <w:rPr>
                <w:rFonts w:cs="Lucida Sans Unicode"/>
                <w:b/>
                <w:bCs/>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2014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c>
          <w:tcPr>
            <w:tcW w:w="1114"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szCs w:val="20"/>
              </w:rPr>
            </w:pPr>
            <w:r>
              <w:rPr>
                <w:rFonts w:cs="Lucida Sans Unicode"/>
                <w:b/>
                <w:bCs/>
                <w:szCs w:val="20"/>
              </w:rPr>
              <w:t>2015</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2014</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in %</w:t>
            </w:r>
          </w:p>
        </w:tc>
      </w:tr>
      <w:tr w:rsidR="00110428" w:rsidTr="00110428">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1.240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1.016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22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382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206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85</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1.044</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1.027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216</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214</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1</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858</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966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94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90</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4</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207</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217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46</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2C356B" w:rsidP="00780B4F">
            <w:pPr>
              <w:ind w:left="0"/>
              <w:jc w:val="right"/>
              <w:rPr>
                <w:rFonts w:cs="Lucida Sans Unicode"/>
                <w:position w:val="0"/>
                <w:szCs w:val="20"/>
              </w:rPr>
            </w:pPr>
            <w:r>
              <w:rPr>
                <w:rFonts w:cs="Lucida Sans Unicode"/>
                <w:position w:val="0"/>
                <w:szCs w:val="20"/>
              </w:rPr>
              <w:t>4</w:t>
            </w:r>
            <w:r w:rsidR="00780B4F">
              <w:rPr>
                <w:rFonts w:cs="Lucida Sans Unicode"/>
                <w:position w:val="0"/>
                <w:szCs w:val="20"/>
              </w:rPr>
              <w:t>7</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-2</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03972" w:rsidRDefault="0002009D" w:rsidP="00110428">
            <w:pPr>
              <w:ind w:left="0"/>
              <w:jc w:val="right"/>
              <w:rPr>
                <w:rFonts w:cs="Lucida Sans Unicode"/>
                <w:position w:val="0"/>
                <w:szCs w:val="20"/>
              </w:rPr>
            </w:pPr>
            <w:r>
              <w:rPr>
                <w:rFonts w:cs="Lucida Sans Unicode"/>
                <w:position w:val="0"/>
                <w:szCs w:val="20"/>
              </w:rPr>
              <w:t>16</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02009D" w:rsidP="00110428">
            <w:pPr>
              <w:ind w:left="0"/>
              <w:jc w:val="right"/>
              <w:rPr>
                <w:rFonts w:cs="Lucida Sans Unicode"/>
                <w:position w:val="0"/>
                <w:szCs w:val="20"/>
              </w:rPr>
            </w:pPr>
            <w:r>
              <w:rPr>
                <w:rFonts w:cs="Lucida Sans Unicode"/>
                <w:position w:val="0"/>
                <w:szCs w:val="20"/>
              </w:rPr>
              <w:t>17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02009D" w:rsidP="00110428">
            <w:pPr>
              <w:ind w:left="0"/>
              <w:jc w:val="right"/>
              <w:rPr>
                <w:rFonts w:cs="Lucida Sans Unicode"/>
                <w:position w:val="0"/>
                <w:szCs w:val="20"/>
              </w:rPr>
            </w:pPr>
            <w:r>
              <w:rPr>
                <w:rFonts w:cs="Lucida Sans Unicode"/>
                <w:position w:val="0"/>
                <w:szCs w:val="20"/>
              </w:rPr>
              <w:t>-85</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02009D" w:rsidP="00110428">
            <w:pPr>
              <w:ind w:left="0"/>
              <w:jc w:val="right"/>
              <w:rPr>
                <w:rFonts w:cs="Lucida Sans Unicode"/>
                <w:position w:val="0"/>
                <w:szCs w:val="20"/>
              </w:rPr>
            </w:pPr>
            <w:r>
              <w:rPr>
                <w:rFonts w:cs="Lucida Sans Unicode"/>
                <w:position w:val="0"/>
                <w:szCs w:val="20"/>
              </w:rPr>
              <w:t>-57</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p>
        </w:tc>
      </w:tr>
      <w:tr w:rsidR="00110428" w:rsidRPr="00DA2E4E" w:rsidTr="00110428">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DA2E4E" w:rsidRDefault="00110428" w:rsidP="00110428">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3.365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3.243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02009D" w:rsidP="00110428">
            <w:pPr>
              <w:ind w:left="0"/>
              <w:jc w:val="right"/>
              <w:rPr>
                <w:rFonts w:cs="Lucida Sans Unicode"/>
                <w:bCs/>
                <w:position w:val="0"/>
                <w:szCs w:val="20"/>
              </w:rPr>
            </w:pPr>
            <w:r>
              <w:rPr>
                <w:rFonts w:cs="Lucida Sans Unicode"/>
                <w:bCs/>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653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500</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02009D" w:rsidP="00110428">
            <w:pPr>
              <w:ind w:left="0"/>
              <w:jc w:val="right"/>
              <w:rPr>
                <w:rFonts w:cs="Lucida Sans Unicode"/>
                <w:bCs/>
                <w:position w:val="0"/>
                <w:szCs w:val="20"/>
              </w:rPr>
            </w:pPr>
            <w:r>
              <w:rPr>
                <w:rFonts w:cs="Lucida Sans Unicode"/>
                <w:bCs/>
                <w:position w:val="0"/>
                <w:szCs w:val="20"/>
              </w:rPr>
              <w:t>31</w:t>
            </w:r>
          </w:p>
        </w:tc>
      </w:tr>
      <w:tr w:rsidR="00110428" w:rsidTr="00110428">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110428" w:rsidRDefault="00110428" w:rsidP="00110428">
            <w:pPr>
              <w:ind w:left="0"/>
              <w:jc w:val="right"/>
              <w:rPr>
                <w:rFonts w:cs="Lucida Sans Unicode"/>
                <w:b/>
                <w:bCs/>
                <w:position w:val="0"/>
                <w:szCs w:val="20"/>
              </w:rPr>
            </w:pPr>
            <w:r>
              <w:rPr>
                <w:rFonts w:cs="Lucida Sans Unicode"/>
                <w:b/>
                <w:bCs/>
                <w:position w:val="0"/>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110428" w:rsidRDefault="00110428" w:rsidP="00F61187">
            <w:pPr>
              <w:ind w:left="0"/>
              <w:jc w:val="center"/>
              <w:rPr>
                <w:rFonts w:cs="Lucida Sans Unicode"/>
                <w:b/>
                <w:bCs/>
                <w:position w:val="0"/>
                <w:szCs w:val="20"/>
              </w:rPr>
            </w:pPr>
            <w:r>
              <w:rPr>
                <w:rFonts w:cs="Lucida Sans Unicode"/>
                <w:b/>
                <w:bCs/>
                <w:position w:val="0"/>
                <w:szCs w:val="20"/>
              </w:rPr>
              <w:t xml:space="preserve">Umsatz </w:t>
            </w:r>
            <w:r w:rsidR="00982B1C">
              <w:rPr>
                <w:rFonts w:cs="Lucida Sans Unicode"/>
                <w:b/>
                <w:bCs/>
                <w:position w:val="0"/>
                <w:szCs w:val="20"/>
              </w:rPr>
              <w:t>Dreivierteljahr</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Default="00110428" w:rsidP="00982B1C">
            <w:pPr>
              <w:ind w:left="0"/>
              <w:jc w:val="center"/>
              <w:rPr>
                <w:rFonts w:cs="Lucida Sans Unicode"/>
                <w:b/>
                <w:bCs/>
                <w:position w:val="0"/>
                <w:szCs w:val="20"/>
              </w:rPr>
            </w:pPr>
            <w:r>
              <w:rPr>
                <w:rFonts w:cs="Lucida Sans Unicode"/>
                <w:b/>
                <w:bCs/>
                <w:position w:val="0"/>
                <w:szCs w:val="20"/>
              </w:rPr>
              <w:t xml:space="preserve">Bereinigtes EBITDA </w:t>
            </w:r>
            <w:r w:rsidR="00982B1C">
              <w:rPr>
                <w:rFonts w:cs="Lucida Sans Unicode"/>
                <w:b/>
                <w:bCs/>
                <w:position w:val="0"/>
                <w:szCs w:val="20"/>
              </w:rPr>
              <w:t>Dreivierteljahr</w:t>
            </w:r>
          </w:p>
        </w:tc>
      </w:tr>
      <w:tr w:rsidR="00110428" w:rsidTr="00110428">
        <w:trPr>
          <w:trHeight w:val="255"/>
        </w:trPr>
        <w:tc>
          <w:tcPr>
            <w:tcW w:w="3193" w:type="dxa"/>
            <w:tcBorders>
              <w:top w:val="nil"/>
              <w:left w:val="single" w:sz="4" w:space="0" w:color="auto"/>
              <w:bottom w:val="nil"/>
              <w:right w:val="single" w:sz="4" w:space="0" w:color="auto"/>
            </w:tcBorders>
            <w:shd w:val="clear" w:color="auto" w:fill="auto"/>
            <w:noWrap/>
            <w:vAlign w:val="center"/>
          </w:tcPr>
          <w:p w:rsidR="00110428" w:rsidRDefault="00110428" w:rsidP="00110428">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2014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c>
          <w:tcPr>
            <w:tcW w:w="1114"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 xml:space="preserve"> 2015</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 xml:space="preserve"> 2014</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b/>
                <w:bCs/>
                <w:position w:val="0"/>
                <w:szCs w:val="20"/>
              </w:rPr>
            </w:pPr>
            <w:r>
              <w:rPr>
                <w:rFonts w:cs="Lucida Sans Unicode"/>
                <w:b/>
                <w:bCs/>
                <w:position w:val="0"/>
                <w:szCs w:val="20"/>
              </w:rPr>
              <w:t> </w:t>
            </w:r>
          </w:p>
        </w:tc>
        <w:tc>
          <w:tcPr>
            <w:tcW w:w="1125"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in %</w:t>
            </w:r>
          </w:p>
        </w:tc>
        <w:tc>
          <w:tcPr>
            <w:tcW w:w="1114"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in %</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3.716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2.961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25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1.116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585343" w:rsidP="00110428">
            <w:pPr>
              <w:ind w:left="0"/>
              <w:jc w:val="right"/>
              <w:rPr>
                <w:rFonts w:cs="Lucida Sans Unicode"/>
                <w:position w:val="0"/>
                <w:szCs w:val="20"/>
              </w:rPr>
            </w:pPr>
            <w:r>
              <w:rPr>
                <w:rFonts w:cs="Lucida Sans Unicode"/>
                <w:position w:val="0"/>
                <w:szCs w:val="20"/>
              </w:rPr>
              <w:t>578</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585343" w:rsidP="00110428">
            <w:pPr>
              <w:ind w:left="0"/>
              <w:jc w:val="right"/>
              <w:rPr>
                <w:rFonts w:cs="Lucida Sans Unicode"/>
                <w:position w:val="0"/>
                <w:szCs w:val="20"/>
              </w:rPr>
            </w:pPr>
            <w:r>
              <w:rPr>
                <w:rFonts w:cs="Lucida Sans Unicode"/>
                <w:position w:val="0"/>
                <w:szCs w:val="20"/>
              </w:rPr>
              <w:t>93</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3.278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3.069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714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585343" w:rsidP="00110428">
            <w:pPr>
              <w:ind w:left="0"/>
              <w:jc w:val="right"/>
              <w:rPr>
                <w:rFonts w:cs="Lucida Sans Unicode"/>
                <w:position w:val="0"/>
                <w:szCs w:val="20"/>
              </w:rPr>
            </w:pPr>
            <w:r>
              <w:rPr>
                <w:rFonts w:cs="Lucida Sans Unicode"/>
                <w:position w:val="0"/>
                <w:szCs w:val="20"/>
              </w:rPr>
              <w:t>661</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585343" w:rsidP="00110428">
            <w:pPr>
              <w:ind w:left="0"/>
              <w:jc w:val="right"/>
              <w:rPr>
                <w:rFonts w:cs="Lucida Sans Unicode"/>
                <w:position w:val="0"/>
                <w:szCs w:val="20"/>
              </w:rPr>
            </w:pPr>
            <w:r>
              <w:rPr>
                <w:rFonts w:cs="Lucida Sans Unicode"/>
                <w:position w:val="0"/>
                <w:szCs w:val="20"/>
              </w:rPr>
              <w:t>8</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2.646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2.944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247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585343" w:rsidP="00110428">
            <w:pPr>
              <w:ind w:left="0"/>
              <w:jc w:val="right"/>
              <w:rPr>
                <w:rFonts w:cs="Lucida Sans Unicode"/>
                <w:position w:val="0"/>
                <w:szCs w:val="20"/>
              </w:rPr>
            </w:pPr>
            <w:r>
              <w:rPr>
                <w:rFonts w:cs="Lucida Sans Unicode"/>
                <w:position w:val="0"/>
                <w:szCs w:val="20"/>
              </w:rPr>
              <w:t>253</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585343" w:rsidP="00110428">
            <w:pPr>
              <w:ind w:left="0"/>
              <w:jc w:val="right"/>
              <w:rPr>
                <w:rFonts w:cs="Lucida Sans Unicode"/>
                <w:position w:val="0"/>
                <w:szCs w:val="20"/>
              </w:rPr>
            </w:pPr>
            <w:r>
              <w:rPr>
                <w:rFonts w:cs="Lucida Sans Unicode"/>
                <w:position w:val="0"/>
                <w:szCs w:val="20"/>
              </w:rPr>
              <w:t>-2</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626</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2C356B" w:rsidP="00110428">
            <w:pPr>
              <w:ind w:left="0"/>
              <w:jc w:val="right"/>
              <w:rPr>
                <w:rFonts w:cs="Lucida Sans Unicode"/>
                <w:position w:val="0"/>
                <w:szCs w:val="20"/>
              </w:rPr>
            </w:pPr>
            <w:r>
              <w:rPr>
                <w:rFonts w:cs="Lucida Sans Unicode"/>
                <w:position w:val="0"/>
                <w:szCs w:val="20"/>
              </w:rPr>
              <w:t>671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2C356B" w:rsidP="00110428">
            <w:pPr>
              <w:ind w:left="0"/>
              <w:jc w:val="right"/>
              <w:rPr>
                <w:rFonts w:cs="Lucida Sans Unicode"/>
                <w:position w:val="0"/>
                <w:szCs w:val="20"/>
              </w:rPr>
            </w:pPr>
            <w:r>
              <w:rPr>
                <w:rFonts w:cs="Lucida Sans Unicode"/>
                <w:position w:val="0"/>
                <w:szCs w:val="20"/>
              </w:rP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2C356B" w:rsidP="00110428">
            <w:pPr>
              <w:ind w:left="0"/>
              <w:jc w:val="right"/>
              <w:rPr>
                <w:rFonts w:cs="Lucida Sans Unicode"/>
                <w:position w:val="0"/>
                <w:szCs w:val="20"/>
              </w:rPr>
            </w:pPr>
            <w:r>
              <w:rPr>
                <w:rFonts w:cs="Lucida Sans Unicode"/>
                <w:position w:val="0"/>
                <w:szCs w:val="20"/>
              </w:rPr>
              <w:t>123</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10428" w:rsidRDefault="00585343" w:rsidP="00110428">
            <w:pPr>
              <w:ind w:left="0"/>
              <w:jc w:val="right"/>
              <w:rPr>
                <w:rFonts w:cs="Lucida Sans Unicode"/>
                <w:position w:val="0"/>
                <w:szCs w:val="20"/>
              </w:rPr>
            </w:pPr>
            <w:r>
              <w:rPr>
                <w:rFonts w:cs="Lucida Sans Unicode"/>
                <w:position w:val="0"/>
                <w:szCs w:val="20"/>
              </w:rPr>
              <w:t>135</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585343" w:rsidP="00110428">
            <w:pPr>
              <w:ind w:left="0"/>
              <w:jc w:val="right"/>
              <w:rPr>
                <w:rFonts w:cs="Lucida Sans Unicode"/>
                <w:position w:val="0"/>
                <w:szCs w:val="20"/>
              </w:rPr>
            </w:pPr>
            <w:r>
              <w:rPr>
                <w:rFonts w:cs="Lucida Sans Unicode"/>
                <w:position w:val="0"/>
                <w:szCs w:val="20"/>
              </w:rPr>
              <w:t>-9</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02009D" w:rsidP="00110428">
            <w:pPr>
              <w:ind w:left="0"/>
              <w:jc w:val="right"/>
              <w:rPr>
                <w:rFonts w:cs="Lucida Sans Unicode"/>
                <w:position w:val="0"/>
                <w:szCs w:val="20"/>
              </w:rPr>
            </w:pPr>
            <w:r>
              <w:rPr>
                <w:rFonts w:cs="Lucida Sans Unicode"/>
                <w:position w:val="0"/>
                <w:szCs w:val="20"/>
              </w:rPr>
              <w:t>43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02009D" w:rsidP="00110428">
            <w:pPr>
              <w:ind w:left="0"/>
              <w:jc w:val="right"/>
              <w:rPr>
                <w:rFonts w:cs="Lucida Sans Unicode"/>
                <w:position w:val="0"/>
                <w:szCs w:val="20"/>
              </w:rPr>
            </w:pPr>
            <w:r>
              <w:rPr>
                <w:rFonts w:cs="Lucida Sans Unicode"/>
                <w:position w:val="0"/>
                <w:szCs w:val="20"/>
              </w:rPr>
              <w:t>46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02009D" w:rsidP="00110428">
            <w:pPr>
              <w:ind w:left="0"/>
              <w:jc w:val="right"/>
              <w:rPr>
                <w:rFonts w:cs="Lucida Sans Unicode"/>
                <w:position w:val="0"/>
                <w:szCs w:val="20"/>
              </w:rPr>
            </w:pPr>
            <w:r>
              <w:rPr>
                <w:rFonts w:cs="Lucida Sans Unicode"/>
                <w:position w:val="0"/>
                <w:szCs w:val="20"/>
              </w:rPr>
              <w:t>-236</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10428" w:rsidRDefault="0002009D" w:rsidP="00110428">
            <w:pPr>
              <w:ind w:left="0"/>
              <w:jc w:val="right"/>
              <w:rPr>
                <w:rFonts w:cs="Lucida Sans Unicode"/>
                <w:position w:val="0"/>
                <w:szCs w:val="20"/>
              </w:rPr>
            </w:pPr>
            <w:r>
              <w:rPr>
                <w:rFonts w:cs="Lucida Sans Unicode"/>
                <w:position w:val="0"/>
                <w:szCs w:val="20"/>
              </w:rPr>
              <w:t>-191</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p>
        </w:tc>
      </w:tr>
      <w:tr w:rsidR="00110428" w:rsidRPr="00DA2E4E"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DA2E4E" w:rsidRDefault="00110428" w:rsidP="00110428">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10.309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9.691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02009D" w:rsidP="00110428">
            <w:pPr>
              <w:ind w:left="0"/>
              <w:jc w:val="right"/>
              <w:rPr>
                <w:rFonts w:cs="Lucida Sans Unicode"/>
                <w:bCs/>
                <w:position w:val="0"/>
                <w:szCs w:val="20"/>
              </w:rPr>
            </w:pPr>
            <w:r>
              <w:rPr>
                <w:rFonts w:cs="Lucida Sans Unicode"/>
                <w:bCs/>
                <w:position w:val="0"/>
                <w:szCs w:val="20"/>
              </w:rP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1.964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02009D" w:rsidP="00110428">
            <w:pPr>
              <w:ind w:left="0"/>
              <w:jc w:val="right"/>
              <w:rPr>
                <w:rFonts w:cs="Lucida Sans Unicode"/>
                <w:bCs/>
                <w:position w:val="0"/>
                <w:szCs w:val="20"/>
              </w:rPr>
            </w:pPr>
            <w:r>
              <w:rPr>
                <w:rFonts w:cs="Lucida Sans Unicode"/>
                <w:bCs/>
                <w:position w:val="0"/>
                <w:szCs w:val="20"/>
              </w:rPr>
              <w:t>1.436</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02009D" w:rsidP="00110428">
            <w:pPr>
              <w:ind w:left="0"/>
              <w:jc w:val="right"/>
              <w:rPr>
                <w:rFonts w:cs="Lucida Sans Unicode"/>
                <w:bCs/>
                <w:position w:val="0"/>
                <w:szCs w:val="20"/>
              </w:rPr>
            </w:pPr>
            <w:r>
              <w:rPr>
                <w:rFonts w:cs="Lucida Sans Unicode"/>
                <w:bCs/>
                <w:position w:val="0"/>
                <w:szCs w:val="20"/>
              </w:rPr>
              <w:t>37</w:t>
            </w:r>
          </w:p>
        </w:tc>
      </w:tr>
    </w:tbl>
    <w:p w:rsidR="00110428" w:rsidRPr="00A03972" w:rsidRDefault="00110428" w:rsidP="00110428">
      <w:pPr>
        <w:spacing w:line="240" w:lineRule="auto"/>
        <w:ind w:left="0" w:right="0"/>
        <w:rPr>
          <w:bCs/>
          <w:sz w:val="16"/>
          <w:szCs w:val="16"/>
        </w:rPr>
      </w:pPr>
      <w:r>
        <w:rPr>
          <w:bCs/>
          <w:sz w:val="16"/>
          <w:szCs w:val="16"/>
        </w:rPr>
        <w:t>Vorjahreszahlen angepasst</w:t>
      </w:r>
    </w:p>
    <w:p w:rsidR="00110428" w:rsidRPr="00A03972" w:rsidRDefault="00110428" w:rsidP="00110428">
      <w:pPr>
        <w:spacing w:line="240" w:lineRule="auto"/>
        <w:ind w:left="0" w:right="0"/>
        <w:rPr>
          <w:bCs/>
          <w:sz w:val="16"/>
          <w:szCs w:val="16"/>
        </w:rPr>
      </w:pPr>
    </w:p>
    <w:p w:rsidR="00110428" w:rsidRDefault="00110428" w:rsidP="00110428">
      <w:pPr>
        <w:spacing w:after="120"/>
        <w:rPr>
          <w:b/>
          <w:bCs/>
        </w:rPr>
      </w:pPr>
    </w:p>
    <w:p w:rsidR="00110428" w:rsidRPr="009511D1" w:rsidRDefault="00110428" w:rsidP="009511D1">
      <w:pPr>
        <w:spacing w:after="120" w:line="300" w:lineRule="atLeast"/>
        <w:ind w:left="0"/>
        <w:rPr>
          <w:rFonts w:cs="Lucida Sans Unicode"/>
          <w:b/>
          <w:bCs/>
          <w:sz w:val="20"/>
          <w:szCs w:val="20"/>
        </w:rPr>
      </w:pPr>
      <w:r w:rsidRPr="009511D1">
        <w:rPr>
          <w:rFonts w:cs="Lucida Sans Unicode"/>
          <w:b/>
          <w:bCs/>
          <w:sz w:val="20"/>
          <w:szCs w:val="20"/>
        </w:rPr>
        <w:lastRenderedPageBreak/>
        <w:t>Mitarbeiter nach Segmenten</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110428" w:rsidRPr="00BE5DBC" w:rsidTr="00110428">
        <w:tc>
          <w:tcPr>
            <w:tcW w:w="4122" w:type="dxa"/>
            <w:shd w:val="clear" w:color="auto" w:fill="auto"/>
          </w:tcPr>
          <w:p w:rsidR="00110428" w:rsidRPr="00B13E9A" w:rsidRDefault="00110428" w:rsidP="00110428">
            <w:pPr>
              <w:ind w:left="0"/>
              <w:rPr>
                <w:bCs/>
              </w:rPr>
            </w:pPr>
          </w:p>
        </w:tc>
        <w:tc>
          <w:tcPr>
            <w:tcW w:w="2172" w:type="dxa"/>
            <w:shd w:val="clear" w:color="auto" w:fill="auto"/>
          </w:tcPr>
          <w:p w:rsidR="00110428" w:rsidRPr="00BE5DBC" w:rsidRDefault="00982B1C" w:rsidP="00110428">
            <w:pPr>
              <w:ind w:left="0"/>
              <w:jc w:val="center"/>
              <w:rPr>
                <w:b/>
                <w:bCs/>
              </w:rPr>
            </w:pPr>
            <w:r>
              <w:rPr>
                <w:b/>
                <w:bCs/>
              </w:rPr>
              <w:t>30.09</w:t>
            </w:r>
            <w:r w:rsidR="00110428">
              <w:rPr>
                <w:b/>
                <w:bCs/>
              </w:rPr>
              <w:t>.2015</w:t>
            </w:r>
          </w:p>
        </w:tc>
        <w:tc>
          <w:tcPr>
            <w:tcW w:w="2173" w:type="dxa"/>
            <w:shd w:val="clear" w:color="auto" w:fill="auto"/>
          </w:tcPr>
          <w:p w:rsidR="00110428" w:rsidRPr="00BE5DBC" w:rsidRDefault="00110428" w:rsidP="00110428">
            <w:pPr>
              <w:ind w:left="0"/>
              <w:jc w:val="center"/>
              <w:rPr>
                <w:b/>
                <w:bCs/>
              </w:rPr>
            </w:pPr>
            <w:r w:rsidRPr="00BE5DBC">
              <w:rPr>
                <w:b/>
                <w:bCs/>
              </w:rPr>
              <w:t>31.12.201</w:t>
            </w:r>
            <w:r>
              <w:rPr>
                <w:b/>
                <w:bCs/>
              </w:rPr>
              <w:t>4</w:t>
            </w:r>
          </w:p>
        </w:tc>
      </w:tr>
      <w:tr w:rsidR="00110428" w:rsidRPr="00A14C8B" w:rsidTr="00110428">
        <w:tc>
          <w:tcPr>
            <w:tcW w:w="4122" w:type="dxa"/>
            <w:shd w:val="clear" w:color="auto" w:fill="auto"/>
          </w:tcPr>
          <w:p w:rsidR="00110428" w:rsidRPr="00B13E9A" w:rsidRDefault="00110428" w:rsidP="00110428">
            <w:pPr>
              <w:ind w:left="0"/>
              <w:rPr>
                <w:bCs/>
              </w:rPr>
            </w:pPr>
            <w:r w:rsidRPr="00B13E9A">
              <w:rPr>
                <w:bCs/>
              </w:rPr>
              <w:t>Nutrition</w:t>
            </w:r>
            <w:r>
              <w:rPr>
                <w:bCs/>
              </w:rPr>
              <w:t xml:space="preserve"> &amp; Care</w:t>
            </w:r>
          </w:p>
        </w:tc>
        <w:tc>
          <w:tcPr>
            <w:tcW w:w="2172" w:type="dxa"/>
            <w:shd w:val="clear" w:color="auto" w:fill="auto"/>
          </w:tcPr>
          <w:p w:rsidR="00110428" w:rsidRPr="00A14C8B" w:rsidRDefault="00982B1C" w:rsidP="00110428">
            <w:pPr>
              <w:ind w:left="0"/>
              <w:jc w:val="right"/>
              <w:rPr>
                <w:bCs/>
                <w:lang w:val="en-US"/>
              </w:rPr>
            </w:pPr>
            <w:r>
              <w:rPr>
                <w:bCs/>
                <w:lang w:val="en-US"/>
              </w:rPr>
              <w:t>7.062</w:t>
            </w:r>
          </w:p>
        </w:tc>
        <w:tc>
          <w:tcPr>
            <w:tcW w:w="2173" w:type="dxa"/>
            <w:shd w:val="clear" w:color="auto" w:fill="auto"/>
          </w:tcPr>
          <w:p w:rsidR="00110428" w:rsidRPr="00A14C8B" w:rsidRDefault="00110428" w:rsidP="00110428">
            <w:pPr>
              <w:ind w:left="0"/>
              <w:jc w:val="right"/>
              <w:rPr>
                <w:bCs/>
                <w:lang w:val="en-US"/>
              </w:rPr>
            </w:pPr>
            <w:r>
              <w:rPr>
                <w:bCs/>
                <w:lang w:val="en-US"/>
              </w:rPr>
              <w:t>6.943</w:t>
            </w:r>
          </w:p>
        </w:tc>
      </w:tr>
      <w:tr w:rsidR="00110428" w:rsidRPr="00A14C8B" w:rsidTr="00110428">
        <w:tc>
          <w:tcPr>
            <w:tcW w:w="4122" w:type="dxa"/>
            <w:shd w:val="clear" w:color="auto" w:fill="auto"/>
          </w:tcPr>
          <w:p w:rsidR="00110428" w:rsidRPr="00A14C8B" w:rsidRDefault="00110428" w:rsidP="00110428">
            <w:pPr>
              <w:ind w:left="0"/>
              <w:rPr>
                <w:bCs/>
                <w:lang w:val="en-US"/>
              </w:rPr>
            </w:pPr>
            <w:r w:rsidRPr="00A14C8B">
              <w:rPr>
                <w:bCs/>
                <w:lang w:val="en-US"/>
              </w:rPr>
              <w:t>Resource Efficiency</w:t>
            </w:r>
          </w:p>
        </w:tc>
        <w:tc>
          <w:tcPr>
            <w:tcW w:w="2172" w:type="dxa"/>
            <w:shd w:val="clear" w:color="auto" w:fill="auto"/>
          </w:tcPr>
          <w:p w:rsidR="00110428" w:rsidRPr="00A14C8B" w:rsidRDefault="00982B1C" w:rsidP="00110428">
            <w:pPr>
              <w:ind w:left="0"/>
              <w:jc w:val="right"/>
              <w:rPr>
                <w:bCs/>
                <w:lang w:val="en-US"/>
              </w:rPr>
            </w:pPr>
            <w:r>
              <w:rPr>
                <w:bCs/>
                <w:lang w:val="en-US"/>
              </w:rPr>
              <w:t>8.549</w:t>
            </w:r>
          </w:p>
        </w:tc>
        <w:tc>
          <w:tcPr>
            <w:tcW w:w="2173" w:type="dxa"/>
            <w:shd w:val="clear" w:color="auto" w:fill="auto"/>
          </w:tcPr>
          <w:p w:rsidR="00110428" w:rsidRPr="00A14C8B" w:rsidRDefault="00110428" w:rsidP="00110428">
            <w:pPr>
              <w:ind w:left="0"/>
              <w:jc w:val="right"/>
              <w:rPr>
                <w:bCs/>
                <w:lang w:val="en-US"/>
              </w:rPr>
            </w:pPr>
            <w:r>
              <w:rPr>
                <w:bCs/>
                <w:lang w:val="en-US"/>
              </w:rPr>
              <w:t>7.835</w:t>
            </w:r>
          </w:p>
        </w:tc>
      </w:tr>
      <w:tr w:rsidR="00110428" w:rsidRPr="00A14C8B" w:rsidTr="00110428">
        <w:tc>
          <w:tcPr>
            <w:tcW w:w="4122" w:type="dxa"/>
            <w:shd w:val="clear" w:color="auto" w:fill="auto"/>
          </w:tcPr>
          <w:p w:rsidR="00110428" w:rsidRPr="00A14C8B" w:rsidRDefault="00110428" w:rsidP="00110428">
            <w:pPr>
              <w:ind w:left="0"/>
              <w:rPr>
                <w:bCs/>
                <w:lang w:val="en-US"/>
              </w:rPr>
            </w:pPr>
            <w:r>
              <w:rPr>
                <w:bCs/>
                <w:lang w:val="en-US"/>
              </w:rPr>
              <w:t>Performance</w:t>
            </w:r>
            <w:r w:rsidRPr="00A14C8B">
              <w:rPr>
                <w:bCs/>
                <w:lang w:val="en-US"/>
              </w:rPr>
              <w:t xml:space="preserve"> Materials</w:t>
            </w:r>
          </w:p>
        </w:tc>
        <w:tc>
          <w:tcPr>
            <w:tcW w:w="2172" w:type="dxa"/>
            <w:shd w:val="clear" w:color="auto" w:fill="auto"/>
          </w:tcPr>
          <w:p w:rsidR="00110428" w:rsidRPr="00A14C8B" w:rsidRDefault="00982B1C" w:rsidP="00110428">
            <w:pPr>
              <w:ind w:left="0"/>
              <w:jc w:val="right"/>
              <w:rPr>
                <w:bCs/>
                <w:lang w:val="en-US"/>
              </w:rPr>
            </w:pPr>
            <w:r>
              <w:rPr>
                <w:bCs/>
                <w:lang w:val="en-US"/>
              </w:rPr>
              <w:t>4.387</w:t>
            </w:r>
          </w:p>
        </w:tc>
        <w:tc>
          <w:tcPr>
            <w:tcW w:w="2173" w:type="dxa"/>
            <w:shd w:val="clear" w:color="auto" w:fill="auto"/>
          </w:tcPr>
          <w:p w:rsidR="00110428" w:rsidRPr="00A14C8B" w:rsidRDefault="00110428" w:rsidP="00110428">
            <w:pPr>
              <w:ind w:left="0"/>
              <w:jc w:val="right"/>
              <w:rPr>
                <w:bCs/>
                <w:lang w:val="en-US"/>
              </w:rPr>
            </w:pPr>
            <w:r>
              <w:rPr>
                <w:bCs/>
                <w:lang w:val="en-US"/>
              </w:rPr>
              <w:t>4.353</w:t>
            </w:r>
          </w:p>
        </w:tc>
      </w:tr>
      <w:tr w:rsidR="00110428" w:rsidRPr="00A14C8B" w:rsidTr="00110428">
        <w:tc>
          <w:tcPr>
            <w:tcW w:w="4122" w:type="dxa"/>
            <w:shd w:val="clear" w:color="auto" w:fill="auto"/>
          </w:tcPr>
          <w:p w:rsidR="00110428" w:rsidRPr="00A14C8B" w:rsidRDefault="00110428" w:rsidP="00110428">
            <w:pPr>
              <w:ind w:left="0"/>
              <w:rPr>
                <w:bCs/>
                <w:lang w:val="en-US"/>
              </w:rPr>
            </w:pPr>
            <w:r w:rsidRPr="00A14C8B">
              <w:rPr>
                <w:bCs/>
                <w:lang w:val="en-US"/>
              </w:rPr>
              <w:t>Services</w:t>
            </w:r>
          </w:p>
        </w:tc>
        <w:tc>
          <w:tcPr>
            <w:tcW w:w="2172" w:type="dxa"/>
            <w:shd w:val="clear" w:color="auto" w:fill="auto"/>
          </w:tcPr>
          <w:p w:rsidR="00110428" w:rsidRPr="00A14C8B" w:rsidRDefault="00982B1C" w:rsidP="00110428">
            <w:pPr>
              <w:ind w:left="0"/>
              <w:jc w:val="right"/>
              <w:rPr>
                <w:bCs/>
                <w:lang w:val="en-US"/>
              </w:rPr>
            </w:pPr>
            <w:r>
              <w:rPr>
                <w:bCs/>
                <w:lang w:val="en-US"/>
              </w:rPr>
              <w:t>12.747</w:t>
            </w:r>
          </w:p>
        </w:tc>
        <w:tc>
          <w:tcPr>
            <w:tcW w:w="2173" w:type="dxa"/>
            <w:shd w:val="clear" w:color="auto" w:fill="auto"/>
          </w:tcPr>
          <w:p w:rsidR="00110428" w:rsidRPr="00A14C8B" w:rsidRDefault="00110428" w:rsidP="00110428">
            <w:pPr>
              <w:ind w:left="0"/>
              <w:jc w:val="right"/>
              <w:rPr>
                <w:bCs/>
                <w:lang w:val="en-US"/>
              </w:rPr>
            </w:pPr>
            <w:r>
              <w:rPr>
                <w:bCs/>
                <w:lang w:val="en-US"/>
              </w:rPr>
              <w:t>13.173</w:t>
            </w:r>
          </w:p>
        </w:tc>
      </w:tr>
      <w:tr w:rsidR="00110428" w:rsidRPr="00B13E9A" w:rsidTr="00110428">
        <w:tc>
          <w:tcPr>
            <w:tcW w:w="4122" w:type="dxa"/>
            <w:shd w:val="clear" w:color="auto" w:fill="auto"/>
          </w:tcPr>
          <w:p w:rsidR="00110428" w:rsidRPr="00A14C8B" w:rsidRDefault="00987FCF" w:rsidP="00110428">
            <w:pPr>
              <w:ind w:left="0"/>
              <w:rPr>
                <w:bCs/>
                <w:lang w:val="en-US"/>
              </w:rPr>
            </w:pPr>
            <w:proofErr w:type="spellStart"/>
            <w:r>
              <w:rPr>
                <w:bCs/>
                <w:lang w:val="en-US"/>
              </w:rPr>
              <w:t>Sonstige</w:t>
            </w:r>
            <w:proofErr w:type="spellEnd"/>
            <w:r>
              <w:rPr>
                <w:bCs/>
                <w:lang w:val="en-US"/>
              </w:rPr>
              <w:t xml:space="preserve"> </w:t>
            </w:r>
            <w:proofErr w:type="spellStart"/>
            <w:r>
              <w:rPr>
                <w:bCs/>
                <w:lang w:val="en-US"/>
              </w:rPr>
              <w:t>Aktivitäten</w:t>
            </w:r>
            <w:proofErr w:type="spellEnd"/>
            <w:r>
              <w:rPr>
                <w:bCs/>
                <w:lang w:val="en-US"/>
              </w:rPr>
              <w:t xml:space="preserve"> </w:t>
            </w:r>
          </w:p>
        </w:tc>
        <w:tc>
          <w:tcPr>
            <w:tcW w:w="2172" w:type="dxa"/>
            <w:shd w:val="clear" w:color="auto" w:fill="auto"/>
          </w:tcPr>
          <w:p w:rsidR="00110428" w:rsidRPr="00A14C8B" w:rsidRDefault="00982B1C" w:rsidP="00110428">
            <w:pPr>
              <w:ind w:left="0"/>
              <w:jc w:val="right"/>
              <w:rPr>
                <w:bCs/>
                <w:lang w:val="en-US"/>
              </w:rPr>
            </w:pPr>
            <w:r>
              <w:rPr>
                <w:bCs/>
                <w:lang w:val="en-US"/>
              </w:rPr>
              <w:t>905</w:t>
            </w:r>
          </w:p>
        </w:tc>
        <w:tc>
          <w:tcPr>
            <w:tcW w:w="2173" w:type="dxa"/>
            <w:shd w:val="clear" w:color="auto" w:fill="auto"/>
          </w:tcPr>
          <w:p w:rsidR="00110428" w:rsidRPr="00B13E9A" w:rsidRDefault="00110428" w:rsidP="00110428">
            <w:pPr>
              <w:ind w:left="0"/>
              <w:jc w:val="right"/>
              <w:rPr>
                <w:bCs/>
              </w:rPr>
            </w:pPr>
            <w:r>
              <w:rPr>
                <w:bCs/>
              </w:rPr>
              <w:t>937</w:t>
            </w:r>
          </w:p>
        </w:tc>
      </w:tr>
      <w:tr w:rsidR="00110428" w:rsidRPr="00B13E9A" w:rsidTr="00110428">
        <w:tc>
          <w:tcPr>
            <w:tcW w:w="4122" w:type="dxa"/>
            <w:shd w:val="clear" w:color="auto" w:fill="auto"/>
          </w:tcPr>
          <w:p w:rsidR="00110428" w:rsidRPr="001E6A70" w:rsidRDefault="00110428" w:rsidP="00110428">
            <w:pPr>
              <w:ind w:left="0"/>
              <w:rPr>
                <w:b/>
                <w:bCs/>
              </w:rPr>
            </w:pPr>
            <w:r w:rsidRPr="001E6A70">
              <w:rPr>
                <w:b/>
                <w:bCs/>
              </w:rPr>
              <w:t>Fortgeführte Aktivitäten</w:t>
            </w:r>
          </w:p>
        </w:tc>
        <w:tc>
          <w:tcPr>
            <w:tcW w:w="2172" w:type="dxa"/>
            <w:shd w:val="clear" w:color="auto" w:fill="auto"/>
          </w:tcPr>
          <w:p w:rsidR="00110428" w:rsidRPr="001E6A70" w:rsidRDefault="00982B1C" w:rsidP="00110428">
            <w:pPr>
              <w:ind w:left="0"/>
              <w:jc w:val="right"/>
              <w:rPr>
                <w:b/>
                <w:bCs/>
              </w:rPr>
            </w:pPr>
            <w:r>
              <w:rPr>
                <w:b/>
                <w:bCs/>
              </w:rPr>
              <w:t>33.650</w:t>
            </w:r>
          </w:p>
        </w:tc>
        <w:tc>
          <w:tcPr>
            <w:tcW w:w="2173" w:type="dxa"/>
            <w:shd w:val="clear" w:color="auto" w:fill="auto"/>
          </w:tcPr>
          <w:p w:rsidR="00110428" w:rsidRPr="001E6A70" w:rsidRDefault="00110428" w:rsidP="00161D2B">
            <w:pPr>
              <w:ind w:left="0"/>
              <w:jc w:val="right"/>
              <w:rPr>
                <w:b/>
                <w:bCs/>
              </w:rPr>
            </w:pPr>
            <w:r w:rsidRPr="001E6A70">
              <w:rPr>
                <w:b/>
                <w:bCs/>
              </w:rPr>
              <w:t>33.</w:t>
            </w:r>
            <w:r w:rsidR="00161D2B">
              <w:rPr>
                <w:b/>
                <w:bCs/>
              </w:rPr>
              <w:t>24</w:t>
            </w:r>
            <w:r w:rsidRPr="001E6A70">
              <w:rPr>
                <w:b/>
                <w:bCs/>
              </w:rPr>
              <w:t>1</w:t>
            </w:r>
          </w:p>
        </w:tc>
      </w:tr>
      <w:tr w:rsidR="00110428" w:rsidRPr="00B13E9A" w:rsidTr="00110428">
        <w:tc>
          <w:tcPr>
            <w:tcW w:w="4122" w:type="dxa"/>
            <w:shd w:val="clear" w:color="auto" w:fill="auto"/>
          </w:tcPr>
          <w:p w:rsidR="00110428" w:rsidRPr="00B13E9A" w:rsidRDefault="00110428" w:rsidP="00110428">
            <w:pPr>
              <w:ind w:left="0"/>
              <w:rPr>
                <w:bCs/>
              </w:rPr>
            </w:pPr>
            <w:r w:rsidRPr="00B13E9A">
              <w:rPr>
                <w:bCs/>
              </w:rPr>
              <w:t xml:space="preserve">Nicht fortgeführte Aktivitäten </w:t>
            </w:r>
          </w:p>
        </w:tc>
        <w:tc>
          <w:tcPr>
            <w:tcW w:w="2172" w:type="dxa"/>
            <w:shd w:val="clear" w:color="auto" w:fill="auto"/>
          </w:tcPr>
          <w:p w:rsidR="00110428" w:rsidRPr="00B13E9A" w:rsidRDefault="00982B1C" w:rsidP="00110428">
            <w:pPr>
              <w:ind w:left="0"/>
              <w:jc w:val="right"/>
              <w:rPr>
                <w:bCs/>
              </w:rPr>
            </w:pPr>
            <w:r>
              <w:rPr>
                <w:bCs/>
              </w:rPr>
              <w:t>-</w:t>
            </w:r>
          </w:p>
        </w:tc>
        <w:tc>
          <w:tcPr>
            <w:tcW w:w="2173" w:type="dxa"/>
            <w:shd w:val="clear" w:color="auto" w:fill="auto"/>
          </w:tcPr>
          <w:p w:rsidR="00110428" w:rsidRPr="00B13E9A" w:rsidRDefault="00110428" w:rsidP="00110428">
            <w:pPr>
              <w:ind w:left="0"/>
              <w:jc w:val="right"/>
              <w:rPr>
                <w:bCs/>
              </w:rPr>
            </w:pPr>
            <w:r>
              <w:rPr>
                <w:bCs/>
              </w:rPr>
              <w:t>171</w:t>
            </w:r>
          </w:p>
        </w:tc>
      </w:tr>
      <w:tr w:rsidR="00110428" w:rsidRPr="00BE5DBC" w:rsidTr="00110428">
        <w:tc>
          <w:tcPr>
            <w:tcW w:w="4122" w:type="dxa"/>
            <w:shd w:val="clear" w:color="auto" w:fill="auto"/>
          </w:tcPr>
          <w:p w:rsidR="00110428" w:rsidRPr="00BE5DBC" w:rsidRDefault="00110428" w:rsidP="00110428">
            <w:pPr>
              <w:ind w:left="0"/>
              <w:rPr>
                <w:b/>
                <w:bCs/>
              </w:rPr>
            </w:pPr>
            <w:r>
              <w:rPr>
                <w:b/>
                <w:bCs/>
              </w:rPr>
              <w:t>Konzern</w:t>
            </w:r>
          </w:p>
        </w:tc>
        <w:tc>
          <w:tcPr>
            <w:tcW w:w="2172" w:type="dxa"/>
            <w:shd w:val="clear" w:color="auto" w:fill="auto"/>
          </w:tcPr>
          <w:p w:rsidR="00110428" w:rsidRPr="00BE5DBC" w:rsidRDefault="00982B1C" w:rsidP="00110428">
            <w:pPr>
              <w:ind w:left="0"/>
              <w:jc w:val="right"/>
              <w:rPr>
                <w:b/>
                <w:bCs/>
              </w:rPr>
            </w:pPr>
            <w:r>
              <w:rPr>
                <w:b/>
                <w:bCs/>
              </w:rPr>
              <w:t>33.650</w:t>
            </w:r>
          </w:p>
        </w:tc>
        <w:tc>
          <w:tcPr>
            <w:tcW w:w="2173" w:type="dxa"/>
            <w:shd w:val="clear" w:color="auto" w:fill="auto"/>
          </w:tcPr>
          <w:p w:rsidR="00110428" w:rsidRPr="00BE5DBC" w:rsidRDefault="00110428" w:rsidP="00110428">
            <w:pPr>
              <w:ind w:left="0"/>
              <w:jc w:val="right"/>
              <w:rPr>
                <w:b/>
                <w:bCs/>
              </w:rPr>
            </w:pPr>
            <w:r>
              <w:rPr>
                <w:b/>
                <w:bCs/>
              </w:rPr>
              <w:t>33.412</w:t>
            </w:r>
          </w:p>
        </w:tc>
      </w:tr>
    </w:tbl>
    <w:p w:rsidR="00110428" w:rsidRPr="00B13E9A" w:rsidRDefault="00110428" w:rsidP="00110428">
      <w:pPr>
        <w:ind w:left="0"/>
        <w:rPr>
          <w:bCs/>
          <w:lang w:eastAsia="en-US"/>
        </w:rPr>
      </w:pPr>
    </w:p>
    <w:p w:rsidR="00110428" w:rsidRDefault="00110428" w:rsidP="00110428">
      <w:pPr>
        <w:spacing w:line="240" w:lineRule="auto"/>
        <w:ind w:left="0" w:right="0"/>
        <w:rPr>
          <w:b/>
          <w:bCs/>
          <w:sz w:val="22"/>
          <w:szCs w:val="22"/>
        </w:rPr>
      </w:pPr>
    </w:p>
    <w:p w:rsidR="00B6136F" w:rsidRDefault="00B6136F">
      <w:pPr>
        <w:spacing w:line="300" w:lineRule="exact"/>
        <w:ind w:left="0"/>
        <w:rPr>
          <w:sz w:val="22"/>
          <w:szCs w:val="22"/>
        </w:rPr>
      </w:pPr>
    </w:p>
    <w:p w:rsidR="00DD58C1" w:rsidRDefault="00E66C59" w:rsidP="00DD58C1">
      <w:pPr>
        <w:autoSpaceDE w:val="0"/>
        <w:autoSpaceDN w:val="0"/>
        <w:adjustRightInd w:val="0"/>
        <w:spacing w:line="220" w:lineRule="exact"/>
        <w:ind w:left="0"/>
        <w:rPr>
          <w:rFonts w:cs="Lucida Sans Unicode"/>
          <w:b/>
          <w:bCs/>
          <w:szCs w:val="18"/>
        </w:rPr>
      </w:pPr>
      <w:bookmarkStart w:id="2" w:name="OLE_LINK1"/>
      <w:r>
        <w:rPr>
          <w:rFonts w:cs="Lucida Sans Unicode"/>
          <w:b/>
          <w:bCs/>
          <w:szCs w:val="18"/>
        </w:rPr>
        <w:br/>
      </w:r>
      <w:r>
        <w:rPr>
          <w:rFonts w:cs="Lucida Sans Unicode"/>
          <w:b/>
          <w:bCs/>
          <w:szCs w:val="18"/>
        </w:rPr>
        <w:br/>
      </w:r>
      <w:r>
        <w:rPr>
          <w:rFonts w:cs="Lucida Sans Unicode"/>
          <w:b/>
          <w:bCs/>
          <w:szCs w:val="18"/>
        </w:rPr>
        <w:br/>
      </w:r>
      <w:r>
        <w:rPr>
          <w:rFonts w:cs="Lucida Sans Unicode"/>
          <w:b/>
          <w:bCs/>
          <w:szCs w:val="18"/>
        </w:rPr>
        <w:br/>
      </w:r>
      <w:r>
        <w:rPr>
          <w:rFonts w:cs="Lucida Sans Unicode"/>
          <w:b/>
          <w:bCs/>
          <w:szCs w:val="18"/>
        </w:rPr>
        <w:br/>
      </w:r>
      <w:r w:rsidR="00110428">
        <w:rPr>
          <w:rFonts w:cs="Lucida Sans Unicode"/>
          <w:b/>
          <w:bCs/>
          <w:szCs w:val="18"/>
        </w:rPr>
        <w:t>In</w:t>
      </w:r>
      <w:r w:rsidR="00DD58C1">
        <w:rPr>
          <w:rFonts w:cs="Lucida Sans Unicode"/>
          <w:b/>
          <w:bCs/>
          <w:szCs w:val="18"/>
        </w:rPr>
        <w:t xml:space="preserve">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2"/>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C0A" w:rsidRDefault="003F6C0A">
      <w:r>
        <w:separator/>
      </w:r>
    </w:p>
    <w:p w:rsidR="003F6C0A" w:rsidRDefault="003F6C0A"/>
  </w:endnote>
  <w:endnote w:type="continuationSeparator" w:id="0">
    <w:p w:rsidR="003F6C0A" w:rsidRDefault="003F6C0A">
      <w:r>
        <w:continuationSeparator/>
      </w:r>
    </w:p>
    <w:p w:rsidR="003F6C0A" w:rsidRDefault="003F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25602">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25602">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2560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25602">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C0A" w:rsidRDefault="003F6C0A">
      <w:r>
        <w:separator/>
      </w:r>
    </w:p>
    <w:p w:rsidR="003F6C0A" w:rsidRDefault="003F6C0A"/>
  </w:footnote>
  <w:footnote w:type="continuationSeparator" w:id="0">
    <w:p w:rsidR="003F6C0A" w:rsidRDefault="003F6C0A">
      <w:r>
        <w:continuationSeparator/>
      </w:r>
    </w:p>
    <w:p w:rsidR="003F6C0A" w:rsidRDefault="003F6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9264" behindDoc="0" locked="0" layoutInCell="1" allowOverlap="1" wp14:anchorId="26D05DE6" wp14:editId="22AF1A8C">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29A261B" wp14:editId="5EB4AAF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8CC89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Pr="008224A5" w:rsidRDefault="00110428" w:rsidP="00110428">
    <w:pPr>
      <w:spacing w:line="300" w:lineRule="exact"/>
      <w:ind w:left="0"/>
      <w:rPr>
        <w:b/>
        <w:szCs w:val="18"/>
        <w:u w:val="single"/>
      </w:rPr>
    </w:pPr>
    <w:r w:rsidRPr="008224A5">
      <w:rPr>
        <w:b/>
        <w:szCs w:val="18"/>
        <w:u w:val="single"/>
      </w:rPr>
      <w:t xml:space="preserve">Sendesperrfrist: </w:t>
    </w:r>
    <w:r w:rsidR="00E26E56">
      <w:rPr>
        <w:b/>
        <w:szCs w:val="18"/>
        <w:u w:val="single"/>
      </w:rPr>
      <w:t>04.11</w:t>
    </w:r>
    <w:r>
      <w:rPr>
        <w:b/>
        <w:szCs w:val="18"/>
        <w:u w:val="single"/>
      </w:rPr>
      <w:t>.2015,</w:t>
    </w:r>
    <w:r w:rsidRPr="008224A5">
      <w:rPr>
        <w:b/>
        <w:szCs w:val="18"/>
        <w:u w:val="single"/>
      </w:rPr>
      <w:t xml:space="preserve"> 7:</w:t>
    </w:r>
    <w:r>
      <w:rPr>
        <w:b/>
        <w:szCs w:val="18"/>
        <w:u w:val="single"/>
      </w:rPr>
      <w:t>00</w:t>
    </w:r>
    <w:r w:rsidRPr="008224A5">
      <w:rPr>
        <w:b/>
        <w:szCs w:val="18"/>
        <w:u w:val="single"/>
      </w:rPr>
      <w:t xml:space="preserve"> Uhr</w:t>
    </w:r>
  </w:p>
  <w:p w:rsidR="00B6136F" w:rsidRDefault="00B14022">
    <w:pPr>
      <w:pStyle w:val="Kopfzeile"/>
      <w:ind w:left="0"/>
    </w:pPr>
    <w:r>
      <w:rPr>
        <w:noProof/>
      </w:rPr>
      <w:drawing>
        <wp:anchor distT="0" distB="0" distL="114300" distR="114300" simplePos="0" relativeHeight="251658240" behindDoc="0" locked="0" layoutInCell="1" allowOverlap="1" wp14:anchorId="540F47FA" wp14:editId="69492CE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74C1653" wp14:editId="7D012C6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17B5B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5825C71"/>
    <w:multiLevelType w:val="hybridMultilevel"/>
    <w:tmpl w:val="5FDE6484"/>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A3C4F"/>
    <w:multiLevelType w:val="hybridMultilevel"/>
    <w:tmpl w:val="B71E9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445120"/>
    <w:multiLevelType w:val="hybridMultilevel"/>
    <w:tmpl w:val="72E070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28"/>
    <w:rsid w:val="0002009D"/>
    <w:rsid w:val="00025602"/>
    <w:rsid w:val="00045508"/>
    <w:rsid w:val="000A4B59"/>
    <w:rsid w:val="000A5F3D"/>
    <w:rsid w:val="000B31E6"/>
    <w:rsid w:val="000E44B1"/>
    <w:rsid w:val="00110428"/>
    <w:rsid w:val="00161D2B"/>
    <w:rsid w:val="0018434C"/>
    <w:rsid w:val="00193396"/>
    <w:rsid w:val="001D2AE8"/>
    <w:rsid w:val="002763C8"/>
    <w:rsid w:val="002C356B"/>
    <w:rsid w:val="002D6FC5"/>
    <w:rsid w:val="002F78B2"/>
    <w:rsid w:val="00367112"/>
    <w:rsid w:val="003F6C0A"/>
    <w:rsid w:val="004069FB"/>
    <w:rsid w:val="00482FC6"/>
    <w:rsid w:val="004C0493"/>
    <w:rsid w:val="004E0110"/>
    <w:rsid w:val="00503EA6"/>
    <w:rsid w:val="00557012"/>
    <w:rsid w:val="00570AF0"/>
    <w:rsid w:val="00573BFD"/>
    <w:rsid w:val="00585343"/>
    <w:rsid w:val="00696F89"/>
    <w:rsid w:val="006F5B89"/>
    <w:rsid w:val="00702D61"/>
    <w:rsid w:val="007565A4"/>
    <w:rsid w:val="00780B4F"/>
    <w:rsid w:val="007A4AC8"/>
    <w:rsid w:val="007B76EF"/>
    <w:rsid w:val="007F344B"/>
    <w:rsid w:val="008136C4"/>
    <w:rsid w:val="00826FA3"/>
    <w:rsid w:val="00856B95"/>
    <w:rsid w:val="008729A4"/>
    <w:rsid w:val="008F3ECF"/>
    <w:rsid w:val="0094695D"/>
    <w:rsid w:val="009511D1"/>
    <w:rsid w:val="00982B1C"/>
    <w:rsid w:val="00987FCF"/>
    <w:rsid w:val="009E3A07"/>
    <w:rsid w:val="00A971B8"/>
    <w:rsid w:val="00AD7F34"/>
    <w:rsid w:val="00B14022"/>
    <w:rsid w:val="00B6136F"/>
    <w:rsid w:val="00B777E0"/>
    <w:rsid w:val="00BC06B2"/>
    <w:rsid w:val="00C33BEB"/>
    <w:rsid w:val="00C521E3"/>
    <w:rsid w:val="00C91074"/>
    <w:rsid w:val="00CA7392"/>
    <w:rsid w:val="00CB40B9"/>
    <w:rsid w:val="00CC2374"/>
    <w:rsid w:val="00D00C67"/>
    <w:rsid w:val="00D12750"/>
    <w:rsid w:val="00D47659"/>
    <w:rsid w:val="00D5061B"/>
    <w:rsid w:val="00D55792"/>
    <w:rsid w:val="00D6508F"/>
    <w:rsid w:val="00DC2E7D"/>
    <w:rsid w:val="00DD58C1"/>
    <w:rsid w:val="00E26E56"/>
    <w:rsid w:val="00E66C59"/>
    <w:rsid w:val="00E72B01"/>
    <w:rsid w:val="00EA1612"/>
    <w:rsid w:val="00EA58B0"/>
    <w:rsid w:val="00EF0679"/>
    <w:rsid w:val="00EF4D55"/>
    <w:rsid w:val="00F2263B"/>
    <w:rsid w:val="00F44AB4"/>
    <w:rsid w:val="00F61187"/>
    <w:rsid w:val="00FD4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2196BA-664B-466A-8F3E-51A884F3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F61187"/>
    <w:pPr>
      <w:ind w:left="720"/>
      <w:contextualSpacing/>
    </w:pPr>
  </w:style>
  <w:style w:type="character" w:styleId="Kommentarzeichen">
    <w:name w:val="annotation reference"/>
    <w:basedOn w:val="Absatz-Standardschriftart"/>
    <w:semiHidden/>
    <w:unhideWhenUsed/>
    <w:rsid w:val="00161D2B"/>
    <w:rPr>
      <w:sz w:val="16"/>
      <w:szCs w:val="16"/>
    </w:rPr>
  </w:style>
  <w:style w:type="paragraph" w:styleId="Kommentartext">
    <w:name w:val="annotation text"/>
    <w:basedOn w:val="Standard"/>
    <w:link w:val="KommentartextZchn"/>
    <w:semiHidden/>
    <w:unhideWhenUsed/>
    <w:rsid w:val="00161D2B"/>
    <w:pPr>
      <w:spacing w:line="240" w:lineRule="auto"/>
    </w:pPr>
    <w:rPr>
      <w:sz w:val="20"/>
      <w:szCs w:val="20"/>
    </w:rPr>
  </w:style>
  <w:style w:type="character" w:customStyle="1" w:styleId="KommentartextZchn">
    <w:name w:val="Kommentartext Zchn"/>
    <w:basedOn w:val="Absatz-Standardschriftart"/>
    <w:link w:val="Kommentartext"/>
    <w:semiHidden/>
    <w:rsid w:val="00161D2B"/>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161D2B"/>
    <w:rPr>
      <w:b/>
      <w:bCs/>
    </w:rPr>
  </w:style>
  <w:style w:type="character" w:customStyle="1" w:styleId="KommentarthemaZchn">
    <w:name w:val="Kommentarthema Zchn"/>
    <w:basedOn w:val="KommentartextZchn"/>
    <w:link w:val="Kommentarthema"/>
    <w:semiHidden/>
    <w:rsid w:val="00161D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3D1D-9A6A-47D0-B8A6-FC893152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9A998090</Template>
  <TotalTime>0</TotalTime>
  <Pages>5</Pages>
  <Words>1268</Words>
  <Characters>8168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2015-10-27T14:02:00Z</cp:lastPrinted>
  <dcterms:created xsi:type="dcterms:W3CDTF">2015-10-30T08:12:00Z</dcterms:created>
  <dcterms:modified xsi:type="dcterms:W3CDTF">2015-11-02T15:45:00Z</dcterms:modified>
</cp:coreProperties>
</file>