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D487D" w14:textId="77777777" w:rsidR="00B6136F" w:rsidRPr="008224A5" w:rsidRDefault="00B6136F">
      <w:pPr>
        <w:spacing w:line="300" w:lineRule="exact"/>
        <w:ind w:left="0"/>
        <w:rPr>
          <w:b/>
          <w:sz w:val="20"/>
          <w:szCs w:val="20"/>
          <w:u w:val="single"/>
        </w:rPr>
        <w:sectPr w:rsidR="00B6136F" w:rsidRPr="008224A5">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14:paraId="4D34E43B" w14:textId="77777777" w:rsidTr="00B14022">
        <w:trPr>
          <w:trHeight w:hRule="exact" w:val="174"/>
        </w:trPr>
        <w:tc>
          <w:tcPr>
            <w:tcW w:w="2271" w:type="dxa"/>
            <w:shd w:val="clear" w:color="auto" w:fill="auto"/>
          </w:tcPr>
          <w:p w14:paraId="4C32A01A" w14:textId="5921E521" w:rsidR="00B6136F" w:rsidRDefault="00D719C7" w:rsidP="00D87C75">
            <w:pPr>
              <w:pStyle w:val="E-Datum"/>
              <w:framePr w:wrap="auto" w:vAnchor="margin" w:hAnchor="text" w:xAlign="left" w:yAlign="inline"/>
              <w:suppressOverlap w:val="0"/>
            </w:pPr>
            <w:r>
              <w:t>4</w:t>
            </w:r>
            <w:r w:rsidR="00A02C86">
              <w:t>. Mai</w:t>
            </w:r>
            <w:r w:rsidR="009D5463">
              <w:t xml:space="preserve"> 201</w:t>
            </w:r>
            <w:r w:rsidR="00D25E3B">
              <w:t>6</w:t>
            </w:r>
          </w:p>
        </w:tc>
      </w:tr>
      <w:tr w:rsidR="00B6136F" w14:paraId="6FCF0EF9" w14:textId="77777777" w:rsidTr="00B14022">
        <w:trPr>
          <w:trHeight w:hRule="exact" w:val="304"/>
        </w:trPr>
        <w:tc>
          <w:tcPr>
            <w:tcW w:w="2271" w:type="dxa"/>
            <w:shd w:val="clear" w:color="auto" w:fill="auto"/>
          </w:tcPr>
          <w:p w14:paraId="01247CA9" w14:textId="77777777" w:rsidR="00B6136F" w:rsidRDefault="00B6136F">
            <w:pPr>
              <w:spacing w:line="180" w:lineRule="exact"/>
              <w:ind w:left="0"/>
            </w:pPr>
          </w:p>
        </w:tc>
      </w:tr>
      <w:tr w:rsidR="00B6136F" w:rsidRPr="00BC2C98" w14:paraId="5812E705" w14:textId="77777777" w:rsidTr="00B14022">
        <w:trPr>
          <w:trHeight w:hRule="exact" w:val="1222"/>
        </w:trPr>
        <w:tc>
          <w:tcPr>
            <w:tcW w:w="2271" w:type="dxa"/>
            <w:shd w:val="clear" w:color="auto" w:fill="auto"/>
          </w:tcPr>
          <w:p w14:paraId="30161879" w14:textId="6A5264C0" w:rsidR="002A597A" w:rsidRPr="003E087B" w:rsidRDefault="002A597A" w:rsidP="002A597A">
            <w:pPr>
              <w:pStyle w:val="M1"/>
              <w:framePr w:wrap="auto" w:vAnchor="margin" w:hAnchor="text" w:xAlign="left" w:yAlign="inline"/>
              <w:suppressOverlap w:val="0"/>
            </w:pPr>
            <w:r w:rsidRPr="003E087B">
              <w:t>Alexandra Boy</w:t>
            </w:r>
          </w:p>
          <w:p w14:paraId="5AB5ACAD" w14:textId="77777777" w:rsidR="002A597A" w:rsidRDefault="002A597A" w:rsidP="002A597A">
            <w:pPr>
              <w:pStyle w:val="M1"/>
              <w:framePr w:wrap="auto" w:vAnchor="margin" w:hAnchor="text" w:xAlign="left" w:yAlign="inline"/>
              <w:suppressOverlap w:val="0"/>
              <w:rPr>
                <w:b w:val="0"/>
              </w:rPr>
            </w:pPr>
            <w:r>
              <w:rPr>
                <w:b w:val="0"/>
              </w:rPr>
              <w:t>Externe Kommunikation</w:t>
            </w:r>
          </w:p>
          <w:p w14:paraId="06AE5712" w14:textId="77777777" w:rsidR="002A597A" w:rsidRDefault="002A597A" w:rsidP="002A597A">
            <w:pPr>
              <w:pStyle w:val="M1"/>
              <w:framePr w:wrap="auto" w:vAnchor="margin" w:hAnchor="text" w:xAlign="left" w:yAlign="inline"/>
              <w:suppressOverlap w:val="0"/>
              <w:rPr>
                <w:b w:val="0"/>
              </w:rPr>
            </w:pPr>
            <w:r>
              <w:rPr>
                <w:b w:val="0"/>
              </w:rPr>
              <w:t>Telefon +49 201 177-3167</w:t>
            </w:r>
          </w:p>
          <w:p w14:paraId="19E74370" w14:textId="694F086E" w:rsidR="00B6136F" w:rsidRDefault="002A597A" w:rsidP="002A597A">
            <w:pPr>
              <w:pStyle w:val="M10"/>
              <w:framePr w:wrap="auto" w:vAnchor="margin" w:hAnchor="text" w:xAlign="left" w:yAlign="inline"/>
              <w:suppressOverlap w:val="0"/>
            </w:pPr>
            <w:r>
              <w:t>alexandra.boy@evonik.com</w:t>
            </w:r>
          </w:p>
        </w:tc>
      </w:tr>
      <w:tr w:rsidR="00B6136F" w14:paraId="2688B048" w14:textId="77777777" w:rsidTr="00B14022">
        <w:trPr>
          <w:trHeight w:val="2609"/>
        </w:trPr>
        <w:tc>
          <w:tcPr>
            <w:tcW w:w="2271" w:type="dxa"/>
            <w:shd w:val="clear" w:color="auto" w:fill="auto"/>
          </w:tcPr>
          <w:p w14:paraId="5C438D18" w14:textId="1B97F81C" w:rsidR="00B6136F" w:rsidRPr="00617B2D" w:rsidRDefault="00B14022" w:rsidP="003E087B">
            <w:pPr>
              <w:pStyle w:val="M1"/>
              <w:framePr w:wrap="auto" w:vAnchor="margin" w:hAnchor="text" w:xAlign="left" w:yAlign="inline"/>
              <w:suppressOverlap w:val="0"/>
              <w:rPr>
                <w:b w:val="0"/>
              </w:rPr>
            </w:pPr>
            <w:r w:rsidRPr="00617B2D">
              <w:rPr>
                <w:b w:val="0"/>
              </w:rPr>
              <w:br/>
            </w:r>
            <w:r w:rsidRPr="00617B2D">
              <w:rPr>
                <w:b w:val="0"/>
              </w:rPr>
              <w:br/>
            </w:r>
          </w:p>
        </w:tc>
      </w:tr>
      <w:tr w:rsidR="00B6136F" w14:paraId="095C5F82" w14:textId="77777777" w:rsidTr="00B14022">
        <w:trPr>
          <w:trHeight w:hRule="exact" w:val="7880"/>
        </w:trPr>
        <w:tc>
          <w:tcPr>
            <w:tcW w:w="2271" w:type="dxa"/>
            <w:shd w:val="clear" w:color="auto" w:fill="auto"/>
            <w:vAlign w:val="bottom"/>
          </w:tcPr>
          <w:p w14:paraId="64DF7679" w14:textId="77777777" w:rsidR="00B6136F" w:rsidRDefault="00B6136F">
            <w:pPr>
              <w:pStyle w:val="Marginalie"/>
              <w:framePr w:w="0" w:hSpace="0" w:wrap="auto" w:vAnchor="margin" w:hAnchor="text" w:xAlign="left" w:yAlign="inline"/>
              <w:rPr>
                <w:b/>
              </w:rPr>
            </w:pPr>
          </w:p>
          <w:p w14:paraId="6BD0E243" w14:textId="77777777" w:rsidR="00B14022" w:rsidRDefault="00B14022">
            <w:pPr>
              <w:pStyle w:val="V1"/>
              <w:framePr w:wrap="auto" w:vAnchor="margin" w:hAnchor="text" w:xAlign="left" w:yAlign="inline"/>
              <w:suppressOverlap w:val="0"/>
            </w:pPr>
          </w:p>
          <w:p w14:paraId="47850A2B" w14:textId="77777777" w:rsidR="00B14022" w:rsidRDefault="00B14022">
            <w:pPr>
              <w:pStyle w:val="V1"/>
              <w:framePr w:wrap="auto" w:vAnchor="margin" w:hAnchor="text" w:xAlign="left" w:yAlign="inline"/>
              <w:suppressOverlap w:val="0"/>
            </w:pPr>
          </w:p>
          <w:p w14:paraId="55E3E7C4" w14:textId="77777777" w:rsidR="00B14022" w:rsidRDefault="00B14022">
            <w:pPr>
              <w:pStyle w:val="V1"/>
              <w:framePr w:wrap="auto" w:vAnchor="margin" w:hAnchor="text" w:xAlign="left" w:yAlign="inline"/>
              <w:suppressOverlap w:val="0"/>
            </w:pPr>
          </w:p>
          <w:p w14:paraId="233F235F" w14:textId="77777777" w:rsidR="00B14022" w:rsidRDefault="00B14022">
            <w:pPr>
              <w:pStyle w:val="V1"/>
              <w:framePr w:wrap="auto" w:vAnchor="margin" w:hAnchor="text" w:xAlign="left" w:yAlign="inline"/>
              <w:suppressOverlap w:val="0"/>
            </w:pPr>
          </w:p>
          <w:p w14:paraId="483CACD5" w14:textId="77777777" w:rsidR="00B14022" w:rsidRDefault="00B14022">
            <w:pPr>
              <w:pStyle w:val="V1"/>
              <w:framePr w:wrap="auto" w:vAnchor="margin" w:hAnchor="text" w:xAlign="left" w:yAlign="inline"/>
              <w:suppressOverlap w:val="0"/>
            </w:pPr>
          </w:p>
          <w:p w14:paraId="5ABF3F7E" w14:textId="77777777" w:rsidR="00B14022" w:rsidRDefault="00B14022">
            <w:pPr>
              <w:pStyle w:val="V1"/>
              <w:framePr w:wrap="auto" w:vAnchor="margin" w:hAnchor="text" w:xAlign="left" w:yAlign="inline"/>
              <w:suppressOverlap w:val="0"/>
            </w:pPr>
          </w:p>
          <w:p w14:paraId="75F3B5FD" w14:textId="77777777" w:rsidR="00B14022" w:rsidRDefault="00B14022">
            <w:pPr>
              <w:pStyle w:val="V1"/>
              <w:framePr w:wrap="auto" w:vAnchor="margin" w:hAnchor="text" w:xAlign="left" w:yAlign="inline"/>
              <w:suppressOverlap w:val="0"/>
            </w:pPr>
          </w:p>
          <w:p w14:paraId="2199965C" w14:textId="77777777" w:rsidR="00B14022" w:rsidRDefault="00B14022">
            <w:pPr>
              <w:pStyle w:val="V1"/>
              <w:framePr w:wrap="auto" w:vAnchor="margin" w:hAnchor="text" w:xAlign="left" w:yAlign="inline"/>
              <w:suppressOverlap w:val="0"/>
            </w:pPr>
          </w:p>
          <w:p w14:paraId="1C2A0D2F" w14:textId="77777777" w:rsidR="00B14022" w:rsidRDefault="00B14022">
            <w:pPr>
              <w:pStyle w:val="V1"/>
              <w:framePr w:wrap="auto" w:vAnchor="margin" w:hAnchor="text" w:xAlign="left" w:yAlign="inline"/>
              <w:suppressOverlap w:val="0"/>
            </w:pPr>
          </w:p>
          <w:p w14:paraId="14487BAD" w14:textId="77777777" w:rsidR="00B14022" w:rsidRDefault="00B14022">
            <w:pPr>
              <w:pStyle w:val="V1"/>
              <w:framePr w:wrap="auto" w:vAnchor="margin" w:hAnchor="text" w:xAlign="left" w:yAlign="inline"/>
              <w:suppressOverlap w:val="0"/>
            </w:pPr>
          </w:p>
          <w:p w14:paraId="3BBD46C8" w14:textId="77777777" w:rsidR="00B14022" w:rsidRDefault="00B14022">
            <w:pPr>
              <w:pStyle w:val="V1"/>
              <w:framePr w:wrap="auto" w:vAnchor="margin" w:hAnchor="text" w:xAlign="left" w:yAlign="inline"/>
              <w:suppressOverlap w:val="0"/>
            </w:pPr>
          </w:p>
          <w:p w14:paraId="67514391" w14:textId="77777777" w:rsidR="00B14022" w:rsidRDefault="00B14022">
            <w:pPr>
              <w:pStyle w:val="V1"/>
              <w:framePr w:wrap="auto" w:vAnchor="margin" w:hAnchor="text" w:xAlign="left" w:yAlign="inline"/>
              <w:suppressOverlap w:val="0"/>
            </w:pPr>
          </w:p>
          <w:p w14:paraId="3399F482" w14:textId="77777777"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91913">
              <w:rPr>
                <w:noProof/>
              </w:rPr>
              <w:t>Evonik Industries AG</w:t>
            </w:r>
            <w:r>
              <w:fldChar w:fldCharType="end"/>
            </w:r>
          </w:p>
          <w:p w14:paraId="3445E91B" w14:textId="77777777"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91913">
              <w:rPr>
                <w:noProof/>
              </w:rPr>
              <w:t>Rellinghauser Straße 1-11</w:t>
            </w:r>
            <w:r>
              <w:fldChar w:fldCharType="end"/>
            </w:r>
          </w:p>
          <w:p w14:paraId="790C8E64" w14:textId="77777777"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91913">
              <w:rPr>
                <w:noProof/>
              </w:rPr>
              <w:t>45128 Essen</w:t>
            </w:r>
            <w:r>
              <w:fldChar w:fldCharType="end"/>
            </w:r>
          </w:p>
          <w:p w14:paraId="71BF8D82" w14:textId="77777777"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9191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9191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91913">
              <w:rPr>
                <w:noProof/>
              </w:rPr>
              <w:t>-</w:t>
            </w:r>
            <w:r>
              <w:fldChar w:fldCharType="end"/>
            </w:r>
            <w:r>
              <w:t>01</w:t>
            </w:r>
          </w:p>
          <w:p w14:paraId="5CA4A5BE" w14:textId="77777777"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9191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9191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91913">
              <w:rPr>
                <w:noProof/>
              </w:rPr>
              <w:t>-</w:t>
            </w:r>
            <w:r>
              <w:fldChar w:fldCharType="end"/>
            </w:r>
            <w:r>
              <w:t>3475</w:t>
            </w:r>
          </w:p>
          <w:p w14:paraId="33774B0F" w14:textId="77777777" w:rsidR="00B6136F" w:rsidRDefault="00B14022">
            <w:pPr>
              <w:pStyle w:val="V6"/>
              <w:framePr w:wrap="auto" w:vAnchor="margin" w:hAnchor="text" w:xAlign="left" w:yAlign="inline"/>
              <w:suppressOverlap w:val="0"/>
            </w:pPr>
            <w:r>
              <w:t>www.evonik.de</w:t>
            </w:r>
          </w:p>
          <w:p w14:paraId="02873A8C" w14:textId="77777777" w:rsidR="00B6136F" w:rsidRDefault="00B6136F">
            <w:pPr>
              <w:pStyle w:val="Marginalie"/>
              <w:framePr w:w="0" w:hSpace="0" w:wrap="auto" w:vAnchor="margin" w:hAnchor="text" w:xAlign="left" w:yAlign="inline"/>
            </w:pPr>
          </w:p>
          <w:p w14:paraId="18DDB3E6" w14:textId="77777777" w:rsidR="00B6136F" w:rsidRDefault="00B14022">
            <w:pPr>
              <w:pStyle w:val="Marginalie"/>
              <w:framePr w:w="0" w:hSpace="0" w:wrap="auto" w:vAnchor="margin" w:hAnchor="text" w:xAlign="left" w:yAlign="inline"/>
              <w:rPr>
                <w:b/>
                <w:bCs/>
              </w:rPr>
            </w:pPr>
            <w:r>
              <w:rPr>
                <w:b/>
                <w:bCs/>
              </w:rPr>
              <w:t>Aufsichtsrat</w:t>
            </w:r>
          </w:p>
          <w:p w14:paraId="0C4B4A63" w14:textId="77777777" w:rsidR="00B6136F" w:rsidRDefault="00B14022">
            <w:pPr>
              <w:pStyle w:val="Marginalie"/>
              <w:framePr w:w="0" w:hSpace="0" w:wrap="auto" w:vAnchor="margin" w:hAnchor="text" w:xAlign="left" w:yAlign="inline"/>
            </w:pPr>
            <w:r>
              <w:t>Dr. Werner Müller, Vorsitzender</w:t>
            </w:r>
          </w:p>
          <w:p w14:paraId="3F717B8D" w14:textId="77777777" w:rsidR="00B6136F" w:rsidRDefault="00B6136F">
            <w:pPr>
              <w:pStyle w:val="Marginalie"/>
              <w:framePr w:w="0" w:hSpace="0" w:wrap="auto" w:vAnchor="margin" w:hAnchor="text" w:xAlign="left" w:yAlign="inline"/>
            </w:pPr>
          </w:p>
          <w:p w14:paraId="7F9DA3EA" w14:textId="77777777"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91913">
              <w:rPr>
                <w:noProof/>
              </w:rPr>
              <w:t>Vorstand</w:t>
            </w:r>
            <w:r>
              <w:fldChar w:fldCharType="end"/>
            </w:r>
          </w:p>
          <w:p w14:paraId="5DA64416" w14:textId="77777777"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9191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91913">
              <w:rPr>
                <w:noProof/>
              </w:rPr>
              <w:t>Vorsitzender</w:t>
            </w:r>
            <w:r>
              <w:fldChar w:fldCharType="end"/>
            </w:r>
          </w:p>
          <w:p w14:paraId="4E8EF867" w14:textId="77777777" w:rsidR="00B6136F" w:rsidRDefault="00424150" w:rsidP="00424150">
            <w:pPr>
              <w:pStyle w:val="V11"/>
              <w:framePr w:wrap="auto" w:vAnchor="margin" w:hAnchor="text" w:xAlign="left" w:yAlign="inline"/>
              <w:suppressOverlap w:val="0"/>
            </w:pPr>
            <w:r>
              <w:t>Dr. Ralph Sven Kaufmann</w:t>
            </w:r>
            <w:r>
              <w:br/>
            </w:r>
            <w:r w:rsidR="00BC2C98">
              <w:t>Christian Kullmann</w:t>
            </w:r>
            <w:r w:rsidR="00BC2C98">
              <w:br/>
            </w:r>
            <w:r w:rsidR="00B14022">
              <w:t>Thomas Wessel</w:t>
            </w:r>
            <w:r w:rsidR="000B1542">
              <w:t xml:space="preserve"> </w:t>
            </w:r>
            <w:r w:rsidR="002166B6">
              <w:br/>
              <w:t>Ute Wolf</w:t>
            </w:r>
            <w:r w:rsidR="002166B6">
              <w:br/>
            </w:r>
          </w:p>
          <w:p w14:paraId="5DDC5D49" w14:textId="77777777"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9191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91913">
              <w:rPr>
                <w:noProof/>
              </w:rPr>
              <w:t>Essen</w:t>
            </w:r>
            <w:r>
              <w:fldChar w:fldCharType="end"/>
            </w:r>
          </w:p>
          <w:p w14:paraId="69F39980" w14:textId="77777777"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91913">
              <w:rPr>
                <w:noProof/>
              </w:rPr>
              <w:t>Registergericht</w:t>
            </w:r>
            <w:r>
              <w:fldChar w:fldCharType="end"/>
            </w:r>
          </w:p>
          <w:p w14:paraId="4154B77D" w14:textId="77777777"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9191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91913">
              <w:rPr>
                <w:noProof/>
              </w:rPr>
              <w:t>Essen</w:t>
            </w:r>
            <w:r>
              <w:fldChar w:fldCharType="end"/>
            </w:r>
          </w:p>
          <w:p w14:paraId="6A101724" w14:textId="77777777"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9191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91913">
              <w:rPr>
                <w:noProof/>
              </w:rPr>
              <w:t>B 19474</w:t>
            </w:r>
            <w:r>
              <w:fldChar w:fldCharType="end"/>
            </w:r>
          </w:p>
          <w:p w14:paraId="0654AD07" w14:textId="77777777" w:rsidR="00B6136F" w:rsidRDefault="00B14022">
            <w:pPr>
              <w:pStyle w:val="V17"/>
              <w:framePr w:wrap="auto" w:vAnchor="margin" w:hAnchor="text" w:xAlign="left" w:yAlign="inline"/>
              <w:suppressOverlap w:val="0"/>
            </w:pPr>
            <w:r>
              <w:t>UST-</w:t>
            </w:r>
            <w:proofErr w:type="spellStart"/>
            <w:r>
              <w:t>IdNr</w:t>
            </w:r>
            <w:proofErr w:type="spellEnd"/>
            <w:r>
              <w:t>. DE 811160003</w:t>
            </w:r>
          </w:p>
          <w:p w14:paraId="797E9D10" w14:textId="77777777" w:rsidR="00B6136F" w:rsidRDefault="00B6136F">
            <w:pPr>
              <w:pStyle w:val="V18"/>
              <w:framePr w:wrap="auto" w:vAnchor="margin" w:hAnchor="text" w:xAlign="left" w:yAlign="inline"/>
              <w:suppressOverlap w:val="0"/>
            </w:pPr>
          </w:p>
        </w:tc>
      </w:tr>
    </w:tbl>
    <w:p w14:paraId="37C8B8E5" w14:textId="77777777" w:rsidR="009D734A" w:rsidRDefault="009D734A" w:rsidP="002839C4">
      <w:pPr>
        <w:rPr>
          <w:u w:val="single"/>
        </w:rPr>
      </w:pPr>
      <w:r>
        <w:rPr>
          <w:u w:val="single"/>
        </w:rPr>
        <w:t>Wirtschaftliche Eckdaten:</w:t>
      </w:r>
    </w:p>
    <w:p w14:paraId="2A6A0BA6" w14:textId="77777777" w:rsidR="009D734A" w:rsidRDefault="009D734A" w:rsidP="002839C4">
      <w:pPr>
        <w:rPr>
          <w:u w:val="single"/>
        </w:rPr>
      </w:pPr>
      <w:r>
        <w:rPr>
          <w:u w:val="single"/>
        </w:rPr>
        <w:t xml:space="preserve">1. Januar – 31. </w:t>
      </w:r>
      <w:r w:rsidR="00BC2C98">
        <w:rPr>
          <w:u w:val="single"/>
        </w:rPr>
        <w:t>März 201</w:t>
      </w:r>
      <w:r w:rsidR="00D719C7">
        <w:rPr>
          <w:u w:val="single"/>
        </w:rPr>
        <w:t>6</w:t>
      </w:r>
      <w:r>
        <w:rPr>
          <w:u w:val="single"/>
        </w:rPr>
        <w:t xml:space="preserve"> / </w:t>
      </w:r>
      <w:r w:rsidR="00D719C7">
        <w:rPr>
          <w:u w:val="single"/>
        </w:rPr>
        <w:t>1. Quartal 2016</w:t>
      </w:r>
    </w:p>
    <w:p w14:paraId="414DACB5" w14:textId="77777777" w:rsidR="009D734A" w:rsidRDefault="009D734A" w:rsidP="009D734A">
      <w:pPr>
        <w:spacing w:line="300" w:lineRule="exact"/>
        <w:rPr>
          <w:u w:val="single"/>
        </w:rPr>
      </w:pPr>
    </w:p>
    <w:p w14:paraId="5BE76794" w14:textId="77777777" w:rsidR="00DB3813" w:rsidRDefault="00DB3813" w:rsidP="00DB3813">
      <w:pPr>
        <w:ind w:left="360"/>
      </w:pPr>
    </w:p>
    <w:p w14:paraId="03702855" w14:textId="211DC8B6" w:rsidR="005870A2" w:rsidRPr="002839C4" w:rsidRDefault="00487E0B" w:rsidP="002839C4">
      <w:pPr>
        <w:spacing w:line="300" w:lineRule="exact"/>
        <w:rPr>
          <w:rFonts w:cs="Lucida Sans Unicode"/>
          <w:b/>
          <w:bCs/>
          <w:position w:val="0"/>
          <w:sz w:val="22"/>
          <w:szCs w:val="22"/>
        </w:rPr>
      </w:pPr>
      <w:r w:rsidRPr="002839C4">
        <w:rPr>
          <w:b/>
          <w:bCs/>
          <w:sz w:val="22"/>
          <w:szCs w:val="22"/>
        </w:rPr>
        <w:t xml:space="preserve">Solides erstes Quartal </w:t>
      </w:r>
      <w:r w:rsidR="005870A2" w:rsidRPr="002839C4">
        <w:rPr>
          <w:b/>
          <w:bCs/>
          <w:sz w:val="22"/>
          <w:szCs w:val="22"/>
        </w:rPr>
        <w:t xml:space="preserve">- </w:t>
      </w:r>
      <w:r w:rsidR="005870A2" w:rsidRPr="002839C4">
        <w:rPr>
          <w:rFonts w:cs="Lucida Sans Unicode"/>
          <w:b/>
          <w:bCs/>
          <w:position w:val="0"/>
          <w:sz w:val="22"/>
          <w:szCs w:val="22"/>
        </w:rPr>
        <w:t>Ausblick für Gesamtjahr bestätigt</w:t>
      </w:r>
    </w:p>
    <w:p w14:paraId="577D9213" w14:textId="77777777" w:rsidR="00DB3813" w:rsidRPr="00DB3813" w:rsidRDefault="00DB3813" w:rsidP="00DB3813">
      <w:pPr>
        <w:ind w:left="0"/>
        <w:rPr>
          <w:b/>
          <w:bCs/>
          <w:sz w:val="22"/>
          <w:szCs w:val="22"/>
        </w:rPr>
      </w:pPr>
    </w:p>
    <w:p w14:paraId="0759BFAB" w14:textId="77777777" w:rsidR="00DB3813" w:rsidRDefault="00DB3813" w:rsidP="00DB3813">
      <w:pPr>
        <w:rPr>
          <w:b/>
        </w:rPr>
      </w:pPr>
    </w:p>
    <w:p w14:paraId="301E25CA" w14:textId="77777777" w:rsidR="00FC7514" w:rsidRDefault="00FC7514" w:rsidP="002839C4">
      <w:pPr>
        <w:numPr>
          <w:ilvl w:val="0"/>
          <w:numId w:val="14"/>
        </w:numPr>
        <w:tabs>
          <w:tab w:val="clear" w:pos="1425"/>
          <w:tab w:val="num" w:pos="426"/>
        </w:tabs>
        <w:spacing w:line="300" w:lineRule="exact"/>
        <w:ind w:left="0" w:firstLine="0"/>
        <w:rPr>
          <w:rFonts w:cs="Lucida Sans Unicode"/>
          <w:b/>
          <w:bCs/>
          <w:position w:val="0"/>
          <w:sz w:val="20"/>
          <w:szCs w:val="20"/>
        </w:rPr>
      </w:pPr>
      <w:r>
        <w:rPr>
          <w:rFonts w:cs="Lucida Sans Unicode"/>
          <w:b/>
          <w:bCs/>
          <w:position w:val="0"/>
          <w:sz w:val="20"/>
          <w:szCs w:val="20"/>
        </w:rPr>
        <w:t xml:space="preserve">Bereinigtes Konzernergebnis </w:t>
      </w:r>
      <w:r w:rsidRPr="0059163F">
        <w:rPr>
          <w:rFonts w:cs="Lucida Sans Unicode"/>
          <w:b/>
          <w:bCs/>
          <w:position w:val="0"/>
          <w:sz w:val="20"/>
          <w:szCs w:val="20"/>
        </w:rPr>
        <w:t>erreicht</w:t>
      </w:r>
      <w:r>
        <w:rPr>
          <w:rFonts w:cs="Lucida Sans Unicode"/>
          <w:b/>
          <w:bCs/>
          <w:position w:val="0"/>
          <w:sz w:val="20"/>
          <w:szCs w:val="20"/>
        </w:rPr>
        <w:t xml:space="preserve"> 254 Millionen €</w:t>
      </w:r>
      <w:bookmarkStart w:id="0" w:name="_GoBack"/>
      <w:bookmarkEnd w:id="0"/>
    </w:p>
    <w:p w14:paraId="0F9C9339" w14:textId="69171E2E" w:rsidR="00FC7514" w:rsidRDefault="00FC7514" w:rsidP="00DB3813">
      <w:pPr>
        <w:numPr>
          <w:ilvl w:val="0"/>
          <w:numId w:val="14"/>
        </w:numPr>
        <w:tabs>
          <w:tab w:val="clear" w:pos="1425"/>
          <w:tab w:val="num" w:pos="426"/>
        </w:tabs>
        <w:spacing w:line="300" w:lineRule="exact"/>
        <w:ind w:left="0" w:firstLine="0"/>
        <w:rPr>
          <w:rFonts w:cs="Lucida Sans Unicode"/>
          <w:b/>
          <w:bCs/>
          <w:position w:val="0"/>
          <w:sz w:val="20"/>
          <w:szCs w:val="20"/>
        </w:rPr>
      </w:pPr>
      <w:r>
        <w:rPr>
          <w:rFonts w:cs="Lucida Sans Unicode"/>
          <w:b/>
          <w:bCs/>
          <w:position w:val="0"/>
          <w:sz w:val="20"/>
          <w:szCs w:val="20"/>
        </w:rPr>
        <w:t xml:space="preserve">Bereinigtes EBITDA </w:t>
      </w:r>
      <w:r w:rsidR="00594B74">
        <w:rPr>
          <w:rFonts w:cs="Lucida Sans Unicode"/>
          <w:b/>
          <w:bCs/>
          <w:position w:val="0"/>
          <w:sz w:val="20"/>
          <w:szCs w:val="20"/>
        </w:rPr>
        <w:t>von</w:t>
      </w:r>
      <w:r w:rsidR="00DB03E5">
        <w:rPr>
          <w:rFonts w:cs="Lucida Sans Unicode"/>
          <w:b/>
          <w:bCs/>
          <w:position w:val="0"/>
          <w:sz w:val="20"/>
          <w:szCs w:val="20"/>
        </w:rPr>
        <w:t xml:space="preserve"> </w:t>
      </w:r>
      <w:r>
        <w:rPr>
          <w:rFonts w:cs="Lucida Sans Unicode"/>
          <w:b/>
          <w:bCs/>
          <w:position w:val="0"/>
          <w:sz w:val="20"/>
          <w:szCs w:val="20"/>
        </w:rPr>
        <w:t>565 Millionen €</w:t>
      </w:r>
    </w:p>
    <w:p w14:paraId="04C8A736" w14:textId="77777777" w:rsidR="00FC7514" w:rsidRDefault="00FC7514" w:rsidP="00DB3813">
      <w:pPr>
        <w:numPr>
          <w:ilvl w:val="0"/>
          <w:numId w:val="14"/>
        </w:numPr>
        <w:tabs>
          <w:tab w:val="clear" w:pos="1425"/>
          <w:tab w:val="num" w:pos="426"/>
        </w:tabs>
        <w:spacing w:line="300" w:lineRule="exact"/>
        <w:ind w:left="0" w:firstLine="0"/>
        <w:rPr>
          <w:rFonts w:cs="Lucida Sans Unicode"/>
          <w:b/>
          <w:bCs/>
          <w:position w:val="0"/>
          <w:sz w:val="20"/>
          <w:szCs w:val="20"/>
        </w:rPr>
      </w:pPr>
      <w:r>
        <w:rPr>
          <w:rFonts w:cs="Lucida Sans Unicode"/>
          <w:b/>
          <w:bCs/>
          <w:position w:val="0"/>
          <w:sz w:val="20"/>
          <w:szCs w:val="20"/>
        </w:rPr>
        <w:t>Bereinigte EBITDA-Marge mit 18,2 Prozent auf sehr gutem Niveau</w:t>
      </w:r>
    </w:p>
    <w:p w14:paraId="20C36A42" w14:textId="77777777" w:rsidR="00DB3813" w:rsidRPr="00DB3813" w:rsidRDefault="00487E0B" w:rsidP="00DB3813">
      <w:pPr>
        <w:numPr>
          <w:ilvl w:val="0"/>
          <w:numId w:val="14"/>
        </w:numPr>
        <w:tabs>
          <w:tab w:val="clear" w:pos="1425"/>
          <w:tab w:val="num" w:pos="426"/>
        </w:tabs>
        <w:spacing w:line="300" w:lineRule="exact"/>
        <w:ind w:left="0" w:firstLine="0"/>
        <w:rPr>
          <w:rFonts w:cs="Lucida Sans Unicode"/>
          <w:b/>
          <w:bCs/>
          <w:position w:val="0"/>
          <w:sz w:val="20"/>
          <w:szCs w:val="20"/>
        </w:rPr>
      </w:pPr>
      <w:r>
        <w:rPr>
          <w:rFonts w:cs="Lucida Sans Unicode"/>
          <w:b/>
          <w:bCs/>
          <w:position w:val="0"/>
          <w:sz w:val="20"/>
          <w:szCs w:val="20"/>
        </w:rPr>
        <w:t>Umsatz</w:t>
      </w:r>
      <w:r w:rsidR="00FC7514">
        <w:rPr>
          <w:rFonts w:cs="Lucida Sans Unicode"/>
          <w:b/>
          <w:bCs/>
          <w:position w:val="0"/>
          <w:sz w:val="20"/>
          <w:szCs w:val="20"/>
        </w:rPr>
        <w:t xml:space="preserve"> </w:t>
      </w:r>
      <w:r w:rsidR="008837BA">
        <w:rPr>
          <w:rFonts w:cs="Lucida Sans Unicode"/>
          <w:b/>
          <w:bCs/>
          <w:position w:val="0"/>
          <w:sz w:val="20"/>
          <w:szCs w:val="20"/>
        </w:rPr>
        <w:t>bei</w:t>
      </w:r>
      <w:r>
        <w:rPr>
          <w:rFonts w:cs="Lucida Sans Unicode"/>
          <w:b/>
          <w:bCs/>
          <w:position w:val="0"/>
          <w:sz w:val="20"/>
          <w:szCs w:val="20"/>
        </w:rPr>
        <w:t xml:space="preserve"> 3,1 Milliarden €</w:t>
      </w:r>
    </w:p>
    <w:p w14:paraId="03D01CD4" w14:textId="77777777" w:rsidR="00DB3813" w:rsidRDefault="00DB3813" w:rsidP="00DB3813">
      <w:pPr>
        <w:spacing w:line="300" w:lineRule="exact"/>
        <w:ind w:left="0"/>
        <w:rPr>
          <w:rFonts w:cs="Lucida Sans Unicode"/>
          <w:b/>
          <w:bCs/>
          <w:position w:val="0"/>
          <w:sz w:val="20"/>
          <w:szCs w:val="20"/>
        </w:rPr>
      </w:pPr>
    </w:p>
    <w:p w14:paraId="61EEA2FE" w14:textId="77777777" w:rsidR="00DB3813" w:rsidRPr="00DB3813" w:rsidRDefault="00DB3813" w:rsidP="00DB3813">
      <w:pPr>
        <w:spacing w:line="300" w:lineRule="exact"/>
        <w:ind w:left="0"/>
        <w:rPr>
          <w:rFonts w:cs="Lucida Sans Unicode"/>
          <w:b/>
          <w:bCs/>
          <w:position w:val="0"/>
          <w:sz w:val="20"/>
          <w:szCs w:val="20"/>
        </w:rPr>
      </w:pPr>
    </w:p>
    <w:p w14:paraId="1AEFCA09" w14:textId="35EF5B40" w:rsidR="00FC7514" w:rsidRDefault="00DB3813" w:rsidP="0039125D">
      <w:pPr>
        <w:spacing w:line="300" w:lineRule="atLeast"/>
        <w:rPr>
          <w:sz w:val="20"/>
          <w:szCs w:val="20"/>
        </w:rPr>
      </w:pPr>
      <w:r w:rsidRPr="00DB3813">
        <w:rPr>
          <w:rFonts w:cs="Lucida Sans Unicode"/>
          <w:b/>
          <w:sz w:val="20"/>
          <w:szCs w:val="20"/>
        </w:rPr>
        <w:t>Essen</w:t>
      </w:r>
      <w:r w:rsidRPr="00DB3813">
        <w:rPr>
          <w:rFonts w:cs="Lucida Sans Unicode"/>
          <w:sz w:val="20"/>
          <w:szCs w:val="20"/>
        </w:rPr>
        <w:t xml:space="preserve">. </w:t>
      </w:r>
      <w:r w:rsidR="00FC7514">
        <w:rPr>
          <w:sz w:val="20"/>
          <w:szCs w:val="20"/>
        </w:rPr>
        <w:t xml:space="preserve">Evonik </w:t>
      </w:r>
      <w:r w:rsidR="005870A2">
        <w:rPr>
          <w:sz w:val="20"/>
          <w:szCs w:val="20"/>
        </w:rPr>
        <w:t>hat sich im ersten Quartal</w:t>
      </w:r>
      <w:r w:rsidR="00E03DFB">
        <w:rPr>
          <w:sz w:val="20"/>
          <w:szCs w:val="20"/>
        </w:rPr>
        <w:t xml:space="preserve"> </w:t>
      </w:r>
      <w:r w:rsidR="005870A2">
        <w:rPr>
          <w:sz w:val="20"/>
          <w:szCs w:val="20"/>
        </w:rPr>
        <w:t xml:space="preserve">in einem </w:t>
      </w:r>
      <w:r w:rsidR="00E03DFB">
        <w:rPr>
          <w:sz w:val="20"/>
          <w:szCs w:val="20"/>
        </w:rPr>
        <w:t xml:space="preserve">schwierigeren gesamtwirtschaftlichen Umfeld </w:t>
      </w:r>
      <w:r w:rsidR="005870A2">
        <w:rPr>
          <w:sz w:val="20"/>
          <w:szCs w:val="20"/>
        </w:rPr>
        <w:t>gut behauptet</w:t>
      </w:r>
      <w:r w:rsidR="00E03DFB">
        <w:rPr>
          <w:sz w:val="20"/>
          <w:szCs w:val="20"/>
        </w:rPr>
        <w:t>.</w:t>
      </w:r>
      <w:r w:rsidR="00FC7514">
        <w:rPr>
          <w:sz w:val="20"/>
          <w:szCs w:val="20"/>
        </w:rPr>
        <w:t xml:space="preserve"> „Nach einem außergewöhnlich </w:t>
      </w:r>
      <w:r w:rsidR="008837BA">
        <w:rPr>
          <w:sz w:val="20"/>
          <w:szCs w:val="20"/>
        </w:rPr>
        <w:t>starken</w:t>
      </w:r>
      <w:r w:rsidR="00FC7514">
        <w:rPr>
          <w:sz w:val="20"/>
          <w:szCs w:val="20"/>
        </w:rPr>
        <w:t xml:space="preserve"> Jahr 2015 </w:t>
      </w:r>
      <w:r w:rsidR="00DB239D">
        <w:rPr>
          <w:sz w:val="20"/>
          <w:szCs w:val="20"/>
        </w:rPr>
        <w:t>liegen</w:t>
      </w:r>
      <w:r w:rsidR="00FC7514">
        <w:rPr>
          <w:sz w:val="20"/>
          <w:szCs w:val="20"/>
        </w:rPr>
        <w:t xml:space="preserve"> unsere Ergebnisse nun wieder auf dem </w:t>
      </w:r>
      <w:r w:rsidR="008837BA" w:rsidRPr="0059163F">
        <w:rPr>
          <w:sz w:val="20"/>
          <w:szCs w:val="20"/>
        </w:rPr>
        <w:t>guten</w:t>
      </w:r>
      <w:r w:rsidR="00FC7514">
        <w:rPr>
          <w:sz w:val="20"/>
          <w:szCs w:val="20"/>
        </w:rPr>
        <w:t xml:space="preserve"> Niveau der </w:t>
      </w:r>
      <w:r w:rsidR="008837BA">
        <w:rPr>
          <w:sz w:val="20"/>
          <w:szCs w:val="20"/>
        </w:rPr>
        <w:t>vorherigen</w:t>
      </w:r>
      <w:r w:rsidR="00FC7514">
        <w:rPr>
          <w:sz w:val="20"/>
          <w:szCs w:val="20"/>
        </w:rPr>
        <w:t xml:space="preserve"> Jahre. Unser Geschäft läuft weiterhin </w:t>
      </w:r>
      <w:r w:rsidR="005870A2">
        <w:rPr>
          <w:sz w:val="20"/>
          <w:szCs w:val="20"/>
        </w:rPr>
        <w:t>rund</w:t>
      </w:r>
      <w:r w:rsidR="00FC7514">
        <w:rPr>
          <w:sz w:val="20"/>
          <w:szCs w:val="20"/>
        </w:rPr>
        <w:t>, unsere Produkte sind im Markt gefragt“, sagte Klaus Engel, Vorstandsvorsitzender von Evonik Industrie</w:t>
      </w:r>
      <w:r w:rsidR="008837BA">
        <w:rPr>
          <w:sz w:val="20"/>
          <w:szCs w:val="20"/>
        </w:rPr>
        <w:t>s</w:t>
      </w:r>
      <w:r w:rsidR="00FC7514">
        <w:rPr>
          <w:sz w:val="20"/>
          <w:szCs w:val="20"/>
        </w:rPr>
        <w:t>.</w:t>
      </w:r>
    </w:p>
    <w:p w14:paraId="7C2673FD" w14:textId="77777777" w:rsidR="00FC7514" w:rsidRDefault="00E03DFB" w:rsidP="0039125D">
      <w:pPr>
        <w:spacing w:line="300" w:lineRule="atLeast"/>
        <w:rPr>
          <w:sz w:val="20"/>
          <w:szCs w:val="20"/>
        </w:rPr>
      </w:pPr>
      <w:r>
        <w:rPr>
          <w:sz w:val="20"/>
          <w:szCs w:val="20"/>
        </w:rPr>
        <w:t xml:space="preserve"> </w:t>
      </w:r>
    </w:p>
    <w:p w14:paraId="6A3C9E01" w14:textId="77777777" w:rsidR="00D719C7" w:rsidRDefault="004B0F3C" w:rsidP="0039125D">
      <w:pPr>
        <w:spacing w:line="300" w:lineRule="atLeast"/>
        <w:rPr>
          <w:sz w:val="20"/>
          <w:szCs w:val="20"/>
        </w:rPr>
      </w:pPr>
      <w:r>
        <w:rPr>
          <w:sz w:val="20"/>
          <w:szCs w:val="20"/>
        </w:rPr>
        <w:t xml:space="preserve">Erfreulich verlief die Entwicklung im Segment Resource Efficiency, </w:t>
      </w:r>
      <w:proofErr w:type="gramStart"/>
      <w:r>
        <w:rPr>
          <w:sz w:val="20"/>
          <w:szCs w:val="20"/>
        </w:rPr>
        <w:t>das</w:t>
      </w:r>
      <w:proofErr w:type="gramEnd"/>
      <w:r>
        <w:rPr>
          <w:sz w:val="20"/>
          <w:szCs w:val="20"/>
        </w:rPr>
        <w:t xml:space="preserve"> bei stabilem Umsatz das Ergebnis sogar noch steigern konnte. Im</w:t>
      </w:r>
      <w:r w:rsidR="00E03DFB">
        <w:rPr>
          <w:sz w:val="20"/>
          <w:szCs w:val="20"/>
        </w:rPr>
        <w:t xml:space="preserve"> </w:t>
      </w:r>
      <w:r>
        <w:rPr>
          <w:sz w:val="20"/>
          <w:szCs w:val="20"/>
        </w:rPr>
        <w:t>Segment</w:t>
      </w:r>
      <w:r w:rsidR="00E03DFB">
        <w:rPr>
          <w:sz w:val="20"/>
          <w:szCs w:val="20"/>
        </w:rPr>
        <w:t xml:space="preserve"> Nutrition &amp; Care führten geringere</w:t>
      </w:r>
      <w:r>
        <w:rPr>
          <w:sz w:val="20"/>
          <w:szCs w:val="20"/>
        </w:rPr>
        <w:t xml:space="preserve"> Mengen sowie</w:t>
      </w:r>
      <w:r w:rsidR="00E03DFB">
        <w:rPr>
          <w:sz w:val="20"/>
          <w:szCs w:val="20"/>
        </w:rPr>
        <w:t xml:space="preserve"> </w:t>
      </w:r>
      <w:r>
        <w:rPr>
          <w:sz w:val="20"/>
          <w:szCs w:val="20"/>
        </w:rPr>
        <w:t xml:space="preserve">nachgebende </w:t>
      </w:r>
      <w:r w:rsidR="000721B7">
        <w:rPr>
          <w:sz w:val="20"/>
          <w:szCs w:val="20"/>
        </w:rPr>
        <w:t>Weltmarkt</w:t>
      </w:r>
      <w:r w:rsidR="00E03DFB">
        <w:rPr>
          <w:sz w:val="20"/>
          <w:szCs w:val="20"/>
        </w:rPr>
        <w:t xml:space="preserve">preise zu Umsatz- und Ergebnisrückgängen. </w:t>
      </w:r>
      <w:r>
        <w:rPr>
          <w:sz w:val="20"/>
          <w:szCs w:val="20"/>
        </w:rPr>
        <w:t xml:space="preserve">Geringere Verkaufspreise vor allem infolge niedrigerer Rohstoffkosten belasteten </w:t>
      </w:r>
      <w:r w:rsidR="008837BA">
        <w:rPr>
          <w:sz w:val="20"/>
          <w:szCs w:val="20"/>
        </w:rPr>
        <w:t>auch</w:t>
      </w:r>
      <w:r>
        <w:rPr>
          <w:sz w:val="20"/>
          <w:szCs w:val="20"/>
        </w:rPr>
        <w:t xml:space="preserve"> die Entwicklung des Segments Performance Materials.</w:t>
      </w:r>
    </w:p>
    <w:p w14:paraId="32867830" w14:textId="38E4E479" w:rsidR="00E03DFB" w:rsidRDefault="00E03DFB" w:rsidP="0039125D">
      <w:pPr>
        <w:spacing w:line="300" w:lineRule="atLeast"/>
        <w:rPr>
          <w:sz w:val="20"/>
          <w:szCs w:val="20"/>
        </w:rPr>
      </w:pPr>
      <w:r>
        <w:rPr>
          <w:sz w:val="20"/>
          <w:szCs w:val="20"/>
        </w:rPr>
        <w:t xml:space="preserve">Insgesamt verringerte sich der </w:t>
      </w:r>
      <w:r w:rsidRPr="004B0F3C">
        <w:rPr>
          <w:b/>
          <w:sz w:val="20"/>
          <w:szCs w:val="20"/>
        </w:rPr>
        <w:t>Umsatz</w:t>
      </w:r>
      <w:r>
        <w:rPr>
          <w:sz w:val="20"/>
          <w:szCs w:val="20"/>
        </w:rPr>
        <w:t xml:space="preserve"> des Evonik-Konzerns um </w:t>
      </w:r>
      <w:r w:rsidR="0023254A">
        <w:rPr>
          <w:sz w:val="20"/>
          <w:szCs w:val="20"/>
        </w:rPr>
        <w:br/>
      </w:r>
      <w:r>
        <w:rPr>
          <w:sz w:val="20"/>
          <w:szCs w:val="20"/>
        </w:rPr>
        <w:t>9 Prozent auf 3.106 Millionen €</w:t>
      </w:r>
      <w:r w:rsidR="000721B7">
        <w:rPr>
          <w:sz w:val="20"/>
          <w:szCs w:val="20"/>
        </w:rPr>
        <w:t xml:space="preserve"> (Vorjahr 3.425 Millionen €)</w:t>
      </w:r>
      <w:r>
        <w:rPr>
          <w:sz w:val="20"/>
          <w:szCs w:val="20"/>
        </w:rPr>
        <w:t xml:space="preserve">. Während </w:t>
      </w:r>
      <w:r w:rsidR="0023254A">
        <w:rPr>
          <w:sz w:val="20"/>
          <w:szCs w:val="20"/>
        </w:rPr>
        <w:br/>
      </w:r>
      <w:r>
        <w:rPr>
          <w:sz w:val="20"/>
          <w:szCs w:val="20"/>
        </w:rPr>
        <w:t xml:space="preserve">die Nachfrage nach Evonik-Produkten </w:t>
      </w:r>
      <w:r w:rsidR="00DB03E5">
        <w:rPr>
          <w:sz w:val="20"/>
          <w:szCs w:val="20"/>
        </w:rPr>
        <w:t xml:space="preserve">insgesamt </w:t>
      </w:r>
      <w:r>
        <w:rPr>
          <w:sz w:val="20"/>
          <w:szCs w:val="20"/>
        </w:rPr>
        <w:t xml:space="preserve">stabil blieb, </w:t>
      </w:r>
      <w:r w:rsidR="00DB03E5">
        <w:rPr>
          <w:sz w:val="20"/>
          <w:szCs w:val="20"/>
        </w:rPr>
        <w:t xml:space="preserve">gingen </w:t>
      </w:r>
      <w:r>
        <w:rPr>
          <w:sz w:val="20"/>
          <w:szCs w:val="20"/>
        </w:rPr>
        <w:t>die Verkaufspreise um 7 Prozentpunkte</w:t>
      </w:r>
      <w:r w:rsidR="00DB03E5">
        <w:rPr>
          <w:sz w:val="20"/>
          <w:szCs w:val="20"/>
        </w:rPr>
        <w:t xml:space="preserve"> zurück</w:t>
      </w:r>
      <w:r>
        <w:rPr>
          <w:sz w:val="20"/>
          <w:szCs w:val="20"/>
        </w:rPr>
        <w:t>.</w:t>
      </w:r>
    </w:p>
    <w:p w14:paraId="6BBD8B86" w14:textId="77777777" w:rsidR="00E03DFB" w:rsidRDefault="00E03DFB" w:rsidP="0039125D">
      <w:pPr>
        <w:spacing w:line="300" w:lineRule="atLeast"/>
        <w:rPr>
          <w:sz w:val="20"/>
          <w:szCs w:val="20"/>
        </w:rPr>
      </w:pPr>
    </w:p>
    <w:p w14:paraId="619E7576" w14:textId="2C164FA5" w:rsidR="00E03DFB" w:rsidRDefault="00E03DFB" w:rsidP="0023254A">
      <w:pPr>
        <w:spacing w:line="300" w:lineRule="atLeast"/>
        <w:ind w:right="57"/>
        <w:rPr>
          <w:sz w:val="20"/>
          <w:szCs w:val="20"/>
        </w:rPr>
      </w:pPr>
      <w:r>
        <w:rPr>
          <w:sz w:val="20"/>
          <w:szCs w:val="20"/>
        </w:rPr>
        <w:t xml:space="preserve">Das </w:t>
      </w:r>
      <w:r w:rsidRPr="004B0F3C">
        <w:rPr>
          <w:b/>
          <w:sz w:val="20"/>
          <w:szCs w:val="20"/>
        </w:rPr>
        <w:t>bereinigte EBITDA</w:t>
      </w:r>
      <w:r>
        <w:rPr>
          <w:sz w:val="20"/>
          <w:szCs w:val="20"/>
        </w:rPr>
        <w:t xml:space="preserve"> verringerte sich gegenüber dem außergewöhnlich starken Vorjahresquartal um 13 Prozent auf 565 Millionen €</w:t>
      </w:r>
      <w:r w:rsidR="000721B7">
        <w:rPr>
          <w:sz w:val="20"/>
          <w:szCs w:val="20"/>
        </w:rPr>
        <w:t xml:space="preserve"> (Vorjahr </w:t>
      </w:r>
      <w:r w:rsidR="008010AC">
        <w:rPr>
          <w:sz w:val="20"/>
          <w:szCs w:val="20"/>
        </w:rPr>
        <w:br/>
      </w:r>
      <w:r w:rsidR="000721B7">
        <w:rPr>
          <w:sz w:val="20"/>
          <w:szCs w:val="20"/>
        </w:rPr>
        <w:t>650 Millionen €)</w:t>
      </w:r>
      <w:r>
        <w:rPr>
          <w:sz w:val="20"/>
          <w:szCs w:val="20"/>
        </w:rPr>
        <w:t xml:space="preserve">. Die </w:t>
      </w:r>
      <w:r w:rsidRPr="008837BA">
        <w:rPr>
          <w:b/>
          <w:sz w:val="20"/>
          <w:szCs w:val="20"/>
        </w:rPr>
        <w:t>bereinigte EBITDA-Marge</w:t>
      </w:r>
      <w:r>
        <w:rPr>
          <w:sz w:val="20"/>
          <w:szCs w:val="20"/>
        </w:rPr>
        <w:t xml:space="preserve"> lag mit 18,2 Prozent </w:t>
      </w:r>
      <w:r w:rsidR="008837BA">
        <w:rPr>
          <w:sz w:val="20"/>
          <w:szCs w:val="20"/>
        </w:rPr>
        <w:t xml:space="preserve">nach 19,0 </w:t>
      </w:r>
      <w:r w:rsidR="006E777E">
        <w:rPr>
          <w:sz w:val="20"/>
          <w:szCs w:val="20"/>
        </w:rPr>
        <w:t xml:space="preserve">Prozent </w:t>
      </w:r>
      <w:r w:rsidR="000721B7">
        <w:rPr>
          <w:sz w:val="20"/>
          <w:szCs w:val="20"/>
        </w:rPr>
        <w:t xml:space="preserve">im Vorjahr </w:t>
      </w:r>
      <w:r w:rsidR="008837BA">
        <w:rPr>
          <w:sz w:val="20"/>
          <w:szCs w:val="20"/>
        </w:rPr>
        <w:t xml:space="preserve">weiter </w:t>
      </w:r>
      <w:r>
        <w:rPr>
          <w:sz w:val="20"/>
          <w:szCs w:val="20"/>
        </w:rPr>
        <w:t xml:space="preserve">auf einem sehr guten Niveau. Das </w:t>
      </w:r>
      <w:r w:rsidRPr="004B0F3C">
        <w:rPr>
          <w:b/>
          <w:sz w:val="20"/>
          <w:szCs w:val="20"/>
        </w:rPr>
        <w:t>bereinigte EBIT</w:t>
      </w:r>
      <w:r>
        <w:rPr>
          <w:sz w:val="20"/>
          <w:szCs w:val="20"/>
        </w:rPr>
        <w:t xml:space="preserve"> ging um 20 Prozent auf 389 Millionen € zurück. Das </w:t>
      </w:r>
      <w:r w:rsidRPr="004B0F3C">
        <w:rPr>
          <w:b/>
          <w:sz w:val="20"/>
          <w:szCs w:val="20"/>
        </w:rPr>
        <w:t>bereinigte Konzernergebnis</w:t>
      </w:r>
      <w:r>
        <w:rPr>
          <w:sz w:val="20"/>
          <w:szCs w:val="20"/>
        </w:rPr>
        <w:t xml:space="preserve"> </w:t>
      </w:r>
      <w:r w:rsidR="004B0F3C">
        <w:rPr>
          <w:sz w:val="20"/>
          <w:szCs w:val="20"/>
        </w:rPr>
        <w:t>lag</w:t>
      </w:r>
      <w:r>
        <w:rPr>
          <w:sz w:val="20"/>
          <w:szCs w:val="20"/>
        </w:rPr>
        <w:t xml:space="preserve"> im ersten Quartal </w:t>
      </w:r>
      <w:r w:rsidR="004B0F3C">
        <w:rPr>
          <w:sz w:val="20"/>
          <w:szCs w:val="20"/>
        </w:rPr>
        <w:t>mit</w:t>
      </w:r>
      <w:r>
        <w:rPr>
          <w:sz w:val="20"/>
          <w:szCs w:val="20"/>
        </w:rPr>
        <w:t xml:space="preserve"> 254 Millionen € </w:t>
      </w:r>
      <w:r w:rsidR="000721B7">
        <w:rPr>
          <w:sz w:val="20"/>
          <w:szCs w:val="20"/>
        </w:rPr>
        <w:t>um</w:t>
      </w:r>
      <w:r w:rsidR="006E777E">
        <w:rPr>
          <w:sz w:val="20"/>
          <w:szCs w:val="20"/>
        </w:rPr>
        <w:t xml:space="preserve"> </w:t>
      </w:r>
      <w:r w:rsidR="000721B7">
        <w:rPr>
          <w:sz w:val="20"/>
          <w:szCs w:val="20"/>
        </w:rPr>
        <w:t>21</w:t>
      </w:r>
      <w:r w:rsidR="008010AC">
        <w:rPr>
          <w:sz w:val="20"/>
          <w:szCs w:val="20"/>
        </w:rPr>
        <w:t xml:space="preserve"> </w:t>
      </w:r>
      <w:r w:rsidR="000721B7">
        <w:rPr>
          <w:sz w:val="20"/>
          <w:szCs w:val="20"/>
        </w:rPr>
        <w:t xml:space="preserve">Prozent </w:t>
      </w:r>
      <w:r w:rsidR="004B0F3C">
        <w:rPr>
          <w:sz w:val="20"/>
          <w:szCs w:val="20"/>
        </w:rPr>
        <w:t xml:space="preserve">unter dem </w:t>
      </w:r>
      <w:r w:rsidR="00DB239D">
        <w:rPr>
          <w:sz w:val="20"/>
          <w:szCs w:val="20"/>
        </w:rPr>
        <w:t xml:space="preserve">Wert des </w:t>
      </w:r>
      <w:r w:rsidR="004B0F3C">
        <w:rPr>
          <w:sz w:val="20"/>
          <w:szCs w:val="20"/>
        </w:rPr>
        <w:t>Vorjahresquartal</w:t>
      </w:r>
      <w:r w:rsidR="00DB239D">
        <w:rPr>
          <w:sz w:val="20"/>
          <w:szCs w:val="20"/>
        </w:rPr>
        <w:t>s</w:t>
      </w:r>
      <w:r w:rsidR="000721B7">
        <w:rPr>
          <w:sz w:val="20"/>
          <w:szCs w:val="20"/>
        </w:rPr>
        <w:t xml:space="preserve"> von 320 Millionen €</w:t>
      </w:r>
      <w:r>
        <w:rPr>
          <w:sz w:val="20"/>
          <w:szCs w:val="20"/>
        </w:rPr>
        <w:t>.</w:t>
      </w:r>
      <w:r w:rsidR="004B0F3C">
        <w:rPr>
          <w:sz w:val="20"/>
          <w:szCs w:val="20"/>
        </w:rPr>
        <w:t xml:space="preserve"> Das Konzernergebnis verringerte sich um 6 Prozent auf 240 Millionen €</w:t>
      </w:r>
      <w:r w:rsidR="000721B7">
        <w:rPr>
          <w:sz w:val="20"/>
          <w:szCs w:val="20"/>
        </w:rPr>
        <w:t xml:space="preserve"> (Vorjahr 256 Millionen €)</w:t>
      </w:r>
      <w:r w:rsidR="004B0F3C">
        <w:rPr>
          <w:sz w:val="20"/>
          <w:szCs w:val="20"/>
        </w:rPr>
        <w:t>.</w:t>
      </w:r>
    </w:p>
    <w:p w14:paraId="170D0B5C" w14:textId="77777777" w:rsidR="00E03DFB" w:rsidRDefault="00E03DFB" w:rsidP="0039125D">
      <w:pPr>
        <w:spacing w:line="300" w:lineRule="atLeast"/>
        <w:rPr>
          <w:sz w:val="20"/>
          <w:szCs w:val="20"/>
        </w:rPr>
      </w:pPr>
    </w:p>
    <w:p w14:paraId="6A797394" w14:textId="12018944" w:rsidR="00E03DFB" w:rsidRDefault="003C2881" w:rsidP="0023254A">
      <w:pPr>
        <w:spacing w:line="300" w:lineRule="atLeast"/>
        <w:ind w:right="57"/>
        <w:rPr>
          <w:sz w:val="20"/>
          <w:szCs w:val="20"/>
        </w:rPr>
      </w:pPr>
      <w:r>
        <w:rPr>
          <w:sz w:val="20"/>
          <w:szCs w:val="20"/>
        </w:rPr>
        <w:lastRenderedPageBreak/>
        <w:t xml:space="preserve">Die Sachinvestitionen lagen im ersten Quartal </w:t>
      </w:r>
      <w:r w:rsidR="006E777E">
        <w:rPr>
          <w:sz w:val="20"/>
          <w:szCs w:val="20"/>
        </w:rPr>
        <w:t xml:space="preserve">2016 </w:t>
      </w:r>
      <w:r>
        <w:rPr>
          <w:sz w:val="20"/>
          <w:szCs w:val="20"/>
        </w:rPr>
        <w:t xml:space="preserve">mit </w:t>
      </w:r>
      <w:r w:rsidR="000721B7">
        <w:rPr>
          <w:sz w:val="20"/>
          <w:szCs w:val="20"/>
        </w:rPr>
        <w:t xml:space="preserve">160 Millionen € </w:t>
      </w:r>
      <w:r>
        <w:rPr>
          <w:sz w:val="20"/>
          <w:szCs w:val="20"/>
        </w:rPr>
        <w:t>um 15 Prozent unter dem Vorjahreswert von 189 Millionen €. Im ersten Quartal 2016 wurde ein freier Cashflow von 161 Millionen € erwirtschaftet gegenüber 179 Millionen € im Vorjahresquartal.</w:t>
      </w:r>
    </w:p>
    <w:p w14:paraId="4BD39096" w14:textId="77777777" w:rsidR="00DB3813" w:rsidRDefault="00DB3813" w:rsidP="0023254A">
      <w:pPr>
        <w:spacing w:line="300" w:lineRule="atLeast"/>
        <w:ind w:right="57"/>
        <w:jc w:val="both"/>
        <w:rPr>
          <w:sz w:val="20"/>
          <w:szCs w:val="20"/>
        </w:rPr>
      </w:pPr>
    </w:p>
    <w:p w14:paraId="0E5E9D84" w14:textId="77777777" w:rsidR="008F6F80" w:rsidRPr="008F6F80" w:rsidRDefault="00E03DFB" w:rsidP="0023254A">
      <w:pPr>
        <w:spacing w:after="120" w:line="300" w:lineRule="atLeast"/>
        <w:ind w:right="57"/>
        <w:rPr>
          <w:b/>
          <w:sz w:val="20"/>
          <w:szCs w:val="20"/>
        </w:rPr>
      </w:pPr>
      <w:r>
        <w:rPr>
          <w:b/>
          <w:sz w:val="20"/>
          <w:szCs w:val="20"/>
        </w:rPr>
        <w:t>Ausblick bestätigt</w:t>
      </w:r>
    </w:p>
    <w:p w14:paraId="5ECD8E51" w14:textId="77777777" w:rsidR="00885420" w:rsidRDefault="00E03DFB" w:rsidP="0023254A">
      <w:pPr>
        <w:spacing w:line="300" w:lineRule="atLeast"/>
        <w:ind w:right="57"/>
        <w:rPr>
          <w:sz w:val="20"/>
          <w:szCs w:val="20"/>
        </w:rPr>
      </w:pPr>
      <w:r>
        <w:rPr>
          <w:sz w:val="20"/>
          <w:szCs w:val="20"/>
        </w:rPr>
        <w:t>Die Erwartungen hinsichtlich der weltwirtschaftlichen Rahmenbe</w:t>
      </w:r>
      <w:r w:rsidR="000721B7">
        <w:rPr>
          <w:sz w:val="20"/>
          <w:szCs w:val="20"/>
        </w:rPr>
        <w:t>dingungen bleiben unverändert: I</w:t>
      </w:r>
      <w:r>
        <w:rPr>
          <w:sz w:val="20"/>
          <w:szCs w:val="20"/>
        </w:rPr>
        <w:t>nsgesamt geht das Unternehmen von einer leicht schwächeren Dynamik der Weltwirtschaft mit 2,5 Prozent Wachstum im Jahr 2016 gegenüber 2015 aus.</w:t>
      </w:r>
    </w:p>
    <w:p w14:paraId="0ED9B091" w14:textId="77777777" w:rsidR="003C2881" w:rsidRDefault="003C2881" w:rsidP="0023254A">
      <w:pPr>
        <w:spacing w:line="300" w:lineRule="atLeast"/>
        <w:ind w:right="57"/>
        <w:rPr>
          <w:sz w:val="20"/>
          <w:szCs w:val="20"/>
        </w:rPr>
      </w:pPr>
    </w:p>
    <w:p w14:paraId="505756CF" w14:textId="77777777" w:rsidR="00E03DFB" w:rsidRPr="00F274E1" w:rsidRDefault="00E03DFB" w:rsidP="0023254A">
      <w:pPr>
        <w:spacing w:line="300" w:lineRule="atLeast"/>
        <w:ind w:right="57"/>
        <w:rPr>
          <w:sz w:val="20"/>
          <w:szCs w:val="20"/>
        </w:rPr>
      </w:pPr>
      <w:r>
        <w:rPr>
          <w:sz w:val="20"/>
          <w:szCs w:val="20"/>
        </w:rPr>
        <w:t xml:space="preserve">Unter diesen Rahmenbedingungen bestätigt Evonik den Ausblick für das Gesamtjahr: Nach dem </w:t>
      </w:r>
      <w:r w:rsidR="000721B7">
        <w:rPr>
          <w:sz w:val="20"/>
          <w:szCs w:val="20"/>
        </w:rPr>
        <w:t>außergewöhnlich</w:t>
      </w:r>
      <w:r>
        <w:rPr>
          <w:sz w:val="20"/>
          <w:szCs w:val="20"/>
        </w:rPr>
        <w:t xml:space="preserve"> erfolgreichen Jahr 2015 erwartet das Unternehmen für 2016 einen leicht geringeren </w:t>
      </w:r>
      <w:r w:rsidR="000721B7">
        <w:rPr>
          <w:sz w:val="20"/>
          <w:szCs w:val="20"/>
        </w:rPr>
        <w:t>Umsatz</w:t>
      </w:r>
      <w:r>
        <w:rPr>
          <w:sz w:val="20"/>
          <w:szCs w:val="20"/>
        </w:rPr>
        <w:t xml:space="preserve"> und ein bereinigtes EBITDA zw</w:t>
      </w:r>
      <w:r w:rsidR="000721B7">
        <w:rPr>
          <w:sz w:val="20"/>
          <w:szCs w:val="20"/>
        </w:rPr>
        <w:t>ischen 2,0 und 2,2 Milliarden €</w:t>
      </w:r>
      <w:r>
        <w:rPr>
          <w:sz w:val="20"/>
          <w:szCs w:val="20"/>
        </w:rPr>
        <w:t>.</w:t>
      </w:r>
    </w:p>
    <w:p w14:paraId="41AA1C84" w14:textId="77777777" w:rsidR="00885420" w:rsidRDefault="00885420" w:rsidP="0023254A">
      <w:pPr>
        <w:spacing w:line="300" w:lineRule="atLeast"/>
        <w:ind w:right="57"/>
        <w:jc w:val="both"/>
        <w:rPr>
          <w:sz w:val="20"/>
          <w:szCs w:val="20"/>
        </w:rPr>
      </w:pPr>
    </w:p>
    <w:p w14:paraId="3614BB36" w14:textId="77777777" w:rsidR="00885420" w:rsidRPr="00885420" w:rsidRDefault="00E03DFB" w:rsidP="0023254A">
      <w:pPr>
        <w:spacing w:after="120" w:line="300" w:lineRule="atLeast"/>
        <w:ind w:right="57"/>
        <w:rPr>
          <w:b/>
          <w:sz w:val="20"/>
          <w:szCs w:val="20"/>
        </w:rPr>
      </w:pPr>
      <w:r>
        <w:rPr>
          <w:b/>
          <w:sz w:val="20"/>
          <w:szCs w:val="20"/>
        </w:rPr>
        <w:t>Entwicklung in den Segmenten</w:t>
      </w:r>
    </w:p>
    <w:p w14:paraId="545ED67D" w14:textId="0EB5E484" w:rsidR="00D719C7" w:rsidRDefault="005E331E" w:rsidP="0023254A">
      <w:pPr>
        <w:spacing w:line="300" w:lineRule="atLeast"/>
        <w:ind w:right="57"/>
        <w:rPr>
          <w:sz w:val="20"/>
          <w:szCs w:val="20"/>
        </w:rPr>
      </w:pPr>
      <w:r>
        <w:rPr>
          <w:sz w:val="20"/>
          <w:szCs w:val="20"/>
        </w:rPr>
        <w:t xml:space="preserve">Im Segment </w:t>
      </w:r>
      <w:r w:rsidRPr="004B0F3C">
        <w:rPr>
          <w:b/>
          <w:sz w:val="20"/>
          <w:szCs w:val="20"/>
        </w:rPr>
        <w:t>Nutrition &amp; Care</w:t>
      </w:r>
      <w:r>
        <w:rPr>
          <w:sz w:val="20"/>
          <w:szCs w:val="20"/>
        </w:rPr>
        <w:t xml:space="preserve"> ging der </w:t>
      </w:r>
      <w:r w:rsidRPr="004B0F3C">
        <w:rPr>
          <w:b/>
          <w:sz w:val="20"/>
          <w:szCs w:val="20"/>
        </w:rPr>
        <w:t>Umsatz</w:t>
      </w:r>
      <w:r>
        <w:rPr>
          <w:sz w:val="20"/>
          <w:szCs w:val="20"/>
        </w:rPr>
        <w:t xml:space="preserve"> im ersten Quartal 2016 um 15 Prozent auf 1.047 Millionen € zurück. </w:t>
      </w:r>
      <w:r w:rsidR="005866C5">
        <w:rPr>
          <w:sz w:val="20"/>
          <w:szCs w:val="20"/>
        </w:rPr>
        <w:t>Neben geringeren Mengen</w:t>
      </w:r>
      <w:r w:rsidR="004B0F3C">
        <w:rPr>
          <w:sz w:val="20"/>
          <w:szCs w:val="20"/>
        </w:rPr>
        <w:t xml:space="preserve"> </w:t>
      </w:r>
      <w:r w:rsidR="005866C5">
        <w:rPr>
          <w:sz w:val="20"/>
          <w:szCs w:val="20"/>
        </w:rPr>
        <w:t xml:space="preserve">waren hierfür hauptsächlich rückläufige </w:t>
      </w:r>
      <w:r w:rsidR="008837BA">
        <w:rPr>
          <w:sz w:val="20"/>
          <w:szCs w:val="20"/>
        </w:rPr>
        <w:t>Weltmarktpreise</w:t>
      </w:r>
      <w:r w:rsidR="005866C5">
        <w:rPr>
          <w:sz w:val="20"/>
          <w:szCs w:val="20"/>
        </w:rPr>
        <w:t xml:space="preserve"> ausschlaggebend. Das </w:t>
      </w:r>
      <w:r w:rsidR="005866C5" w:rsidRPr="004B0F3C">
        <w:rPr>
          <w:b/>
          <w:sz w:val="20"/>
          <w:szCs w:val="20"/>
        </w:rPr>
        <w:t>bereinigte EBITDA</w:t>
      </w:r>
      <w:r w:rsidR="005866C5">
        <w:rPr>
          <w:sz w:val="20"/>
          <w:szCs w:val="20"/>
        </w:rPr>
        <w:t xml:space="preserve"> blieb mit 293 Millionen € unter dem </w:t>
      </w:r>
      <w:r w:rsidR="004B0F3C">
        <w:rPr>
          <w:sz w:val="20"/>
          <w:szCs w:val="20"/>
        </w:rPr>
        <w:t>sehr hohen</w:t>
      </w:r>
      <w:r w:rsidR="005866C5">
        <w:rPr>
          <w:sz w:val="20"/>
          <w:szCs w:val="20"/>
        </w:rPr>
        <w:t xml:space="preserve"> Vorjahreswert von 353 Millionen €. Die berein</w:t>
      </w:r>
      <w:r w:rsidR="004B0F3C">
        <w:rPr>
          <w:sz w:val="20"/>
          <w:szCs w:val="20"/>
        </w:rPr>
        <w:t>igte EBITDA-Marge liegt mit 28,</w:t>
      </w:r>
      <w:r w:rsidR="00AF5427">
        <w:rPr>
          <w:sz w:val="20"/>
          <w:szCs w:val="20"/>
        </w:rPr>
        <w:t>0</w:t>
      </w:r>
      <w:r w:rsidR="005866C5">
        <w:rPr>
          <w:sz w:val="20"/>
          <w:szCs w:val="20"/>
        </w:rPr>
        <w:t xml:space="preserve"> Prozent weiter auf ausgezeichnetem Niveau.</w:t>
      </w:r>
    </w:p>
    <w:p w14:paraId="55576B60" w14:textId="77777777" w:rsidR="005866C5" w:rsidRDefault="005866C5" w:rsidP="0023254A">
      <w:pPr>
        <w:spacing w:line="300" w:lineRule="atLeast"/>
        <w:ind w:right="57"/>
        <w:rPr>
          <w:sz w:val="20"/>
          <w:szCs w:val="20"/>
        </w:rPr>
      </w:pPr>
    </w:p>
    <w:p w14:paraId="15BF2648" w14:textId="748CC19A" w:rsidR="005866C5" w:rsidRDefault="005866C5" w:rsidP="0023254A">
      <w:pPr>
        <w:spacing w:line="300" w:lineRule="atLeast"/>
        <w:ind w:right="57"/>
        <w:rPr>
          <w:sz w:val="20"/>
          <w:szCs w:val="20"/>
        </w:rPr>
      </w:pPr>
      <w:r>
        <w:rPr>
          <w:sz w:val="20"/>
          <w:szCs w:val="20"/>
        </w:rPr>
        <w:t xml:space="preserve">Getragen von einer weltweit guten Nachfrage verzeichnete das Segment </w:t>
      </w:r>
      <w:r w:rsidRPr="004B0F3C">
        <w:rPr>
          <w:b/>
          <w:sz w:val="20"/>
          <w:szCs w:val="20"/>
        </w:rPr>
        <w:t>Resource Efficiency</w:t>
      </w:r>
      <w:r>
        <w:rPr>
          <w:sz w:val="20"/>
          <w:szCs w:val="20"/>
        </w:rPr>
        <w:t xml:space="preserve"> ein </w:t>
      </w:r>
      <w:r w:rsidR="004B0F3C">
        <w:rPr>
          <w:sz w:val="20"/>
          <w:szCs w:val="20"/>
        </w:rPr>
        <w:t>erfreuliches</w:t>
      </w:r>
      <w:r>
        <w:rPr>
          <w:sz w:val="20"/>
          <w:szCs w:val="20"/>
        </w:rPr>
        <w:t xml:space="preserve"> Mengenwachstum, während die Verkaufspreise insgesamt leicht rückläufig waren. Der </w:t>
      </w:r>
      <w:r w:rsidRPr="004B0F3C">
        <w:rPr>
          <w:b/>
          <w:sz w:val="20"/>
          <w:szCs w:val="20"/>
        </w:rPr>
        <w:t>Umsatz</w:t>
      </w:r>
      <w:r>
        <w:rPr>
          <w:sz w:val="20"/>
          <w:szCs w:val="20"/>
        </w:rPr>
        <w:t xml:space="preserve"> lag mit 1.120 Millionen € etwa auf der Höhe des Vorjahresquartals. Das </w:t>
      </w:r>
      <w:r w:rsidRPr="004B0F3C">
        <w:rPr>
          <w:b/>
          <w:sz w:val="20"/>
          <w:szCs w:val="20"/>
        </w:rPr>
        <w:t xml:space="preserve">bereinigte </w:t>
      </w:r>
      <w:r w:rsidR="00994964" w:rsidRPr="004B0F3C">
        <w:rPr>
          <w:b/>
          <w:sz w:val="20"/>
          <w:szCs w:val="20"/>
        </w:rPr>
        <w:t>EBITDA</w:t>
      </w:r>
      <w:r w:rsidR="00994964">
        <w:rPr>
          <w:sz w:val="20"/>
          <w:szCs w:val="20"/>
        </w:rPr>
        <w:t xml:space="preserve"> verbesserte sich um 5 Prozent auf 256 Millionen €. </w:t>
      </w:r>
      <w:r w:rsidR="0023254A">
        <w:rPr>
          <w:sz w:val="20"/>
          <w:szCs w:val="20"/>
        </w:rPr>
        <w:br/>
      </w:r>
      <w:r w:rsidR="00994964">
        <w:rPr>
          <w:sz w:val="20"/>
          <w:szCs w:val="20"/>
        </w:rPr>
        <w:t xml:space="preserve">Die bereinigte EBITDA-Marge stieg von 21,7 Prozent auf </w:t>
      </w:r>
      <w:r w:rsidR="00AF5427">
        <w:rPr>
          <w:sz w:val="20"/>
          <w:szCs w:val="20"/>
        </w:rPr>
        <w:t xml:space="preserve">sehr gute </w:t>
      </w:r>
      <w:r w:rsidR="0023254A">
        <w:rPr>
          <w:sz w:val="20"/>
          <w:szCs w:val="20"/>
        </w:rPr>
        <w:br/>
      </w:r>
      <w:r w:rsidR="00994964">
        <w:rPr>
          <w:sz w:val="20"/>
          <w:szCs w:val="20"/>
        </w:rPr>
        <w:t>22,9 Prozent.</w:t>
      </w:r>
    </w:p>
    <w:p w14:paraId="612C5AEA" w14:textId="77777777" w:rsidR="00994964" w:rsidRDefault="00994964" w:rsidP="0023254A">
      <w:pPr>
        <w:spacing w:line="300" w:lineRule="atLeast"/>
        <w:ind w:right="57"/>
        <w:rPr>
          <w:sz w:val="20"/>
          <w:szCs w:val="20"/>
        </w:rPr>
      </w:pPr>
    </w:p>
    <w:p w14:paraId="4D6CEAC4" w14:textId="336C9B0C" w:rsidR="00DB3813" w:rsidRPr="009742D3" w:rsidRDefault="00994964" w:rsidP="0023254A">
      <w:pPr>
        <w:spacing w:line="300" w:lineRule="atLeast"/>
        <w:ind w:right="57"/>
        <w:rPr>
          <w:sz w:val="20"/>
          <w:szCs w:val="20"/>
        </w:rPr>
      </w:pPr>
      <w:r>
        <w:rPr>
          <w:sz w:val="20"/>
          <w:szCs w:val="20"/>
        </w:rPr>
        <w:t xml:space="preserve">Im Segment </w:t>
      </w:r>
      <w:r w:rsidRPr="004B0F3C">
        <w:rPr>
          <w:b/>
          <w:sz w:val="20"/>
          <w:szCs w:val="20"/>
        </w:rPr>
        <w:t>Performance Materials</w:t>
      </w:r>
      <w:r>
        <w:rPr>
          <w:sz w:val="20"/>
          <w:szCs w:val="20"/>
        </w:rPr>
        <w:t xml:space="preserve"> ging der </w:t>
      </w:r>
      <w:r w:rsidRPr="004B0F3C">
        <w:rPr>
          <w:b/>
          <w:sz w:val="20"/>
          <w:szCs w:val="20"/>
        </w:rPr>
        <w:t>Umsatz</w:t>
      </w:r>
      <w:r>
        <w:rPr>
          <w:sz w:val="20"/>
          <w:szCs w:val="20"/>
        </w:rPr>
        <w:t xml:space="preserve"> um 9 Prozent auf 772 Millionen € zurück. Ursächlich hierfür sind </w:t>
      </w:r>
      <w:r w:rsidR="000721B7">
        <w:rPr>
          <w:sz w:val="20"/>
          <w:szCs w:val="20"/>
        </w:rPr>
        <w:t xml:space="preserve">weiterhin rückläufige Rohstoffpreise, die zu </w:t>
      </w:r>
      <w:r>
        <w:rPr>
          <w:sz w:val="20"/>
          <w:szCs w:val="20"/>
        </w:rPr>
        <w:t>nochmals nachgebende</w:t>
      </w:r>
      <w:r w:rsidR="000721B7">
        <w:rPr>
          <w:sz w:val="20"/>
          <w:szCs w:val="20"/>
        </w:rPr>
        <w:t>n</w:t>
      </w:r>
      <w:r>
        <w:rPr>
          <w:sz w:val="20"/>
          <w:szCs w:val="20"/>
        </w:rPr>
        <w:t xml:space="preserve"> Verkaufspreise</w:t>
      </w:r>
      <w:r w:rsidR="000721B7">
        <w:rPr>
          <w:sz w:val="20"/>
          <w:szCs w:val="20"/>
        </w:rPr>
        <w:t>n führten</w:t>
      </w:r>
      <w:r>
        <w:rPr>
          <w:sz w:val="20"/>
          <w:szCs w:val="20"/>
        </w:rPr>
        <w:t xml:space="preserve">. Die Mengen konnten dagegen deutlich ausgeweitet werden. Das </w:t>
      </w:r>
      <w:r w:rsidRPr="004B0F3C">
        <w:rPr>
          <w:b/>
          <w:sz w:val="20"/>
          <w:szCs w:val="20"/>
        </w:rPr>
        <w:t xml:space="preserve">bereinigte EBITDA </w:t>
      </w:r>
      <w:r>
        <w:rPr>
          <w:sz w:val="20"/>
          <w:szCs w:val="20"/>
        </w:rPr>
        <w:t xml:space="preserve">ging um 11 Prozent auf 64 Millionen € zurück. Die bereinigte EBITDA-Marge verringerte sich </w:t>
      </w:r>
      <w:r w:rsidR="000721B7">
        <w:rPr>
          <w:sz w:val="20"/>
          <w:szCs w:val="20"/>
        </w:rPr>
        <w:t xml:space="preserve">leicht </w:t>
      </w:r>
      <w:r>
        <w:rPr>
          <w:sz w:val="20"/>
          <w:szCs w:val="20"/>
        </w:rPr>
        <w:t>von 8,5 Prozent im V</w:t>
      </w:r>
      <w:r w:rsidR="009742D3">
        <w:rPr>
          <w:sz w:val="20"/>
          <w:szCs w:val="20"/>
        </w:rPr>
        <w:t>orjahresquartal auf 8,3 Prozent.</w:t>
      </w:r>
    </w:p>
    <w:p w14:paraId="18080361" w14:textId="1451C61D" w:rsidR="00DB3813" w:rsidRPr="009742D3" w:rsidRDefault="0023254A" w:rsidP="00780E5D">
      <w:pPr>
        <w:spacing w:after="120"/>
      </w:pPr>
      <w:r>
        <w:rPr>
          <w:b/>
          <w:bCs/>
        </w:rPr>
        <w:br w:type="column"/>
      </w:r>
      <w:r w:rsidR="00DB3813" w:rsidRPr="00D941D1">
        <w:rPr>
          <w:b/>
          <w:bCs/>
        </w:rPr>
        <w:lastRenderedPageBreak/>
        <w:t>Evonik-Konzern: Ergebnisrechnung im Überblick</w:t>
      </w: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254"/>
        <w:gridCol w:w="1304"/>
        <w:gridCol w:w="1383"/>
      </w:tblGrid>
      <w:tr w:rsidR="00DB3813" w:rsidRPr="00D941D1" w14:paraId="4A6D1B61" w14:textId="77777777" w:rsidTr="00FD361E">
        <w:trPr>
          <w:trHeight w:val="504"/>
        </w:trPr>
        <w:tc>
          <w:tcPr>
            <w:tcW w:w="5387" w:type="dxa"/>
            <w:shd w:val="clear" w:color="auto" w:fill="auto"/>
          </w:tcPr>
          <w:p w14:paraId="067666F9" w14:textId="77777777" w:rsidR="00DB3813" w:rsidRPr="00D941D1" w:rsidRDefault="00DB3813" w:rsidP="00FD361E">
            <w:pPr>
              <w:rPr>
                <w:b/>
                <w:bCs/>
              </w:rPr>
            </w:pPr>
            <w:r w:rsidRPr="00D941D1">
              <w:rPr>
                <w:b/>
                <w:bCs/>
              </w:rPr>
              <w:t>(in Mio. €)</w:t>
            </w:r>
          </w:p>
        </w:tc>
        <w:tc>
          <w:tcPr>
            <w:tcW w:w="1254" w:type="dxa"/>
            <w:shd w:val="clear" w:color="auto" w:fill="C0C0C0"/>
          </w:tcPr>
          <w:p w14:paraId="075923EB" w14:textId="77777777" w:rsidR="00DB3813" w:rsidRPr="00D941D1" w:rsidRDefault="00DB3813" w:rsidP="00FD361E">
            <w:pPr>
              <w:jc w:val="center"/>
              <w:rPr>
                <w:b/>
                <w:bCs/>
              </w:rPr>
            </w:pPr>
            <w:r w:rsidRPr="00D941D1">
              <w:rPr>
                <w:b/>
                <w:bCs/>
              </w:rPr>
              <w:t>Q1/201</w:t>
            </w:r>
            <w:r w:rsidR="00D719C7">
              <w:rPr>
                <w:b/>
                <w:bCs/>
              </w:rPr>
              <w:t>6</w:t>
            </w:r>
          </w:p>
        </w:tc>
        <w:tc>
          <w:tcPr>
            <w:tcW w:w="1304" w:type="dxa"/>
            <w:shd w:val="clear" w:color="auto" w:fill="auto"/>
          </w:tcPr>
          <w:p w14:paraId="01C3B076" w14:textId="77777777" w:rsidR="00DB3813" w:rsidRPr="00D941D1" w:rsidRDefault="00DB3813" w:rsidP="00FD361E">
            <w:pPr>
              <w:jc w:val="center"/>
              <w:rPr>
                <w:b/>
                <w:bCs/>
              </w:rPr>
            </w:pPr>
            <w:r w:rsidRPr="00D941D1">
              <w:rPr>
                <w:b/>
                <w:bCs/>
              </w:rPr>
              <w:t>Q1/201</w:t>
            </w:r>
            <w:r w:rsidR="00D719C7">
              <w:rPr>
                <w:b/>
                <w:bCs/>
              </w:rPr>
              <w:t>5</w:t>
            </w:r>
          </w:p>
        </w:tc>
        <w:tc>
          <w:tcPr>
            <w:tcW w:w="1383" w:type="dxa"/>
            <w:shd w:val="clear" w:color="auto" w:fill="auto"/>
          </w:tcPr>
          <w:p w14:paraId="4B555A49" w14:textId="77777777" w:rsidR="00DB3813" w:rsidRPr="00D941D1" w:rsidRDefault="00DB3813" w:rsidP="00FD361E">
            <w:pPr>
              <w:jc w:val="center"/>
              <w:rPr>
                <w:b/>
                <w:bCs/>
              </w:rPr>
            </w:pPr>
            <w:proofErr w:type="spellStart"/>
            <w:r>
              <w:rPr>
                <w:b/>
                <w:bCs/>
              </w:rPr>
              <w:t>Veränd</w:t>
            </w:r>
            <w:proofErr w:type="spellEnd"/>
            <w:r>
              <w:rPr>
                <w:b/>
                <w:bCs/>
              </w:rPr>
              <w:t>.</w:t>
            </w:r>
          </w:p>
          <w:p w14:paraId="24757DF0" w14:textId="77777777" w:rsidR="00DB3813" w:rsidRPr="00D941D1" w:rsidRDefault="00DB3813" w:rsidP="00FD361E">
            <w:pPr>
              <w:jc w:val="center"/>
              <w:rPr>
                <w:b/>
                <w:bCs/>
              </w:rPr>
            </w:pPr>
            <w:r w:rsidRPr="00D941D1">
              <w:rPr>
                <w:b/>
                <w:bCs/>
              </w:rPr>
              <w:t>in %</w:t>
            </w:r>
          </w:p>
        </w:tc>
      </w:tr>
      <w:tr w:rsidR="00DB3813" w:rsidRPr="00B13E9A" w14:paraId="0778ECC2" w14:textId="77777777" w:rsidTr="00FD361E">
        <w:tc>
          <w:tcPr>
            <w:tcW w:w="5387" w:type="dxa"/>
            <w:shd w:val="clear" w:color="auto" w:fill="auto"/>
          </w:tcPr>
          <w:p w14:paraId="56C0451C" w14:textId="77777777" w:rsidR="00DB3813" w:rsidRPr="00B13E9A" w:rsidRDefault="00DB3813" w:rsidP="00FD361E">
            <w:pPr>
              <w:rPr>
                <w:bCs/>
              </w:rPr>
            </w:pPr>
            <w:r w:rsidRPr="00B13E9A">
              <w:rPr>
                <w:bCs/>
              </w:rPr>
              <w:t>Umsatz</w:t>
            </w:r>
          </w:p>
        </w:tc>
        <w:tc>
          <w:tcPr>
            <w:tcW w:w="1254" w:type="dxa"/>
            <w:shd w:val="clear" w:color="auto" w:fill="C0C0C0"/>
          </w:tcPr>
          <w:p w14:paraId="29281A17" w14:textId="77777777" w:rsidR="00DB3813" w:rsidRPr="00B13E9A" w:rsidRDefault="0003024A" w:rsidP="00FD361E">
            <w:pPr>
              <w:jc w:val="right"/>
              <w:rPr>
                <w:bCs/>
              </w:rPr>
            </w:pPr>
            <w:r>
              <w:rPr>
                <w:bCs/>
              </w:rPr>
              <w:t>3.106</w:t>
            </w:r>
          </w:p>
        </w:tc>
        <w:tc>
          <w:tcPr>
            <w:tcW w:w="1304" w:type="dxa"/>
            <w:shd w:val="clear" w:color="auto" w:fill="auto"/>
          </w:tcPr>
          <w:p w14:paraId="027DB2CF" w14:textId="77777777" w:rsidR="00DB3813" w:rsidRPr="00B13E9A" w:rsidRDefault="0003024A" w:rsidP="00FD361E">
            <w:pPr>
              <w:ind w:right="120"/>
              <w:jc w:val="right"/>
              <w:rPr>
                <w:bCs/>
              </w:rPr>
            </w:pPr>
            <w:r>
              <w:rPr>
                <w:bCs/>
              </w:rPr>
              <w:t>3.425</w:t>
            </w:r>
          </w:p>
        </w:tc>
        <w:tc>
          <w:tcPr>
            <w:tcW w:w="1383" w:type="dxa"/>
            <w:shd w:val="clear" w:color="auto" w:fill="auto"/>
          </w:tcPr>
          <w:p w14:paraId="2B41697F" w14:textId="77777777" w:rsidR="00DB3813" w:rsidRPr="00B13E9A" w:rsidRDefault="0003024A" w:rsidP="00FD361E">
            <w:pPr>
              <w:jc w:val="right"/>
              <w:rPr>
                <w:bCs/>
              </w:rPr>
            </w:pPr>
            <w:r>
              <w:rPr>
                <w:bCs/>
              </w:rPr>
              <w:t>-9</w:t>
            </w:r>
          </w:p>
        </w:tc>
      </w:tr>
      <w:tr w:rsidR="00DB3813" w:rsidRPr="00B13E9A" w14:paraId="5885CF7A" w14:textId="77777777" w:rsidTr="00FD361E">
        <w:tc>
          <w:tcPr>
            <w:tcW w:w="5387" w:type="dxa"/>
            <w:shd w:val="clear" w:color="auto" w:fill="auto"/>
          </w:tcPr>
          <w:p w14:paraId="451F7AC2" w14:textId="77777777" w:rsidR="00DB3813" w:rsidRPr="00B13E9A" w:rsidRDefault="00DB3813" w:rsidP="00FD361E">
            <w:pPr>
              <w:rPr>
                <w:bCs/>
              </w:rPr>
            </w:pPr>
            <w:r w:rsidRPr="00B13E9A">
              <w:rPr>
                <w:bCs/>
              </w:rPr>
              <w:t>Bereinigtes EBITDA</w:t>
            </w:r>
          </w:p>
        </w:tc>
        <w:tc>
          <w:tcPr>
            <w:tcW w:w="1254" w:type="dxa"/>
            <w:shd w:val="clear" w:color="auto" w:fill="C0C0C0"/>
          </w:tcPr>
          <w:p w14:paraId="63B54BBA" w14:textId="77777777" w:rsidR="00DB3813" w:rsidRPr="00B13E9A" w:rsidRDefault="0003024A" w:rsidP="00FD361E">
            <w:pPr>
              <w:jc w:val="right"/>
              <w:rPr>
                <w:bCs/>
              </w:rPr>
            </w:pPr>
            <w:r>
              <w:rPr>
                <w:bCs/>
              </w:rPr>
              <w:t>565</w:t>
            </w:r>
          </w:p>
        </w:tc>
        <w:tc>
          <w:tcPr>
            <w:tcW w:w="1304" w:type="dxa"/>
            <w:shd w:val="clear" w:color="auto" w:fill="auto"/>
          </w:tcPr>
          <w:p w14:paraId="3D2703F3" w14:textId="77777777" w:rsidR="00DB3813" w:rsidRPr="00B13E9A" w:rsidRDefault="0003024A" w:rsidP="00FD361E">
            <w:pPr>
              <w:ind w:right="120"/>
              <w:jc w:val="right"/>
              <w:rPr>
                <w:bCs/>
              </w:rPr>
            </w:pPr>
            <w:r>
              <w:rPr>
                <w:bCs/>
              </w:rPr>
              <w:t>650</w:t>
            </w:r>
          </w:p>
        </w:tc>
        <w:tc>
          <w:tcPr>
            <w:tcW w:w="1383" w:type="dxa"/>
            <w:shd w:val="clear" w:color="auto" w:fill="auto"/>
          </w:tcPr>
          <w:p w14:paraId="1CCF51E7" w14:textId="77777777" w:rsidR="00DB3813" w:rsidRPr="00B13E9A" w:rsidRDefault="0003024A" w:rsidP="00FD361E">
            <w:pPr>
              <w:jc w:val="right"/>
              <w:rPr>
                <w:bCs/>
              </w:rPr>
            </w:pPr>
            <w:r>
              <w:rPr>
                <w:bCs/>
              </w:rPr>
              <w:t>-13</w:t>
            </w:r>
          </w:p>
        </w:tc>
      </w:tr>
      <w:tr w:rsidR="00DB3813" w:rsidRPr="00B13E9A" w14:paraId="11B8FB2E" w14:textId="77777777" w:rsidTr="00FD361E">
        <w:tc>
          <w:tcPr>
            <w:tcW w:w="5387" w:type="dxa"/>
            <w:shd w:val="clear" w:color="auto" w:fill="auto"/>
          </w:tcPr>
          <w:p w14:paraId="20755CE1" w14:textId="77777777" w:rsidR="00DB3813" w:rsidRPr="00B13E9A" w:rsidRDefault="00DB3813" w:rsidP="00FD361E">
            <w:pPr>
              <w:rPr>
                <w:bCs/>
              </w:rPr>
            </w:pPr>
            <w:r w:rsidRPr="00B13E9A">
              <w:rPr>
                <w:bCs/>
              </w:rPr>
              <w:t>Bereinigtes EBIT</w:t>
            </w:r>
          </w:p>
        </w:tc>
        <w:tc>
          <w:tcPr>
            <w:tcW w:w="1254" w:type="dxa"/>
            <w:shd w:val="clear" w:color="auto" w:fill="C0C0C0"/>
          </w:tcPr>
          <w:p w14:paraId="5178EA3F" w14:textId="77777777" w:rsidR="00DB3813" w:rsidRPr="00B13E9A" w:rsidRDefault="0003024A" w:rsidP="00FD361E">
            <w:pPr>
              <w:jc w:val="right"/>
              <w:rPr>
                <w:bCs/>
              </w:rPr>
            </w:pPr>
            <w:r>
              <w:rPr>
                <w:bCs/>
              </w:rPr>
              <w:t>389</w:t>
            </w:r>
          </w:p>
        </w:tc>
        <w:tc>
          <w:tcPr>
            <w:tcW w:w="1304" w:type="dxa"/>
            <w:shd w:val="clear" w:color="auto" w:fill="auto"/>
          </w:tcPr>
          <w:p w14:paraId="26BF49CE" w14:textId="77777777" w:rsidR="00DB3813" w:rsidRPr="00B13E9A" w:rsidRDefault="0003024A" w:rsidP="00FD361E">
            <w:pPr>
              <w:ind w:right="120"/>
              <w:jc w:val="right"/>
              <w:rPr>
                <w:bCs/>
              </w:rPr>
            </w:pPr>
            <w:r>
              <w:rPr>
                <w:bCs/>
              </w:rPr>
              <w:t>485</w:t>
            </w:r>
          </w:p>
        </w:tc>
        <w:tc>
          <w:tcPr>
            <w:tcW w:w="1383" w:type="dxa"/>
            <w:shd w:val="clear" w:color="auto" w:fill="auto"/>
          </w:tcPr>
          <w:p w14:paraId="137F324A" w14:textId="77777777" w:rsidR="00DB3813" w:rsidRPr="00B13E9A" w:rsidRDefault="0003024A" w:rsidP="00FD361E">
            <w:pPr>
              <w:jc w:val="right"/>
              <w:rPr>
                <w:bCs/>
              </w:rPr>
            </w:pPr>
            <w:r>
              <w:rPr>
                <w:bCs/>
              </w:rPr>
              <w:t>-20</w:t>
            </w:r>
          </w:p>
        </w:tc>
      </w:tr>
      <w:tr w:rsidR="00DB3813" w:rsidRPr="00B13E9A" w14:paraId="49A4C2D0" w14:textId="77777777" w:rsidTr="00FD361E">
        <w:tc>
          <w:tcPr>
            <w:tcW w:w="5387" w:type="dxa"/>
            <w:shd w:val="clear" w:color="auto" w:fill="auto"/>
          </w:tcPr>
          <w:p w14:paraId="0088D354" w14:textId="77777777" w:rsidR="00DB3813" w:rsidRPr="00B13E9A" w:rsidRDefault="00DB3813" w:rsidP="00FD361E">
            <w:pPr>
              <w:rPr>
                <w:bCs/>
              </w:rPr>
            </w:pPr>
            <w:r w:rsidRPr="00B13E9A">
              <w:rPr>
                <w:bCs/>
              </w:rPr>
              <w:t>Bereinigungen</w:t>
            </w:r>
          </w:p>
        </w:tc>
        <w:tc>
          <w:tcPr>
            <w:tcW w:w="1254" w:type="dxa"/>
            <w:shd w:val="clear" w:color="auto" w:fill="C0C0C0"/>
          </w:tcPr>
          <w:p w14:paraId="1C1FF929" w14:textId="77777777" w:rsidR="00DB3813" w:rsidRPr="00B13E9A" w:rsidRDefault="0003024A" w:rsidP="00FD361E">
            <w:pPr>
              <w:jc w:val="right"/>
              <w:rPr>
                <w:bCs/>
              </w:rPr>
            </w:pPr>
            <w:r>
              <w:rPr>
                <w:bCs/>
              </w:rPr>
              <w:t>-13</w:t>
            </w:r>
          </w:p>
        </w:tc>
        <w:tc>
          <w:tcPr>
            <w:tcW w:w="1304" w:type="dxa"/>
            <w:shd w:val="clear" w:color="auto" w:fill="auto"/>
          </w:tcPr>
          <w:p w14:paraId="11A663DA" w14:textId="77777777" w:rsidR="00DB3813" w:rsidRPr="00B13E9A" w:rsidRDefault="0003024A" w:rsidP="00FD361E">
            <w:pPr>
              <w:ind w:right="120"/>
              <w:jc w:val="right"/>
              <w:rPr>
                <w:bCs/>
              </w:rPr>
            </w:pPr>
            <w:r>
              <w:rPr>
                <w:bCs/>
              </w:rPr>
              <w:t>-37</w:t>
            </w:r>
          </w:p>
        </w:tc>
        <w:tc>
          <w:tcPr>
            <w:tcW w:w="1383" w:type="dxa"/>
            <w:shd w:val="clear" w:color="auto" w:fill="auto"/>
          </w:tcPr>
          <w:p w14:paraId="37516BE3" w14:textId="77777777" w:rsidR="00DB3813" w:rsidRPr="00B13E9A" w:rsidRDefault="00DB3813" w:rsidP="00FD361E">
            <w:pPr>
              <w:jc w:val="right"/>
              <w:rPr>
                <w:bCs/>
              </w:rPr>
            </w:pPr>
          </w:p>
        </w:tc>
      </w:tr>
      <w:tr w:rsidR="00DB3813" w:rsidRPr="00B13E9A" w14:paraId="4B951F86" w14:textId="77777777" w:rsidTr="00FD361E">
        <w:tc>
          <w:tcPr>
            <w:tcW w:w="5387" w:type="dxa"/>
            <w:shd w:val="clear" w:color="auto" w:fill="auto"/>
          </w:tcPr>
          <w:p w14:paraId="50D2718A" w14:textId="77777777" w:rsidR="00DB3813" w:rsidRPr="00B13E9A" w:rsidRDefault="006F4365" w:rsidP="00FD361E">
            <w:pPr>
              <w:rPr>
                <w:bCs/>
              </w:rPr>
            </w:pPr>
            <w:r>
              <w:rPr>
                <w:bCs/>
              </w:rPr>
              <w:t>Finanz</w:t>
            </w:r>
            <w:r w:rsidR="00DB3813" w:rsidRPr="00B13E9A">
              <w:rPr>
                <w:bCs/>
              </w:rPr>
              <w:t>ergebnis</w:t>
            </w:r>
          </w:p>
        </w:tc>
        <w:tc>
          <w:tcPr>
            <w:tcW w:w="1254" w:type="dxa"/>
            <w:shd w:val="clear" w:color="auto" w:fill="C0C0C0"/>
          </w:tcPr>
          <w:p w14:paraId="345A9C04" w14:textId="77777777" w:rsidR="00DB3813" w:rsidRPr="00B13E9A" w:rsidRDefault="0003024A" w:rsidP="00FD361E">
            <w:pPr>
              <w:jc w:val="right"/>
              <w:rPr>
                <w:bCs/>
              </w:rPr>
            </w:pPr>
            <w:r>
              <w:rPr>
                <w:bCs/>
              </w:rPr>
              <w:t>-34</w:t>
            </w:r>
          </w:p>
        </w:tc>
        <w:tc>
          <w:tcPr>
            <w:tcW w:w="1304" w:type="dxa"/>
            <w:shd w:val="clear" w:color="auto" w:fill="auto"/>
          </w:tcPr>
          <w:p w14:paraId="132019FA" w14:textId="77777777" w:rsidR="00DB3813" w:rsidRPr="00B13E9A" w:rsidRDefault="0003024A" w:rsidP="00FD361E">
            <w:pPr>
              <w:ind w:right="120"/>
              <w:jc w:val="right"/>
              <w:rPr>
                <w:bCs/>
              </w:rPr>
            </w:pPr>
            <w:r>
              <w:rPr>
                <w:bCs/>
              </w:rPr>
              <w:t>-63</w:t>
            </w:r>
          </w:p>
        </w:tc>
        <w:tc>
          <w:tcPr>
            <w:tcW w:w="1383" w:type="dxa"/>
            <w:shd w:val="clear" w:color="auto" w:fill="auto"/>
          </w:tcPr>
          <w:p w14:paraId="51913B19" w14:textId="77777777" w:rsidR="00DB3813" w:rsidRPr="00B13E9A" w:rsidRDefault="00DB3813" w:rsidP="00FD361E">
            <w:pPr>
              <w:jc w:val="right"/>
              <w:rPr>
                <w:bCs/>
              </w:rPr>
            </w:pPr>
          </w:p>
        </w:tc>
      </w:tr>
      <w:tr w:rsidR="00DB3813" w:rsidRPr="00B13E9A" w14:paraId="2C61EE05" w14:textId="77777777" w:rsidTr="00FD361E">
        <w:tc>
          <w:tcPr>
            <w:tcW w:w="5387" w:type="dxa"/>
            <w:shd w:val="clear" w:color="auto" w:fill="auto"/>
          </w:tcPr>
          <w:p w14:paraId="32E731AB" w14:textId="77777777" w:rsidR="00DB3813" w:rsidRPr="00B13E9A" w:rsidRDefault="00DB3813" w:rsidP="00FD361E">
            <w:pPr>
              <w:rPr>
                <w:bCs/>
              </w:rPr>
            </w:pPr>
            <w:r w:rsidRPr="00B13E9A">
              <w:rPr>
                <w:bCs/>
              </w:rPr>
              <w:t>Ergebnis vor Ertragsteuern fortgeführter Aktivitäten</w:t>
            </w:r>
          </w:p>
        </w:tc>
        <w:tc>
          <w:tcPr>
            <w:tcW w:w="1254" w:type="dxa"/>
            <w:shd w:val="clear" w:color="auto" w:fill="C0C0C0"/>
          </w:tcPr>
          <w:p w14:paraId="6A694CBA" w14:textId="77777777" w:rsidR="00DB3813" w:rsidRPr="00B13E9A" w:rsidRDefault="0003024A" w:rsidP="00FD361E">
            <w:pPr>
              <w:jc w:val="right"/>
              <w:rPr>
                <w:bCs/>
              </w:rPr>
            </w:pPr>
            <w:r>
              <w:rPr>
                <w:bCs/>
              </w:rPr>
              <w:t>342</w:t>
            </w:r>
          </w:p>
        </w:tc>
        <w:tc>
          <w:tcPr>
            <w:tcW w:w="1304" w:type="dxa"/>
            <w:shd w:val="clear" w:color="auto" w:fill="auto"/>
          </w:tcPr>
          <w:p w14:paraId="64B17314" w14:textId="77777777" w:rsidR="00DB3813" w:rsidRPr="00B13E9A" w:rsidRDefault="0003024A" w:rsidP="00FD361E">
            <w:pPr>
              <w:ind w:right="120"/>
              <w:jc w:val="right"/>
              <w:rPr>
                <w:bCs/>
              </w:rPr>
            </w:pPr>
            <w:r>
              <w:rPr>
                <w:bCs/>
              </w:rPr>
              <w:t>385</w:t>
            </w:r>
          </w:p>
        </w:tc>
        <w:tc>
          <w:tcPr>
            <w:tcW w:w="1383" w:type="dxa"/>
            <w:shd w:val="clear" w:color="auto" w:fill="auto"/>
          </w:tcPr>
          <w:p w14:paraId="0698BB9B" w14:textId="77777777" w:rsidR="00DB3813" w:rsidRPr="00B13E9A" w:rsidRDefault="0003024A" w:rsidP="00FD361E">
            <w:pPr>
              <w:jc w:val="right"/>
              <w:rPr>
                <w:bCs/>
              </w:rPr>
            </w:pPr>
            <w:r>
              <w:rPr>
                <w:bCs/>
              </w:rPr>
              <w:t>-11</w:t>
            </w:r>
          </w:p>
        </w:tc>
      </w:tr>
      <w:tr w:rsidR="00DB3813" w:rsidRPr="00B13E9A" w14:paraId="77971391" w14:textId="77777777" w:rsidTr="00FD361E">
        <w:tc>
          <w:tcPr>
            <w:tcW w:w="5387" w:type="dxa"/>
            <w:shd w:val="clear" w:color="auto" w:fill="auto"/>
          </w:tcPr>
          <w:p w14:paraId="43F4FEF2" w14:textId="77777777" w:rsidR="00DB3813" w:rsidRPr="00B13E9A" w:rsidRDefault="00DB3813" w:rsidP="00FD361E">
            <w:pPr>
              <w:jc w:val="both"/>
              <w:rPr>
                <w:bCs/>
              </w:rPr>
            </w:pPr>
            <w:r w:rsidRPr="00B13E9A">
              <w:rPr>
                <w:bCs/>
              </w:rPr>
              <w:t>Ertragsteuern</w:t>
            </w:r>
          </w:p>
        </w:tc>
        <w:tc>
          <w:tcPr>
            <w:tcW w:w="1254" w:type="dxa"/>
            <w:shd w:val="clear" w:color="auto" w:fill="C0C0C0"/>
          </w:tcPr>
          <w:p w14:paraId="28E56E8B" w14:textId="77777777" w:rsidR="00DB3813" w:rsidRPr="00B13E9A" w:rsidRDefault="0003024A" w:rsidP="00FD361E">
            <w:pPr>
              <w:jc w:val="right"/>
              <w:rPr>
                <w:bCs/>
              </w:rPr>
            </w:pPr>
            <w:r>
              <w:rPr>
                <w:bCs/>
              </w:rPr>
              <w:t>-98</w:t>
            </w:r>
          </w:p>
        </w:tc>
        <w:tc>
          <w:tcPr>
            <w:tcW w:w="1304" w:type="dxa"/>
            <w:shd w:val="clear" w:color="auto" w:fill="auto"/>
          </w:tcPr>
          <w:p w14:paraId="04CEA22B" w14:textId="77777777" w:rsidR="00DB3813" w:rsidRPr="00B13E9A" w:rsidRDefault="0003024A" w:rsidP="00FD361E">
            <w:pPr>
              <w:ind w:right="120"/>
              <w:jc w:val="right"/>
              <w:rPr>
                <w:bCs/>
              </w:rPr>
            </w:pPr>
            <w:r>
              <w:rPr>
                <w:bCs/>
              </w:rPr>
              <w:t>-115</w:t>
            </w:r>
          </w:p>
        </w:tc>
        <w:tc>
          <w:tcPr>
            <w:tcW w:w="1383" w:type="dxa"/>
            <w:shd w:val="clear" w:color="auto" w:fill="auto"/>
          </w:tcPr>
          <w:p w14:paraId="062FECAB" w14:textId="77777777" w:rsidR="00DB3813" w:rsidRPr="00B13E9A" w:rsidRDefault="00DB3813" w:rsidP="00FD361E">
            <w:pPr>
              <w:jc w:val="right"/>
              <w:rPr>
                <w:bCs/>
              </w:rPr>
            </w:pPr>
          </w:p>
        </w:tc>
      </w:tr>
      <w:tr w:rsidR="00DB3813" w:rsidRPr="00B13E9A" w14:paraId="656655C8" w14:textId="77777777" w:rsidTr="00FD361E">
        <w:tc>
          <w:tcPr>
            <w:tcW w:w="5387" w:type="dxa"/>
            <w:shd w:val="clear" w:color="auto" w:fill="auto"/>
          </w:tcPr>
          <w:p w14:paraId="79D68B65" w14:textId="77777777" w:rsidR="00DB3813" w:rsidRPr="00B13E9A" w:rsidRDefault="00DB3813" w:rsidP="00FD361E">
            <w:pPr>
              <w:rPr>
                <w:bCs/>
              </w:rPr>
            </w:pPr>
            <w:r>
              <w:rPr>
                <w:bCs/>
              </w:rPr>
              <w:t>Ergebnis nach Steuern fortgeführter Aktivitäten</w:t>
            </w:r>
          </w:p>
        </w:tc>
        <w:tc>
          <w:tcPr>
            <w:tcW w:w="1254" w:type="dxa"/>
            <w:shd w:val="clear" w:color="auto" w:fill="C0C0C0"/>
          </w:tcPr>
          <w:p w14:paraId="36AEAD49" w14:textId="77777777" w:rsidR="00DB3813" w:rsidRDefault="0003024A" w:rsidP="00FD361E">
            <w:pPr>
              <w:jc w:val="right"/>
              <w:rPr>
                <w:bCs/>
              </w:rPr>
            </w:pPr>
            <w:r>
              <w:rPr>
                <w:bCs/>
              </w:rPr>
              <w:t>244</w:t>
            </w:r>
          </w:p>
        </w:tc>
        <w:tc>
          <w:tcPr>
            <w:tcW w:w="1304" w:type="dxa"/>
            <w:shd w:val="clear" w:color="auto" w:fill="auto"/>
          </w:tcPr>
          <w:p w14:paraId="663A8C47" w14:textId="77777777" w:rsidR="00DB3813" w:rsidRDefault="0003024A" w:rsidP="00FD361E">
            <w:pPr>
              <w:ind w:right="120"/>
              <w:jc w:val="right"/>
              <w:rPr>
                <w:bCs/>
              </w:rPr>
            </w:pPr>
            <w:r>
              <w:rPr>
                <w:bCs/>
              </w:rPr>
              <w:t>270</w:t>
            </w:r>
          </w:p>
        </w:tc>
        <w:tc>
          <w:tcPr>
            <w:tcW w:w="1383" w:type="dxa"/>
            <w:shd w:val="clear" w:color="auto" w:fill="auto"/>
          </w:tcPr>
          <w:p w14:paraId="6F2479EC" w14:textId="77777777" w:rsidR="00DB3813" w:rsidRPr="00B13E9A" w:rsidRDefault="0003024A" w:rsidP="00FD361E">
            <w:pPr>
              <w:jc w:val="right"/>
              <w:rPr>
                <w:bCs/>
              </w:rPr>
            </w:pPr>
            <w:r>
              <w:rPr>
                <w:bCs/>
              </w:rPr>
              <w:t>-10</w:t>
            </w:r>
          </w:p>
        </w:tc>
      </w:tr>
      <w:tr w:rsidR="00DB3813" w:rsidRPr="00B13E9A" w14:paraId="76F0A2E0" w14:textId="77777777" w:rsidTr="00FD361E">
        <w:tc>
          <w:tcPr>
            <w:tcW w:w="5387" w:type="dxa"/>
            <w:shd w:val="clear" w:color="auto" w:fill="auto"/>
          </w:tcPr>
          <w:p w14:paraId="21F5CE06" w14:textId="77777777" w:rsidR="00DB3813" w:rsidRPr="00B13E9A" w:rsidRDefault="00DB3813" w:rsidP="00FD361E">
            <w:pPr>
              <w:rPr>
                <w:bCs/>
              </w:rPr>
            </w:pPr>
            <w:r w:rsidRPr="00B13E9A">
              <w:rPr>
                <w:bCs/>
              </w:rPr>
              <w:t xml:space="preserve">Ergebnis </w:t>
            </w:r>
            <w:r>
              <w:rPr>
                <w:bCs/>
              </w:rPr>
              <w:t>nach</w:t>
            </w:r>
            <w:r w:rsidRPr="00B13E9A">
              <w:rPr>
                <w:bCs/>
              </w:rPr>
              <w:t xml:space="preserve"> </w:t>
            </w:r>
            <w:r>
              <w:rPr>
                <w:bCs/>
              </w:rPr>
              <w:t>Steuern</w:t>
            </w:r>
            <w:r w:rsidRPr="00B13E9A">
              <w:rPr>
                <w:bCs/>
              </w:rPr>
              <w:t xml:space="preserve"> nicht fortgeführter Aktivitäten</w:t>
            </w:r>
          </w:p>
        </w:tc>
        <w:tc>
          <w:tcPr>
            <w:tcW w:w="1254" w:type="dxa"/>
            <w:shd w:val="clear" w:color="auto" w:fill="C0C0C0"/>
          </w:tcPr>
          <w:p w14:paraId="6DED7306" w14:textId="77777777" w:rsidR="00DB3813" w:rsidRPr="00B13E9A" w:rsidRDefault="0003024A" w:rsidP="00FD361E">
            <w:pPr>
              <w:jc w:val="right"/>
              <w:rPr>
                <w:bCs/>
              </w:rPr>
            </w:pPr>
            <w:r>
              <w:rPr>
                <w:bCs/>
              </w:rPr>
              <w:t>-</w:t>
            </w:r>
          </w:p>
        </w:tc>
        <w:tc>
          <w:tcPr>
            <w:tcW w:w="1304" w:type="dxa"/>
            <w:shd w:val="clear" w:color="auto" w:fill="auto"/>
          </w:tcPr>
          <w:p w14:paraId="4962ABE2" w14:textId="77777777" w:rsidR="00DB3813" w:rsidRPr="00B13E9A" w:rsidRDefault="0003024A" w:rsidP="00FD361E">
            <w:pPr>
              <w:ind w:right="120"/>
              <w:jc w:val="right"/>
              <w:rPr>
                <w:bCs/>
              </w:rPr>
            </w:pPr>
            <w:r>
              <w:rPr>
                <w:bCs/>
              </w:rPr>
              <w:t>-11</w:t>
            </w:r>
          </w:p>
        </w:tc>
        <w:tc>
          <w:tcPr>
            <w:tcW w:w="1383" w:type="dxa"/>
            <w:shd w:val="clear" w:color="auto" w:fill="auto"/>
          </w:tcPr>
          <w:p w14:paraId="6968DCEF" w14:textId="77777777" w:rsidR="00DB3813" w:rsidRPr="00B13E9A" w:rsidRDefault="00DB3813" w:rsidP="00FD361E">
            <w:pPr>
              <w:jc w:val="right"/>
              <w:rPr>
                <w:bCs/>
              </w:rPr>
            </w:pPr>
          </w:p>
        </w:tc>
      </w:tr>
      <w:tr w:rsidR="00DB3813" w:rsidRPr="00B13E9A" w14:paraId="56B13257" w14:textId="77777777" w:rsidTr="00FD361E">
        <w:tc>
          <w:tcPr>
            <w:tcW w:w="5387" w:type="dxa"/>
            <w:shd w:val="clear" w:color="auto" w:fill="auto"/>
          </w:tcPr>
          <w:p w14:paraId="08A5545A" w14:textId="77777777" w:rsidR="00DB3813" w:rsidRPr="00B13E9A" w:rsidRDefault="00DB3813" w:rsidP="00FD361E">
            <w:pPr>
              <w:jc w:val="both"/>
              <w:rPr>
                <w:bCs/>
              </w:rPr>
            </w:pPr>
            <w:r w:rsidRPr="00B13E9A">
              <w:rPr>
                <w:bCs/>
              </w:rPr>
              <w:t>Ergebnis nach Steuern</w:t>
            </w:r>
          </w:p>
        </w:tc>
        <w:tc>
          <w:tcPr>
            <w:tcW w:w="1254" w:type="dxa"/>
            <w:shd w:val="clear" w:color="auto" w:fill="C0C0C0"/>
          </w:tcPr>
          <w:p w14:paraId="49A1C69A" w14:textId="77777777" w:rsidR="00DB3813" w:rsidRPr="00B13E9A" w:rsidRDefault="0003024A" w:rsidP="00FD361E">
            <w:pPr>
              <w:jc w:val="right"/>
              <w:rPr>
                <w:bCs/>
              </w:rPr>
            </w:pPr>
            <w:r>
              <w:rPr>
                <w:bCs/>
              </w:rPr>
              <w:t>244</w:t>
            </w:r>
          </w:p>
        </w:tc>
        <w:tc>
          <w:tcPr>
            <w:tcW w:w="1304" w:type="dxa"/>
            <w:shd w:val="clear" w:color="auto" w:fill="auto"/>
          </w:tcPr>
          <w:p w14:paraId="5E4CEDD7" w14:textId="77777777" w:rsidR="00DB3813" w:rsidRPr="00B13E9A" w:rsidRDefault="0003024A" w:rsidP="00FD361E">
            <w:pPr>
              <w:ind w:right="120"/>
              <w:jc w:val="right"/>
              <w:rPr>
                <w:bCs/>
              </w:rPr>
            </w:pPr>
            <w:r>
              <w:rPr>
                <w:bCs/>
              </w:rPr>
              <w:t>259</w:t>
            </w:r>
          </w:p>
        </w:tc>
        <w:tc>
          <w:tcPr>
            <w:tcW w:w="1383" w:type="dxa"/>
            <w:shd w:val="clear" w:color="auto" w:fill="auto"/>
          </w:tcPr>
          <w:p w14:paraId="484D4086" w14:textId="77777777" w:rsidR="00DB3813" w:rsidRPr="00B13E9A" w:rsidRDefault="0003024A" w:rsidP="00FD361E">
            <w:pPr>
              <w:jc w:val="right"/>
              <w:rPr>
                <w:bCs/>
              </w:rPr>
            </w:pPr>
            <w:r>
              <w:rPr>
                <w:bCs/>
              </w:rPr>
              <w:t>-6</w:t>
            </w:r>
          </w:p>
        </w:tc>
      </w:tr>
      <w:tr w:rsidR="00DB3813" w:rsidRPr="00B13E9A" w14:paraId="0D55E63C" w14:textId="77777777" w:rsidTr="00FD361E">
        <w:tc>
          <w:tcPr>
            <w:tcW w:w="5387" w:type="dxa"/>
            <w:shd w:val="clear" w:color="auto" w:fill="auto"/>
          </w:tcPr>
          <w:p w14:paraId="66E50F64" w14:textId="707DFEC0" w:rsidR="00DB3813" w:rsidRPr="00B13E9A" w:rsidRDefault="00834179" w:rsidP="00FD361E">
            <w:pPr>
              <w:jc w:val="both"/>
              <w:rPr>
                <w:bCs/>
              </w:rPr>
            </w:pPr>
            <w:r>
              <w:rPr>
                <w:bCs/>
              </w:rPr>
              <w:t xml:space="preserve">       d</w:t>
            </w:r>
            <w:r w:rsidR="00DB3813">
              <w:rPr>
                <w:bCs/>
              </w:rPr>
              <w:t xml:space="preserve">avon Ergebnis </w:t>
            </w:r>
            <w:r w:rsidR="00DB3813" w:rsidRPr="00B13E9A">
              <w:rPr>
                <w:bCs/>
              </w:rPr>
              <w:t>anderer Gesellschafter</w:t>
            </w:r>
          </w:p>
        </w:tc>
        <w:tc>
          <w:tcPr>
            <w:tcW w:w="1254" w:type="dxa"/>
            <w:shd w:val="clear" w:color="auto" w:fill="C0C0C0"/>
          </w:tcPr>
          <w:p w14:paraId="7C8C5CB8" w14:textId="77777777" w:rsidR="00DB3813" w:rsidRPr="00B13E9A" w:rsidRDefault="0003024A" w:rsidP="00FD361E">
            <w:pPr>
              <w:jc w:val="right"/>
              <w:rPr>
                <w:bCs/>
              </w:rPr>
            </w:pPr>
            <w:r>
              <w:rPr>
                <w:bCs/>
              </w:rPr>
              <w:t>4</w:t>
            </w:r>
          </w:p>
        </w:tc>
        <w:tc>
          <w:tcPr>
            <w:tcW w:w="1304" w:type="dxa"/>
            <w:shd w:val="clear" w:color="auto" w:fill="auto"/>
          </w:tcPr>
          <w:p w14:paraId="2FCE068A" w14:textId="77777777" w:rsidR="00DB3813" w:rsidRPr="00B13E9A" w:rsidRDefault="0003024A" w:rsidP="00FD361E">
            <w:pPr>
              <w:ind w:right="120"/>
              <w:jc w:val="right"/>
              <w:rPr>
                <w:bCs/>
              </w:rPr>
            </w:pPr>
            <w:r>
              <w:rPr>
                <w:bCs/>
              </w:rPr>
              <w:t>3</w:t>
            </w:r>
          </w:p>
        </w:tc>
        <w:tc>
          <w:tcPr>
            <w:tcW w:w="1383" w:type="dxa"/>
            <w:shd w:val="clear" w:color="auto" w:fill="auto"/>
          </w:tcPr>
          <w:p w14:paraId="0DDDB42D" w14:textId="77777777" w:rsidR="00DB3813" w:rsidRPr="00B13E9A" w:rsidRDefault="00DB3813" w:rsidP="00FD361E">
            <w:pPr>
              <w:jc w:val="right"/>
              <w:rPr>
                <w:bCs/>
              </w:rPr>
            </w:pPr>
          </w:p>
        </w:tc>
      </w:tr>
      <w:tr w:rsidR="00DB3813" w:rsidRPr="00B13E9A" w14:paraId="16BF19DC" w14:textId="77777777" w:rsidTr="00FD361E">
        <w:tc>
          <w:tcPr>
            <w:tcW w:w="5387" w:type="dxa"/>
            <w:shd w:val="clear" w:color="auto" w:fill="auto"/>
          </w:tcPr>
          <w:p w14:paraId="336E5501" w14:textId="77777777" w:rsidR="00DB3813" w:rsidRPr="00AF2A30" w:rsidRDefault="00DB3813" w:rsidP="00FD361E">
            <w:pPr>
              <w:jc w:val="both"/>
              <w:rPr>
                <w:b/>
                <w:bCs/>
              </w:rPr>
            </w:pPr>
            <w:r w:rsidRPr="00AF2A30">
              <w:rPr>
                <w:b/>
                <w:bCs/>
              </w:rPr>
              <w:t>Konzernergebnis</w:t>
            </w:r>
          </w:p>
        </w:tc>
        <w:tc>
          <w:tcPr>
            <w:tcW w:w="1254" w:type="dxa"/>
            <w:shd w:val="clear" w:color="auto" w:fill="C0C0C0"/>
          </w:tcPr>
          <w:p w14:paraId="2ABFCC99" w14:textId="77777777" w:rsidR="00DB3813" w:rsidRPr="00B13E9A" w:rsidRDefault="0003024A" w:rsidP="00FD361E">
            <w:pPr>
              <w:jc w:val="right"/>
              <w:rPr>
                <w:bCs/>
              </w:rPr>
            </w:pPr>
            <w:r>
              <w:rPr>
                <w:bCs/>
              </w:rPr>
              <w:t>240</w:t>
            </w:r>
          </w:p>
        </w:tc>
        <w:tc>
          <w:tcPr>
            <w:tcW w:w="1304" w:type="dxa"/>
            <w:shd w:val="clear" w:color="auto" w:fill="auto"/>
          </w:tcPr>
          <w:p w14:paraId="1B18DD21" w14:textId="77777777" w:rsidR="00DB3813" w:rsidRPr="00B13E9A" w:rsidRDefault="0003024A" w:rsidP="00FD361E">
            <w:pPr>
              <w:ind w:right="120"/>
              <w:jc w:val="right"/>
              <w:rPr>
                <w:bCs/>
              </w:rPr>
            </w:pPr>
            <w:r>
              <w:rPr>
                <w:bCs/>
              </w:rPr>
              <w:t>256</w:t>
            </w:r>
          </w:p>
        </w:tc>
        <w:tc>
          <w:tcPr>
            <w:tcW w:w="1383" w:type="dxa"/>
            <w:shd w:val="clear" w:color="auto" w:fill="auto"/>
          </w:tcPr>
          <w:p w14:paraId="23E802C6" w14:textId="77777777" w:rsidR="00DB3813" w:rsidRPr="00B13E9A" w:rsidRDefault="0003024A" w:rsidP="00FD361E">
            <w:pPr>
              <w:jc w:val="right"/>
              <w:rPr>
                <w:bCs/>
              </w:rPr>
            </w:pPr>
            <w:r>
              <w:rPr>
                <w:bCs/>
              </w:rPr>
              <w:t>-6</w:t>
            </w:r>
          </w:p>
        </w:tc>
      </w:tr>
      <w:tr w:rsidR="00DB3813" w:rsidRPr="00B13E9A" w14:paraId="22046BCD" w14:textId="77777777" w:rsidTr="00FD361E">
        <w:tc>
          <w:tcPr>
            <w:tcW w:w="5387" w:type="dxa"/>
            <w:shd w:val="clear" w:color="auto" w:fill="auto"/>
          </w:tcPr>
          <w:p w14:paraId="3C4FBBAD" w14:textId="77777777" w:rsidR="00DB3813" w:rsidRPr="00AF2A30" w:rsidRDefault="00DB3813" w:rsidP="00FD361E">
            <w:pPr>
              <w:jc w:val="both"/>
              <w:rPr>
                <w:b/>
                <w:bCs/>
              </w:rPr>
            </w:pPr>
            <w:r w:rsidRPr="00AF2A30">
              <w:rPr>
                <w:b/>
                <w:bCs/>
              </w:rPr>
              <w:t>Bereinigtes Konzernergebnis</w:t>
            </w:r>
          </w:p>
        </w:tc>
        <w:tc>
          <w:tcPr>
            <w:tcW w:w="1254" w:type="dxa"/>
            <w:shd w:val="clear" w:color="auto" w:fill="C0C0C0"/>
          </w:tcPr>
          <w:p w14:paraId="59DFC2DF" w14:textId="77777777" w:rsidR="00DB3813" w:rsidRPr="00B13E9A" w:rsidRDefault="0003024A" w:rsidP="00FD361E">
            <w:pPr>
              <w:jc w:val="right"/>
              <w:rPr>
                <w:bCs/>
              </w:rPr>
            </w:pPr>
            <w:r>
              <w:rPr>
                <w:bCs/>
              </w:rPr>
              <w:t>254</w:t>
            </w:r>
          </w:p>
        </w:tc>
        <w:tc>
          <w:tcPr>
            <w:tcW w:w="1304" w:type="dxa"/>
            <w:shd w:val="clear" w:color="auto" w:fill="auto"/>
          </w:tcPr>
          <w:p w14:paraId="7843DBD8" w14:textId="77777777" w:rsidR="00DB3813" w:rsidRPr="00B13E9A" w:rsidRDefault="0003024A" w:rsidP="00CC6A8F">
            <w:pPr>
              <w:ind w:right="120"/>
              <w:jc w:val="right"/>
              <w:rPr>
                <w:bCs/>
              </w:rPr>
            </w:pPr>
            <w:r>
              <w:rPr>
                <w:bCs/>
              </w:rPr>
              <w:t>320</w:t>
            </w:r>
          </w:p>
        </w:tc>
        <w:tc>
          <w:tcPr>
            <w:tcW w:w="1383" w:type="dxa"/>
            <w:shd w:val="clear" w:color="auto" w:fill="auto"/>
          </w:tcPr>
          <w:p w14:paraId="5E55F0D1" w14:textId="77777777" w:rsidR="00DB3813" w:rsidRPr="00B13E9A" w:rsidRDefault="0003024A" w:rsidP="004F69FA">
            <w:pPr>
              <w:jc w:val="right"/>
              <w:rPr>
                <w:bCs/>
              </w:rPr>
            </w:pPr>
            <w:r>
              <w:rPr>
                <w:bCs/>
              </w:rPr>
              <w:t>-21</w:t>
            </w:r>
          </w:p>
        </w:tc>
      </w:tr>
    </w:tbl>
    <w:p w14:paraId="1EA86434" w14:textId="77777777" w:rsidR="00DB3813" w:rsidRPr="00B13E9A" w:rsidRDefault="00DB3813" w:rsidP="00DB3813">
      <w:pPr>
        <w:rPr>
          <w:bCs/>
        </w:rPr>
      </w:pPr>
      <w:r w:rsidRPr="00B13E9A">
        <w:rPr>
          <w:bCs/>
        </w:rPr>
        <w:t>Vorjahreszahlen angepasst</w:t>
      </w:r>
    </w:p>
    <w:p w14:paraId="3D18D25E" w14:textId="77777777" w:rsidR="00DB3813" w:rsidRPr="00B13E9A" w:rsidRDefault="00DB3813" w:rsidP="00DB3813">
      <w:pPr>
        <w:rPr>
          <w:bCs/>
        </w:rPr>
      </w:pPr>
    </w:p>
    <w:p w14:paraId="7C4B31D1" w14:textId="77777777" w:rsidR="00DB3813" w:rsidRPr="00D941D1" w:rsidRDefault="00DB3813" w:rsidP="00DB3813">
      <w:pPr>
        <w:spacing w:after="120"/>
        <w:rPr>
          <w:b/>
          <w:bCs/>
        </w:rPr>
      </w:pPr>
      <w:r w:rsidRPr="00D941D1">
        <w:rPr>
          <w:b/>
          <w:bCs/>
        </w:rPr>
        <w:t>Entwicklung in den Segmenten</w:t>
      </w: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31"/>
        <w:gridCol w:w="1134"/>
        <w:gridCol w:w="1134"/>
        <w:gridCol w:w="1276"/>
        <w:gridCol w:w="1275"/>
        <w:gridCol w:w="993"/>
      </w:tblGrid>
      <w:tr w:rsidR="00DB3813" w:rsidRPr="00B13E9A" w14:paraId="700107C9" w14:textId="77777777" w:rsidTr="00356881">
        <w:tc>
          <w:tcPr>
            <w:tcW w:w="2694" w:type="dxa"/>
            <w:vMerge w:val="restart"/>
            <w:shd w:val="clear" w:color="auto" w:fill="auto"/>
          </w:tcPr>
          <w:p w14:paraId="6BC31EAD" w14:textId="77777777" w:rsidR="00DB3813" w:rsidRPr="00B13E9A" w:rsidRDefault="00DB3813" w:rsidP="00FD361E">
            <w:pPr>
              <w:rPr>
                <w:bCs/>
              </w:rPr>
            </w:pPr>
          </w:p>
        </w:tc>
        <w:tc>
          <w:tcPr>
            <w:tcW w:w="3499" w:type="dxa"/>
            <w:gridSpan w:val="3"/>
            <w:shd w:val="clear" w:color="auto" w:fill="auto"/>
          </w:tcPr>
          <w:p w14:paraId="377CC783" w14:textId="77777777" w:rsidR="00DB3813" w:rsidRPr="00BE5DBC" w:rsidRDefault="00DB3813" w:rsidP="00FD361E">
            <w:pPr>
              <w:jc w:val="center"/>
              <w:rPr>
                <w:b/>
                <w:bCs/>
              </w:rPr>
            </w:pPr>
            <w:r w:rsidRPr="00BE5DBC">
              <w:rPr>
                <w:b/>
                <w:bCs/>
              </w:rPr>
              <w:t>Umsatz</w:t>
            </w:r>
          </w:p>
        </w:tc>
        <w:tc>
          <w:tcPr>
            <w:tcW w:w="3544" w:type="dxa"/>
            <w:gridSpan w:val="3"/>
            <w:shd w:val="clear" w:color="auto" w:fill="auto"/>
          </w:tcPr>
          <w:p w14:paraId="48FEBF63" w14:textId="77777777" w:rsidR="00DB3813" w:rsidRPr="00BE5DBC" w:rsidRDefault="00DB3813" w:rsidP="00FD361E">
            <w:pPr>
              <w:jc w:val="center"/>
              <w:rPr>
                <w:b/>
                <w:bCs/>
              </w:rPr>
            </w:pPr>
            <w:r w:rsidRPr="00BE5DBC">
              <w:rPr>
                <w:b/>
                <w:bCs/>
              </w:rPr>
              <w:t>Bereinigtes EBITDA</w:t>
            </w:r>
          </w:p>
        </w:tc>
      </w:tr>
      <w:tr w:rsidR="00DB3813" w:rsidRPr="00B13E9A" w14:paraId="085676C3" w14:textId="77777777" w:rsidTr="00356881">
        <w:tc>
          <w:tcPr>
            <w:tcW w:w="2694" w:type="dxa"/>
            <w:vMerge/>
            <w:shd w:val="clear" w:color="auto" w:fill="auto"/>
          </w:tcPr>
          <w:p w14:paraId="7294AD84" w14:textId="77777777" w:rsidR="00DB3813" w:rsidRPr="00B13E9A" w:rsidRDefault="00DB3813" w:rsidP="00FD361E">
            <w:pPr>
              <w:rPr>
                <w:bCs/>
              </w:rPr>
            </w:pPr>
          </w:p>
        </w:tc>
        <w:tc>
          <w:tcPr>
            <w:tcW w:w="1231" w:type="dxa"/>
            <w:shd w:val="clear" w:color="auto" w:fill="C0C0C0"/>
          </w:tcPr>
          <w:p w14:paraId="4CD198C3" w14:textId="77777777" w:rsidR="00DB3813" w:rsidRPr="00BE5DBC" w:rsidRDefault="00DB3813" w:rsidP="00FD361E">
            <w:pPr>
              <w:jc w:val="center"/>
              <w:rPr>
                <w:b/>
                <w:bCs/>
                <w:sz w:val="16"/>
                <w:szCs w:val="16"/>
              </w:rPr>
            </w:pPr>
            <w:r w:rsidRPr="00BE5DBC">
              <w:rPr>
                <w:b/>
                <w:bCs/>
                <w:sz w:val="16"/>
                <w:szCs w:val="16"/>
              </w:rPr>
              <w:t>Q1/201</w:t>
            </w:r>
            <w:r w:rsidR="00D719C7">
              <w:rPr>
                <w:b/>
                <w:bCs/>
                <w:sz w:val="16"/>
                <w:szCs w:val="16"/>
              </w:rPr>
              <w:t>6</w:t>
            </w:r>
            <w:r w:rsidRPr="00BE5DBC">
              <w:rPr>
                <w:b/>
                <w:bCs/>
                <w:sz w:val="16"/>
                <w:szCs w:val="16"/>
              </w:rPr>
              <w:br/>
              <w:t>in Mio. €</w:t>
            </w:r>
          </w:p>
        </w:tc>
        <w:tc>
          <w:tcPr>
            <w:tcW w:w="1134" w:type="dxa"/>
            <w:shd w:val="clear" w:color="auto" w:fill="auto"/>
          </w:tcPr>
          <w:p w14:paraId="1FDE5BC4" w14:textId="77777777" w:rsidR="00DB3813" w:rsidRPr="00BE5DBC" w:rsidRDefault="00DB3813" w:rsidP="00FD361E">
            <w:pPr>
              <w:jc w:val="center"/>
              <w:rPr>
                <w:b/>
                <w:bCs/>
                <w:sz w:val="16"/>
                <w:szCs w:val="16"/>
              </w:rPr>
            </w:pPr>
            <w:r w:rsidRPr="00BE5DBC">
              <w:rPr>
                <w:b/>
                <w:bCs/>
                <w:sz w:val="16"/>
                <w:szCs w:val="16"/>
              </w:rPr>
              <w:t>Q1/201</w:t>
            </w:r>
            <w:r w:rsidR="00D719C7">
              <w:rPr>
                <w:b/>
                <w:bCs/>
                <w:sz w:val="16"/>
                <w:szCs w:val="16"/>
              </w:rPr>
              <w:t>5</w:t>
            </w:r>
            <w:r w:rsidRPr="00BE5DBC">
              <w:rPr>
                <w:b/>
                <w:bCs/>
                <w:sz w:val="16"/>
                <w:szCs w:val="16"/>
              </w:rPr>
              <w:br/>
              <w:t>in Mio. €</w:t>
            </w:r>
          </w:p>
        </w:tc>
        <w:tc>
          <w:tcPr>
            <w:tcW w:w="1134" w:type="dxa"/>
            <w:shd w:val="clear" w:color="auto" w:fill="auto"/>
          </w:tcPr>
          <w:p w14:paraId="30732966" w14:textId="77777777" w:rsidR="00DB3813" w:rsidRPr="00BE5DBC" w:rsidRDefault="00DB3813" w:rsidP="00FD361E">
            <w:pPr>
              <w:jc w:val="center"/>
              <w:rPr>
                <w:b/>
                <w:bCs/>
                <w:sz w:val="16"/>
                <w:szCs w:val="16"/>
              </w:rPr>
            </w:pPr>
            <w:proofErr w:type="spellStart"/>
            <w:r w:rsidRPr="00BE5DBC">
              <w:rPr>
                <w:b/>
                <w:bCs/>
                <w:sz w:val="16"/>
                <w:szCs w:val="16"/>
              </w:rPr>
              <w:t>Veränd</w:t>
            </w:r>
            <w:proofErr w:type="spellEnd"/>
            <w:r w:rsidRPr="00BE5DBC">
              <w:rPr>
                <w:b/>
                <w:bCs/>
                <w:sz w:val="16"/>
                <w:szCs w:val="16"/>
              </w:rPr>
              <w:t xml:space="preserve">. </w:t>
            </w:r>
            <w:r>
              <w:rPr>
                <w:b/>
                <w:bCs/>
                <w:sz w:val="16"/>
                <w:szCs w:val="16"/>
              </w:rPr>
              <w:br/>
            </w:r>
            <w:r w:rsidRPr="00BE5DBC">
              <w:rPr>
                <w:b/>
                <w:bCs/>
                <w:sz w:val="16"/>
                <w:szCs w:val="16"/>
              </w:rPr>
              <w:t>in %</w:t>
            </w:r>
          </w:p>
        </w:tc>
        <w:tc>
          <w:tcPr>
            <w:tcW w:w="1276" w:type="dxa"/>
            <w:shd w:val="clear" w:color="auto" w:fill="C0C0C0"/>
          </w:tcPr>
          <w:p w14:paraId="4D07F490" w14:textId="77777777" w:rsidR="00DB3813" w:rsidRPr="00BE5DBC" w:rsidRDefault="00DB3813" w:rsidP="00FD361E">
            <w:pPr>
              <w:jc w:val="center"/>
              <w:rPr>
                <w:b/>
                <w:bCs/>
                <w:sz w:val="16"/>
                <w:szCs w:val="16"/>
              </w:rPr>
            </w:pPr>
            <w:r w:rsidRPr="00BE5DBC">
              <w:rPr>
                <w:b/>
                <w:bCs/>
                <w:sz w:val="16"/>
                <w:szCs w:val="16"/>
              </w:rPr>
              <w:t>Q1/201</w:t>
            </w:r>
            <w:r w:rsidR="00D719C7">
              <w:rPr>
                <w:b/>
                <w:bCs/>
                <w:sz w:val="16"/>
                <w:szCs w:val="16"/>
              </w:rPr>
              <w:t>6</w:t>
            </w:r>
            <w:r w:rsidRPr="00BE5DBC">
              <w:rPr>
                <w:b/>
                <w:bCs/>
                <w:sz w:val="16"/>
                <w:szCs w:val="16"/>
              </w:rPr>
              <w:br/>
              <w:t>in Mio. €</w:t>
            </w:r>
          </w:p>
        </w:tc>
        <w:tc>
          <w:tcPr>
            <w:tcW w:w="1275" w:type="dxa"/>
            <w:shd w:val="clear" w:color="auto" w:fill="auto"/>
          </w:tcPr>
          <w:p w14:paraId="453E0F3B" w14:textId="77777777" w:rsidR="00DB3813" w:rsidRPr="00BE5DBC" w:rsidRDefault="00DB3813" w:rsidP="00FD361E">
            <w:pPr>
              <w:jc w:val="center"/>
              <w:rPr>
                <w:b/>
                <w:bCs/>
                <w:sz w:val="16"/>
                <w:szCs w:val="16"/>
              </w:rPr>
            </w:pPr>
            <w:r w:rsidRPr="00BE5DBC">
              <w:rPr>
                <w:b/>
                <w:bCs/>
                <w:sz w:val="16"/>
                <w:szCs w:val="16"/>
              </w:rPr>
              <w:t>Q1/201</w:t>
            </w:r>
            <w:r w:rsidR="00D719C7">
              <w:rPr>
                <w:b/>
                <w:bCs/>
                <w:sz w:val="16"/>
                <w:szCs w:val="16"/>
              </w:rPr>
              <w:t>5</w:t>
            </w:r>
            <w:r w:rsidRPr="00BE5DBC">
              <w:rPr>
                <w:b/>
                <w:bCs/>
                <w:sz w:val="16"/>
                <w:szCs w:val="16"/>
              </w:rPr>
              <w:br/>
              <w:t>in Mio. €</w:t>
            </w:r>
          </w:p>
        </w:tc>
        <w:tc>
          <w:tcPr>
            <w:tcW w:w="993" w:type="dxa"/>
            <w:shd w:val="clear" w:color="auto" w:fill="auto"/>
          </w:tcPr>
          <w:p w14:paraId="78DB18E1" w14:textId="77777777" w:rsidR="00DB3813" w:rsidRPr="00BE5DBC" w:rsidRDefault="00DB3813" w:rsidP="00FD361E">
            <w:pPr>
              <w:jc w:val="center"/>
              <w:rPr>
                <w:b/>
                <w:bCs/>
                <w:sz w:val="16"/>
                <w:szCs w:val="16"/>
              </w:rPr>
            </w:pPr>
            <w:proofErr w:type="spellStart"/>
            <w:r w:rsidRPr="00BE5DBC">
              <w:rPr>
                <w:b/>
                <w:bCs/>
                <w:sz w:val="16"/>
                <w:szCs w:val="16"/>
              </w:rPr>
              <w:t>Veränd</w:t>
            </w:r>
            <w:proofErr w:type="spellEnd"/>
            <w:r w:rsidRPr="00BE5DBC">
              <w:rPr>
                <w:b/>
                <w:bCs/>
                <w:sz w:val="16"/>
                <w:szCs w:val="16"/>
              </w:rPr>
              <w:t>. in %</w:t>
            </w:r>
          </w:p>
        </w:tc>
      </w:tr>
      <w:tr w:rsidR="00DB3813" w:rsidRPr="008D56C4" w14:paraId="04951242" w14:textId="77777777" w:rsidTr="00356881">
        <w:tc>
          <w:tcPr>
            <w:tcW w:w="2694" w:type="dxa"/>
            <w:shd w:val="clear" w:color="auto" w:fill="auto"/>
          </w:tcPr>
          <w:p w14:paraId="7816D69A" w14:textId="77777777" w:rsidR="00DB3813" w:rsidRPr="00BE5DBC" w:rsidRDefault="00DB3813" w:rsidP="00FD361E">
            <w:pPr>
              <w:rPr>
                <w:bCs/>
              </w:rPr>
            </w:pPr>
            <w:r w:rsidRPr="00BE5DBC">
              <w:rPr>
                <w:bCs/>
              </w:rPr>
              <w:t>Nutrition</w:t>
            </w:r>
            <w:r w:rsidR="00210AE9">
              <w:rPr>
                <w:bCs/>
              </w:rPr>
              <w:t xml:space="preserve"> &amp; </w:t>
            </w:r>
            <w:r>
              <w:rPr>
                <w:bCs/>
              </w:rPr>
              <w:t>Care</w:t>
            </w:r>
          </w:p>
        </w:tc>
        <w:tc>
          <w:tcPr>
            <w:tcW w:w="1231" w:type="dxa"/>
            <w:shd w:val="clear" w:color="auto" w:fill="C0C0C0"/>
            <w:vAlign w:val="center"/>
          </w:tcPr>
          <w:p w14:paraId="1F33C1E4" w14:textId="77777777" w:rsidR="00DB3813" w:rsidRPr="00BE5DBC" w:rsidRDefault="0003024A" w:rsidP="00FD361E">
            <w:pPr>
              <w:jc w:val="right"/>
              <w:rPr>
                <w:bCs/>
              </w:rPr>
            </w:pPr>
            <w:r>
              <w:rPr>
                <w:bCs/>
              </w:rPr>
              <w:t>1.047</w:t>
            </w:r>
          </w:p>
        </w:tc>
        <w:tc>
          <w:tcPr>
            <w:tcW w:w="1134" w:type="dxa"/>
            <w:shd w:val="clear" w:color="auto" w:fill="auto"/>
            <w:vAlign w:val="center"/>
          </w:tcPr>
          <w:p w14:paraId="1FA209B1" w14:textId="77777777" w:rsidR="00DB3813" w:rsidRPr="00A02C86" w:rsidRDefault="0003024A" w:rsidP="00FD361E">
            <w:pPr>
              <w:jc w:val="right"/>
              <w:rPr>
                <w:bCs/>
                <w:lang w:val="en-US"/>
              </w:rPr>
            </w:pPr>
            <w:r>
              <w:rPr>
                <w:bCs/>
                <w:lang w:val="en-US"/>
              </w:rPr>
              <w:t>1.229</w:t>
            </w:r>
          </w:p>
        </w:tc>
        <w:tc>
          <w:tcPr>
            <w:tcW w:w="1134" w:type="dxa"/>
            <w:shd w:val="clear" w:color="auto" w:fill="auto"/>
            <w:vAlign w:val="center"/>
          </w:tcPr>
          <w:p w14:paraId="265A982E" w14:textId="77777777" w:rsidR="00DB3813" w:rsidRPr="00A02C86" w:rsidRDefault="0003024A" w:rsidP="00FD361E">
            <w:pPr>
              <w:jc w:val="right"/>
              <w:rPr>
                <w:bCs/>
                <w:lang w:val="en-US"/>
              </w:rPr>
            </w:pPr>
            <w:r>
              <w:rPr>
                <w:bCs/>
                <w:lang w:val="en-US"/>
              </w:rPr>
              <w:t>-15</w:t>
            </w:r>
          </w:p>
        </w:tc>
        <w:tc>
          <w:tcPr>
            <w:tcW w:w="1276" w:type="dxa"/>
            <w:shd w:val="clear" w:color="auto" w:fill="C0C0C0"/>
            <w:vAlign w:val="center"/>
          </w:tcPr>
          <w:p w14:paraId="7C8CDE1F" w14:textId="77777777" w:rsidR="00DB3813" w:rsidRPr="00A02C86" w:rsidRDefault="0003024A" w:rsidP="00FD361E">
            <w:pPr>
              <w:jc w:val="right"/>
              <w:rPr>
                <w:bCs/>
                <w:lang w:val="en-US"/>
              </w:rPr>
            </w:pPr>
            <w:r>
              <w:rPr>
                <w:bCs/>
                <w:lang w:val="en-US"/>
              </w:rPr>
              <w:t>293</w:t>
            </w:r>
          </w:p>
        </w:tc>
        <w:tc>
          <w:tcPr>
            <w:tcW w:w="1275" w:type="dxa"/>
            <w:shd w:val="clear" w:color="auto" w:fill="auto"/>
            <w:vAlign w:val="center"/>
          </w:tcPr>
          <w:p w14:paraId="43323B0E" w14:textId="77777777" w:rsidR="00DB3813" w:rsidRPr="00A02C86" w:rsidRDefault="0003024A" w:rsidP="00FD361E">
            <w:pPr>
              <w:jc w:val="right"/>
              <w:rPr>
                <w:bCs/>
                <w:lang w:val="en-US"/>
              </w:rPr>
            </w:pPr>
            <w:r>
              <w:rPr>
                <w:bCs/>
                <w:lang w:val="en-US"/>
              </w:rPr>
              <w:t>353</w:t>
            </w:r>
          </w:p>
        </w:tc>
        <w:tc>
          <w:tcPr>
            <w:tcW w:w="993" w:type="dxa"/>
            <w:shd w:val="clear" w:color="auto" w:fill="auto"/>
            <w:vAlign w:val="center"/>
          </w:tcPr>
          <w:p w14:paraId="79106239" w14:textId="77777777" w:rsidR="00DB3813" w:rsidRPr="00A02C86" w:rsidRDefault="0003024A" w:rsidP="00FD361E">
            <w:pPr>
              <w:jc w:val="right"/>
              <w:rPr>
                <w:bCs/>
                <w:lang w:val="en-US"/>
              </w:rPr>
            </w:pPr>
            <w:r>
              <w:rPr>
                <w:bCs/>
                <w:lang w:val="en-US"/>
              </w:rPr>
              <w:t>-17</w:t>
            </w:r>
          </w:p>
        </w:tc>
      </w:tr>
      <w:tr w:rsidR="00DB3813" w:rsidRPr="008D56C4" w14:paraId="16C06939" w14:textId="77777777" w:rsidTr="00356881">
        <w:tc>
          <w:tcPr>
            <w:tcW w:w="2694" w:type="dxa"/>
            <w:shd w:val="clear" w:color="auto" w:fill="auto"/>
          </w:tcPr>
          <w:p w14:paraId="65EA10AB" w14:textId="77777777" w:rsidR="00DB3813" w:rsidRPr="00A02C86" w:rsidRDefault="00DB3813" w:rsidP="00FD361E">
            <w:pPr>
              <w:rPr>
                <w:bCs/>
                <w:lang w:val="en-US"/>
              </w:rPr>
            </w:pPr>
            <w:r w:rsidRPr="00A02C86">
              <w:rPr>
                <w:bCs/>
                <w:lang w:val="en-US"/>
              </w:rPr>
              <w:t>Resource Efficiency</w:t>
            </w:r>
          </w:p>
        </w:tc>
        <w:tc>
          <w:tcPr>
            <w:tcW w:w="1231" w:type="dxa"/>
            <w:shd w:val="clear" w:color="auto" w:fill="C0C0C0"/>
            <w:vAlign w:val="center"/>
          </w:tcPr>
          <w:p w14:paraId="5F8E4DC8" w14:textId="77777777" w:rsidR="00DB3813" w:rsidRPr="00A02C86" w:rsidRDefault="0003024A" w:rsidP="00FD361E">
            <w:pPr>
              <w:jc w:val="right"/>
              <w:rPr>
                <w:bCs/>
                <w:lang w:val="en-US"/>
              </w:rPr>
            </w:pPr>
            <w:r>
              <w:rPr>
                <w:bCs/>
                <w:lang w:val="en-US"/>
              </w:rPr>
              <w:t>1.120</w:t>
            </w:r>
          </w:p>
        </w:tc>
        <w:tc>
          <w:tcPr>
            <w:tcW w:w="1134" w:type="dxa"/>
            <w:shd w:val="clear" w:color="auto" w:fill="auto"/>
            <w:vAlign w:val="center"/>
          </w:tcPr>
          <w:p w14:paraId="714ACD71" w14:textId="77777777" w:rsidR="00DB3813" w:rsidRPr="00A02C86" w:rsidRDefault="0003024A" w:rsidP="00FD361E">
            <w:pPr>
              <w:jc w:val="right"/>
              <w:rPr>
                <w:bCs/>
                <w:lang w:val="en-US"/>
              </w:rPr>
            </w:pPr>
            <w:r>
              <w:rPr>
                <w:bCs/>
                <w:lang w:val="en-US"/>
              </w:rPr>
              <w:t>1.124</w:t>
            </w:r>
          </w:p>
        </w:tc>
        <w:tc>
          <w:tcPr>
            <w:tcW w:w="1134" w:type="dxa"/>
            <w:shd w:val="clear" w:color="auto" w:fill="auto"/>
            <w:vAlign w:val="center"/>
          </w:tcPr>
          <w:p w14:paraId="5DB85572" w14:textId="77777777" w:rsidR="00DB3813" w:rsidRPr="00A02C86" w:rsidRDefault="0003024A" w:rsidP="00FD361E">
            <w:pPr>
              <w:jc w:val="right"/>
              <w:rPr>
                <w:bCs/>
                <w:lang w:val="en-US"/>
              </w:rPr>
            </w:pPr>
            <w:r>
              <w:rPr>
                <w:bCs/>
                <w:lang w:val="en-US"/>
              </w:rPr>
              <w:t>-</w:t>
            </w:r>
          </w:p>
        </w:tc>
        <w:tc>
          <w:tcPr>
            <w:tcW w:w="1276" w:type="dxa"/>
            <w:shd w:val="clear" w:color="auto" w:fill="C0C0C0"/>
            <w:vAlign w:val="center"/>
          </w:tcPr>
          <w:p w14:paraId="03B2D7C0" w14:textId="77777777" w:rsidR="00DB3813" w:rsidRPr="00A02C86" w:rsidRDefault="0003024A" w:rsidP="00FD361E">
            <w:pPr>
              <w:jc w:val="right"/>
              <w:rPr>
                <w:bCs/>
                <w:lang w:val="en-US"/>
              </w:rPr>
            </w:pPr>
            <w:r>
              <w:rPr>
                <w:bCs/>
                <w:lang w:val="en-US"/>
              </w:rPr>
              <w:t>256</w:t>
            </w:r>
          </w:p>
        </w:tc>
        <w:tc>
          <w:tcPr>
            <w:tcW w:w="1275" w:type="dxa"/>
            <w:shd w:val="clear" w:color="auto" w:fill="auto"/>
            <w:vAlign w:val="center"/>
          </w:tcPr>
          <w:p w14:paraId="7F0B9259" w14:textId="77777777" w:rsidR="00DB3813" w:rsidRPr="00A02C86" w:rsidRDefault="0003024A" w:rsidP="00FD361E">
            <w:pPr>
              <w:jc w:val="right"/>
              <w:rPr>
                <w:bCs/>
                <w:lang w:val="en-US"/>
              </w:rPr>
            </w:pPr>
            <w:r>
              <w:rPr>
                <w:bCs/>
                <w:lang w:val="en-US"/>
              </w:rPr>
              <w:t>244</w:t>
            </w:r>
          </w:p>
        </w:tc>
        <w:tc>
          <w:tcPr>
            <w:tcW w:w="993" w:type="dxa"/>
            <w:shd w:val="clear" w:color="auto" w:fill="auto"/>
            <w:vAlign w:val="center"/>
          </w:tcPr>
          <w:p w14:paraId="79FA69F9" w14:textId="77777777" w:rsidR="00DB3813" w:rsidRPr="00A02C86" w:rsidRDefault="0003024A" w:rsidP="00FD361E">
            <w:pPr>
              <w:jc w:val="right"/>
              <w:rPr>
                <w:bCs/>
                <w:lang w:val="en-US"/>
              </w:rPr>
            </w:pPr>
            <w:r>
              <w:rPr>
                <w:bCs/>
                <w:lang w:val="en-US"/>
              </w:rPr>
              <w:t>5</w:t>
            </w:r>
          </w:p>
        </w:tc>
      </w:tr>
      <w:tr w:rsidR="00DB3813" w:rsidRPr="00B13E9A" w14:paraId="7DEF0631" w14:textId="77777777" w:rsidTr="00356881">
        <w:tc>
          <w:tcPr>
            <w:tcW w:w="2694" w:type="dxa"/>
            <w:shd w:val="clear" w:color="auto" w:fill="auto"/>
          </w:tcPr>
          <w:p w14:paraId="6E917B9B" w14:textId="77777777" w:rsidR="00DB3813" w:rsidRPr="00A02C86" w:rsidRDefault="00DB3813" w:rsidP="00FD361E">
            <w:pPr>
              <w:rPr>
                <w:bCs/>
                <w:lang w:val="en-US"/>
              </w:rPr>
            </w:pPr>
            <w:r>
              <w:rPr>
                <w:bCs/>
                <w:lang w:val="en-US"/>
              </w:rPr>
              <w:t>Performance</w:t>
            </w:r>
            <w:r w:rsidRPr="00A02C86">
              <w:rPr>
                <w:bCs/>
                <w:lang w:val="en-US"/>
              </w:rPr>
              <w:t xml:space="preserve"> Materials</w:t>
            </w:r>
          </w:p>
        </w:tc>
        <w:tc>
          <w:tcPr>
            <w:tcW w:w="1231" w:type="dxa"/>
            <w:shd w:val="clear" w:color="auto" w:fill="C0C0C0"/>
            <w:vAlign w:val="center"/>
          </w:tcPr>
          <w:p w14:paraId="5E3FE996" w14:textId="77777777" w:rsidR="00DB3813" w:rsidRPr="00A02C86" w:rsidRDefault="0003024A" w:rsidP="00FD361E">
            <w:pPr>
              <w:jc w:val="right"/>
              <w:rPr>
                <w:bCs/>
                <w:lang w:val="en-US"/>
              </w:rPr>
            </w:pPr>
            <w:r>
              <w:rPr>
                <w:bCs/>
                <w:lang w:val="en-US"/>
              </w:rPr>
              <w:t>772</w:t>
            </w:r>
          </w:p>
        </w:tc>
        <w:tc>
          <w:tcPr>
            <w:tcW w:w="1134" w:type="dxa"/>
            <w:shd w:val="clear" w:color="auto" w:fill="auto"/>
            <w:vAlign w:val="center"/>
          </w:tcPr>
          <w:p w14:paraId="54F0F822" w14:textId="77777777" w:rsidR="00DB3813" w:rsidRPr="00A02C86" w:rsidRDefault="0003024A" w:rsidP="00FD361E">
            <w:pPr>
              <w:jc w:val="right"/>
              <w:rPr>
                <w:bCs/>
                <w:lang w:val="en-US"/>
              </w:rPr>
            </w:pPr>
            <w:r>
              <w:rPr>
                <w:bCs/>
                <w:lang w:val="en-US"/>
              </w:rPr>
              <w:t>851</w:t>
            </w:r>
          </w:p>
        </w:tc>
        <w:tc>
          <w:tcPr>
            <w:tcW w:w="1134" w:type="dxa"/>
            <w:shd w:val="clear" w:color="auto" w:fill="auto"/>
            <w:vAlign w:val="center"/>
          </w:tcPr>
          <w:p w14:paraId="3B6C059F" w14:textId="77777777" w:rsidR="00DB3813" w:rsidRPr="00A02C86" w:rsidRDefault="0003024A" w:rsidP="00FD361E">
            <w:pPr>
              <w:jc w:val="right"/>
              <w:rPr>
                <w:bCs/>
                <w:lang w:val="en-US"/>
              </w:rPr>
            </w:pPr>
            <w:r>
              <w:rPr>
                <w:bCs/>
                <w:lang w:val="en-US"/>
              </w:rPr>
              <w:t>-9</w:t>
            </w:r>
          </w:p>
        </w:tc>
        <w:tc>
          <w:tcPr>
            <w:tcW w:w="1276" w:type="dxa"/>
            <w:shd w:val="clear" w:color="auto" w:fill="C0C0C0"/>
            <w:vAlign w:val="center"/>
          </w:tcPr>
          <w:p w14:paraId="3A20735D" w14:textId="77777777" w:rsidR="00DB3813" w:rsidRPr="00A02C86" w:rsidRDefault="0003024A" w:rsidP="00FD361E">
            <w:pPr>
              <w:jc w:val="right"/>
              <w:rPr>
                <w:bCs/>
                <w:lang w:val="en-US"/>
              </w:rPr>
            </w:pPr>
            <w:r>
              <w:rPr>
                <w:bCs/>
                <w:lang w:val="en-US"/>
              </w:rPr>
              <w:t>64</w:t>
            </w:r>
          </w:p>
        </w:tc>
        <w:tc>
          <w:tcPr>
            <w:tcW w:w="1275" w:type="dxa"/>
            <w:shd w:val="clear" w:color="auto" w:fill="auto"/>
            <w:vAlign w:val="center"/>
          </w:tcPr>
          <w:p w14:paraId="09F67F05" w14:textId="77777777" w:rsidR="00DB3813" w:rsidRPr="00A02C86" w:rsidRDefault="0003024A" w:rsidP="00FD361E">
            <w:pPr>
              <w:jc w:val="right"/>
              <w:rPr>
                <w:bCs/>
                <w:lang w:val="en-US"/>
              </w:rPr>
            </w:pPr>
            <w:r>
              <w:rPr>
                <w:bCs/>
                <w:lang w:val="en-US"/>
              </w:rPr>
              <w:t>72</w:t>
            </w:r>
          </w:p>
        </w:tc>
        <w:tc>
          <w:tcPr>
            <w:tcW w:w="993" w:type="dxa"/>
            <w:shd w:val="clear" w:color="auto" w:fill="auto"/>
            <w:vAlign w:val="center"/>
          </w:tcPr>
          <w:p w14:paraId="50739A30" w14:textId="77777777" w:rsidR="00DB3813" w:rsidRPr="00B13E9A" w:rsidRDefault="0003024A" w:rsidP="00FD361E">
            <w:pPr>
              <w:jc w:val="right"/>
              <w:rPr>
                <w:bCs/>
              </w:rPr>
            </w:pPr>
            <w:r>
              <w:rPr>
                <w:bCs/>
              </w:rPr>
              <w:t>-11</w:t>
            </w:r>
          </w:p>
        </w:tc>
      </w:tr>
      <w:tr w:rsidR="00DB3813" w:rsidRPr="00B13E9A" w14:paraId="3BFE882C" w14:textId="77777777" w:rsidTr="00356881">
        <w:tc>
          <w:tcPr>
            <w:tcW w:w="2694" w:type="dxa"/>
            <w:shd w:val="clear" w:color="auto" w:fill="auto"/>
          </w:tcPr>
          <w:p w14:paraId="55CD6F13" w14:textId="77777777" w:rsidR="00DB3813" w:rsidRPr="00B13E9A" w:rsidRDefault="00DB3813" w:rsidP="00FD361E">
            <w:pPr>
              <w:rPr>
                <w:bCs/>
              </w:rPr>
            </w:pPr>
            <w:r w:rsidRPr="00B13E9A">
              <w:rPr>
                <w:bCs/>
              </w:rPr>
              <w:t>Services</w:t>
            </w:r>
          </w:p>
        </w:tc>
        <w:tc>
          <w:tcPr>
            <w:tcW w:w="1231" w:type="dxa"/>
            <w:shd w:val="clear" w:color="auto" w:fill="C0C0C0"/>
            <w:vAlign w:val="center"/>
          </w:tcPr>
          <w:p w14:paraId="452B0DAF" w14:textId="77777777" w:rsidR="00DB3813" w:rsidRPr="00B13E9A" w:rsidRDefault="0003024A" w:rsidP="00FD361E">
            <w:pPr>
              <w:jc w:val="right"/>
              <w:rPr>
                <w:bCs/>
              </w:rPr>
            </w:pPr>
            <w:r>
              <w:rPr>
                <w:bCs/>
              </w:rPr>
              <w:t>166</w:t>
            </w:r>
          </w:p>
        </w:tc>
        <w:tc>
          <w:tcPr>
            <w:tcW w:w="1134" w:type="dxa"/>
            <w:shd w:val="clear" w:color="auto" w:fill="auto"/>
            <w:vAlign w:val="center"/>
          </w:tcPr>
          <w:p w14:paraId="1FB8CDFD" w14:textId="77777777" w:rsidR="00DB3813" w:rsidRPr="00B13E9A" w:rsidRDefault="0003024A" w:rsidP="00FD361E">
            <w:pPr>
              <w:jc w:val="right"/>
              <w:rPr>
                <w:bCs/>
              </w:rPr>
            </w:pPr>
            <w:r>
              <w:rPr>
                <w:bCs/>
              </w:rPr>
              <w:t>207</w:t>
            </w:r>
          </w:p>
        </w:tc>
        <w:tc>
          <w:tcPr>
            <w:tcW w:w="1134" w:type="dxa"/>
            <w:shd w:val="clear" w:color="auto" w:fill="auto"/>
            <w:vAlign w:val="center"/>
          </w:tcPr>
          <w:p w14:paraId="0FC32D78" w14:textId="77777777" w:rsidR="00DB3813" w:rsidRPr="00B13E9A" w:rsidRDefault="0003024A" w:rsidP="00FD361E">
            <w:pPr>
              <w:jc w:val="right"/>
              <w:rPr>
                <w:bCs/>
              </w:rPr>
            </w:pPr>
            <w:r>
              <w:rPr>
                <w:bCs/>
              </w:rPr>
              <w:t>-20</w:t>
            </w:r>
          </w:p>
        </w:tc>
        <w:tc>
          <w:tcPr>
            <w:tcW w:w="1276" w:type="dxa"/>
            <w:shd w:val="clear" w:color="auto" w:fill="C0C0C0"/>
            <w:vAlign w:val="center"/>
          </w:tcPr>
          <w:p w14:paraId="4DB3FDCE" w14:textId="77777777" w:rsidR="00DB3813" w:rsidRPr="00B13E9A" w:rsidRDefault="0003024A" w:rsidP="00FD361E">
            <w:pPr>
              <w:jc w:val="right"/>
              <w:rPr>
                <w:bCs/>
              </w:rPr>
            </w:pPr>
            <w:r>
              <w:rPr>
                <w:bCs/>
              </w:rPr>
              <w:t>35</w:t>
            </w:r>
          </w:p>
        </w:tc>
        <w:tc>
          <w:tcPr>
            <w:tcW w:w="1275" w:type="dxa"/>
            <w:shd w:val="clear" w:color="auto" w:fill="auto"/>
            <w:vAlign w:val="center"/>
          </w:tcPr>
          <w:p w14:paraId="0D1C9DEF" w14:textId="77777777" w:rsidR="00DB3813" w:rsidRPr="00B13E9A" w:rsidRDefault="0003024A" w:rsidP="00FD361E">
            <w:pPr>
              <w:jc w:val="right"/>
              <w:rPr>
                <w:bCs/>
              </w:rPr>
            </w:pPr>
            <w:r>
              <w:rPr>
                <w:bCs/>
              </w:rPr>
              <w:t>46</w:t>
            </w:r>
          </w:p>
        </w:tc>
        <w:tc>
          <w:tcPr>
            <w:tcW w:w="993" w:type="dxa"/>
            <w:shd w:val="clear" w:color="auto" w:fill="auto"/>
            <w:vAlign w:val="center"/>
          </w:tcPr>
          <w:p w14:paraId="1DE381FD" w14:textId="77777777" w:rsidR="00DB3813" w:rsidRPr="00B13E9A" w:rsidRDefault="0003024A" w:rsidP="00FD361E">
            <w:pPr>
              <w:jc w:val="right"/>
              <w:rPr>
                <w:bCs/>
              </w:rPr>
            </w:pPr>
            <w:r>
              <w:rPr>
                <w:bCs/>
              </w:rPr>
              <w:t>-24</w:t>
            </w:r>
          </w:p>
        </w:tc>
      </w:tr>
      <w:tr w:rsidR="00DB3813" w:rsidRPr="00B13E9A" w14:paraId="6C896F7C" w14:textId="77777777" w:rsidTr="00356881">
        <w:tc>
          <w:tcPr>
            <w:tcW w:w="2694" w:type="dxa"/>
            <w:shd w:val="clear" w:color="auto" w:fill="auto"/>
          </w:tcPr>
          <w:p w14:paraId="2EBAE1D8" w14:textId="77777777" w:rsidR="00DB3813" w:rsidRPr="00B13E9A" w:rsidRDefault="00DB3813" w:rsidP="00FD361E">
            <w:pPr>
              <w:rPr>
                <w:bCs/>
              </w:rPr>
            </w:pPr>
            <w:r w:rsidRPr="00B13E9A">
              <w:rPr>
                <w:bCs/>
              </w:rPr>
              <w:t>Sonstige Aktivitäten</w:t>
            </w:r>
          </w:p>
        </w:tc>
        <w:tc>
          <w:tcPr>
            <w:tcW w:w="1231" w:type="dxa"/>
            <w:shd w:val="clear" w:color="auto" w:fill="C0C0C0"/>
            <w:vAlign w:val="center"/>
          </w:tcPr>
          <w:p w14:paraId="5276D77C" w14:textId="77777777" w:rsidR="00DB3813" w:rsidRPr="00B13E9A" w:rsidRDefault="0003024A" w:rsidP="00FD361E">
            <w:pPr>
              <w:jc w:val="right"/>
              <w:rPr>
                <w:bCs/>
              </w:rPr>
            </w:pPr>
            <w:r>
              <w:rPr>
                <w:bCs/>
              </w:rPr>
              <w:t>1</w:t>
            </w:r>
          </w:p>
        </w:tc>
        <w:tc>
          <w:tcPr>
            <w:tcW w:w="1134" w:type="dxa"/>
            <w:shd w:val="clear" w:color="auto" w:fill="auto"/>
            <w:vAlign w:val="center"/>
          </w:tcPr>
          <w:p w14:paraId="34359CD8" w14:textId="77777777" w:rsidR="00DB3813" w:rsidRPr="00B13E9A" w:rsidRDefault="00D27192" w:rsidP="00FD361E">
            <w:pPr>
              <w:jc w:val="right"/>
              <w:rPr>
                <w:bCs/>
              </w:rPr>
            </w:pPr>
            <w:r>
              <w:rPr>
                <w:bCs/>
              </w:rPr>
              <w:t>14</w:t>
            </w:r>
          </w:p>
        </w:tc>
        <w:tc>
          <w:tcPr>
            <w:tcW w:w="1134" w:type="dxa"/>
            <w:shd w:val="clear" w:color="auto" w:fill="auto"/>
            <w:vAlign w:val="center"/>
          </w:tcPr>
          <w:p w14:paraId="07CEDA6C" w14:textId="77777777" w:rsidR="00DB3813" w:rsidRPr="00B13E9A" w:rsidRDefault="00DB3813" w:rsidP="00FD361E">
            <w:pPr>
              <w:jc w:val="right"/>
              <w:rPr>
                <w:bCs/>
              </w:rPr>
            </w:pPr>
          </w:p>
        </w:tc>
        <w:tc>
          <w:tcPr>
            <w:tcW w:w="1276" w:type="dxa"/>
            <w:shd w:val="clear" w:color="auto" w:fill="C0C0C0"/>
            <w:vAlign w:val="center"/>
          </w:tcPr>
          <w:p w14:paraId="259E0D72" w14:textId="77777777" w:rsidR="00DB3813" w:rsidRPr="00B13E9A" w:rsidRDefault="00D27192" w:rsidP="00FD361E">
            <w:pPr>
              <w:jc w:val="right"/>
              <w:rPr>
                <w:bCs/>
              </w:rPr>
            </w:pPr>
            <w:r>
              <w:rPr>
                <w:bCs/>
              </w:rPr>
              <w:t>-83</w:t>
            </w:r>
          </w:p>
        </w:tc>
        <w:tc>
          <w:tcPr>
            <w:tcW w:w="1275" w:type="dxa"/>
            <w:shd w:val="clear" w:color="auto" w:fill="auto"/>
            <w:vAlign w:val="center"/>
          </w:tcPr>
          <w:p w14:paraId="3B768856" w14:textId="77777777" w:rsidR="00DB3813" w:rsidRPr="00B13E9A" w:rsidRDefault="00D27192" w:rsidP="00FD361E">
            <w:pPr>
              <w:jc w:val="right"/>
              <w:rPr>
                <w:bCs/>
              </w:rPr>
            </w:pPr>
            <w:r>
              <w:rPr>
                <w:bCs/>
              </w:rPr>
              <w:t>-65</w:t>
            </w:r>
          </w:p>
        </w:tc>
        <w:tc>
          <w:tcPr>
            <w:tcW w:w="993" w:type="dxa"/>
            <w:shd w:val="clear" w:color="auto" w:fill="auto"/>
            <w:vAlign w:val="center"/>
          </w:tcPr>
          <w:p w14:paraId="4D590E61" w14:textId="77777777" w:rsidR="00DB3813" w:rsidRPr="00B13E9A" w:rsidRDefault="00DB3813" w:rsidP="00FD361E">
            <w:pPr>
              <w:jc w:val="right"/>
              <w:rPr>
                <w:bCs/>
              </w:rPr>
            </w:pPr>
          </w:p>
        </w:tc>
      </w:tr>
      <w:tr w:rsidR="00DB3813" w:rsidRPr="00B13E9A" w14:paraId="4958073E" w14:textId="77777777" w:rsidTr="00356881">
        <w:tc>
          <w:tcPr>
            <w:tcW w:w="2694" w:type="dxa"/>
            <w:shd w:val="clear" w:color="auto" w:fill="auto"/>
          </w:tcPr>
          <w:p w14:paraId="6F86D67D" w14:textId="77777777" w:rsidR="00DB3813" w:rsidRPr="00AF2A30" w:rsidRDefault="00DB3813" w:rsidP="00FD361E">
            <w:pPr>
              <w:rPr>
                <w:b/>
                <w:bCs/>
              </w:rPr>
            </w:pPr>
            <w:r w:rsidRPr="00AF2A30">
              <w:rPr>
                <w:b/>
                <w:bCs/>
              </w:rPr>
              <w:t>Konzern</w:t>
            </w:r>
          </w:p>
        </w:tc>
        <w:tc>
          <w:tcPr>
            <w:tcW w:w="1231" w:type="dxa"/>
            <w:shd w:val="clear" w:color="auto" w:fill="C0C0C0"/>
            <w:vAlign w:val="center"/>
          </w:tcPr>
          <w:p w14:paraId="22DF6FB9" w14:textId="77777777" w:rsidR="00DB3813" w:rsidRPr="00B13E9A" w:rsidRDefault="0003024A" w:rsidP="00FD361E">
            <w:pPr>
              <w:jc w:val="right"/>
              <w:rPr>
                <w:bCs/>
              </w:rPr>
            </w:pPr>
            <w:r>
              <w:rPr>
                <w:bCs/>
              </w:rPr>
              <w:t>3.106</w:t>
            </w:r>
          </w:p>
        </w:tc>
        <w:tc>
          <w:tcPr>
            <w:tcW w:w="1134" w:type="dxa"/>
            <w:shd w:val="clear" w:color="auto" w:fill="auto"/>
            <w:vAlign w:val="center"/>
          </w:tcPr>
          <w:p w14:paraId="70CDDEDA" w14:textId="77777777" w:rsidR="00DB3813" w:rsidRPr="00B13E9A" w:rsidRDefault="0003024A" w:rsidP="00FD361E">
            <w:pPr>
              <w:jc w:val="right"/>
              <w:rPr>
                <w:bCs/>
              </w:rPr>
            </w:pPr>
            <w:r>
              <w:rPr>
                <w:bCs/>
              </w:rPr>
              <w:t>3.425</w:t>
            </w:r>
          </w:p>
        </w:tc>
        <w:tc>
          <w:tcPr>
            <w:tcW w:w="1134" w:type="dxa"/>
            <w:shd w:val="clear" w:color="auto" w:fill="auto"/>
            <w:vAlign w:val="center"/>
          </w:tcPr>
          <w:p w14:paraId="24EB3873" w14:textId="77777777" w:rsidR="00DB3813" w:rsidRPr="00B13E9A" w:rsidRDefault="0003024A" w:rsidP="00FD361E">
            <w:pPr>
              <w:jc w:val="right"/>
              <w:rPr>
                <w:bCs/>
              </w:rPr>
            </w:pPr>
            <w:r>
              <w:rPr>
                <w:bCs/>
              </w:rPr>
              <w:t>-9</w:t>
            </w:r>
          </w:p>
        </w:tc>
        <w:tc>
          <w:tcPr>
            <w:tcW w:w="1276" w:type="dxa"/>
            <w:shd w:val="clear" w:color="auto" w:fill="C0C0C0"/>
            <w:vAlign w:val="center"/>
          </w:tcPr>
          <w:p w14:paraId="6EE152F0" w14:textId="77777777" w:rsidR="00DB3813" w:rsidRPr="00B13E9A" w:rsidRDefault="0003024A" w:rsidP="00FD361E">
            <w:pPr>
              <w:jc w:val="right"/>
              <w:rPr>
                <w:bCs/>
              </w:rPr>
            </w:pPr>
            <w:r>
              <w:rPr>
                <w:bCs/>
              </w:rPr>
              <w:t>565</w:t>
            </w:r>
          </w:p>
        </w:tc>
        <w:tc>
          <w:tcPr>
            <w:tcW w:w="1275" w:type="dxa"/>
            <w:shd w:val="clear" w:color="auto" w:fill="auto"/>
            <w:vAlign w:val="center"/>
          </w:tcPr>
          <w:p w14:paraId="5537C61C" w14:textId="77777777" w:rsidR="00DB3813" w:rsidRPr="00B13E9A" w:rsidRDefault="0003024A" w:rsidP="00FD361E">
            <w:pPr>
              <w:jc w:val="right"/>
              <w:rPr>
                <w:bCs/>
              </w:rPr>
            </w:pPr>
            <w:r>
              <w:rPr>
                <w:bCs/>
              </w:rPr>
              <w:t>650</w:t>
            </w:r>
          </w:p>
        </w:tc>
        <w:tc>
          <w:tcPr>
            <w:tcW w:w="993" w:type="dxa"/>
            <w:shd w:val="clear" w:color="auto" w:fill="auto"/>
            <w:vAlign w:val="center"/>
          </w:tcPr>
          <w:p w14:paraId="57B80300" w14:textId="77777777" w:rsidR="00DB3813" w:rsidRPr="00B13E9A" w:rsidRDefault="0003024A" w:rsidP="00FD361E">
            <w:pPr>
              <w:jc w:val="right"/>
              <w:rPr>
                <w:bCs/>
              </w:rPr>
            </w:pPr>
            <w:r>
              <w:rPr>
                <w:bCs/>
              </w:rPr>
              <w:t>-13</w:t>
            </w:r>
          </w:p>
        </w:tc>
      </w:tr>
    </w:tbl>
    <w:p w14:paraId="511AB31C" w14:textId="77777777" w:rsidR="00DB3813" w:rsidRDefault="00DB3813" w:rsidP="00DB3813">
      <w:pPr>
        <w:ind w:left="142"/>
        <w:rPr>
          <w:bCs/>
        </w:rPr>
      </w:pPr>
      <w:r>
        <w:rPr>
          <w:bCs/>
        </w:rPr>
        <w:t>Vorjahreszahlen angepasst</w:t>
      </w:r>
    </w:p>
    <w:p w14:paraId="08560DFF" w14:textId="77777777" w:rsidR="00DB3813" w:rsidRPr="00D941D1" w:rsidRDefault="00424150" w:rsidP="00780E5D">
      <w:pPr>
        <w:spacing w:after="120"/>
        <w:rPr>
          <w:b/>
          <w:bCs/>
        </w:rPr>
      </w:pPr>
      <w:r>
        <w:rPr>
          <w:b/>
          <w:bCs/>
        </w:rPr>
        <w:br/>
      </w:r>
      <w:r>
        <w:rPr>
          <w:b/>
          <w:bCs/>
        </w:rPr>
        <w:br/>
      </w:r>
      <w:r>
        <w:rPr>
          <w:b/>
          <w:bCs/>
        </w:rPr>
        <w:br/>
        <w:t>M</w:t>
      </w:r>
      <w:r w:rsidR="00DB3813" w:rsidRPr="00D941D1">
        <w:rPr>
          <w:b/>
          <w:bCs/>
        </w:rPr>
        <w:t>itarbeiter nach Segmenten</w:t>
      </w:r>
    </w:p>
    <w:tbl>
      <w:tblPr>
        <w:tblW w:w="84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DB3813" w:rsidRPr="00BE5DBC" w14:paraId="7E07AB6C" w14:textId="77777777" w:rsidTr="00424150">
        <w:tc>
          <w:tcPr>
            <w:tcW w:w="4122" w:type="dxa"/>
            <w:shd w:val="clear" w:color="auto" w:fill="auto"/>
          </w:tcPr>
          <w:p w14:paraId="6863946D" w14:textId="77777777" w:rsidR="00DB3813" w:rsidRPr="00B13E9A" w:rsidRDefault="00DB3813" w:rsidP="00424150">
            <w:pPr>
              <w:ind w:left="142"/>
              <w:rPr>
                <w:bCs/>
              </w:rPr>
            </w:pPr>
          </w:p>
        </w:tc>
        <w:tc>
          <w:tcPr>
            <w:tcW w:w="2172" w:type="dxa"/>
            <w:shd w:val="clear" w:color="auto" w:fill="auto"/>
          </w:tcPr>
          <w:p w14:paraId="4F41FA8E" w14:textId="77777777" w:rsidR="00DB3813" w:rsidRPr="00BE5DBC" w:rsidRDefault="00DB3813" w:rsidP="00424150">
            <w:pPr>
              <w:ind w:left="142"/>
              <w:jc w:val="center"/>
              <w:rPr>
                <w:b/>
                <w:bCs/>
              </w:rPr>
            </w:pPr>
            <w:r w:rsidRPr="00BE5DBC">
              <w:rPr>
                <w:b/>
                <w:bCs/>
              </w:rPr>
              <w:t>31.03.201</w:t>
            </w:r>
            <w:r w:rsidR="00D719C7">
              <w:rPr>
                <w:b/>
                <w:bCs/>
              </w:rPr>
              <w:t>6</w:t>
            </w:r>
          </w:p>
        </w:tc>
        <w:tc>
          <w:tcPr>
            <w:tcW w:w="2173" w:type="dxa"/>
            <w:shd w:val="clear" w:color="auto" w:fill="auto"/>
          </w:tcPr>
          <w:p w14:paraId="3135F513" w14:textId="77777777" w:rsidR="00DB3813" w:rsidRPr="00BE5DBC" w:rsidRDefault="00DB3813" w:rsidP="00424150">
            <w:pPr>
              <w:ind w:left="142"/>
              <w:jc w:val="center"/>
              <w:rPr>
                <w:b/>
                <w:bCs/>
              </w:rPr>
            </w:pPr>
            <w:r w:rsidRPr="00BE5DBC">
              <w:rPr>
                <w:b/>
                <w:bCs/>
              </w:rPr>
              <w:t>31.12.201</w:t>
            </w:r>
            <w:r w:rsidR="00D719C7">
              <w:rPr>
                <w:b/>
                <w:bCs/>
              </w:rPr>
              <w:t>5</w:t>
            </w:r>
          </w:p>
        </w:tc>
      </w:tr>
      <w:tr w:rsidR="00DB3813" w:rsidRPr="00A14C8B" w14:paraId="533886E5" w14:textId="77777777" w:rsidTr="00424150">
        <w:tc>
          <w:tcPr>
            <w:tcW w:w="4122" w:type="dxa"/>
            <w:shd w:val="clear" w:color="auto" w:fill="auto"/>
          </w:tcPr>
          <w:p w14:paraId="0748400E" w14:textId="77777777" w:rsidR="00DB3813" w:rsidRPr="00B13E9A" w:rsidRDefault="00DB3813" w:rsidP="00424150">
            <w:pPr>
              <w:ind w:left="142"/>
              <w:rPr>
                <w:bCs/>
              </w:rPr>
            </w:pPr>
            <w:r w:rsidRPr="00B13E9A">
              <w:rPr>
                <w:bCs/>
              </w:rPr>
              <w:t>Nutrition</w:t>
            </w:r>
            <w:r w:rsidR="00210AE9">
              <w:rPr>
                <w:bCs/>
              </w:rPr>
              <w:t xml:space="preserve"> &amp; </w:t>
            </w:r>
            <w:r>
              <w:rPr>
                <w:bCs/>
              </w:rPr>
              <w:t>Care</w:t>
            </w:r>
          </w:p>
        </w:tc>
        <w:tc>
          <w:tcPr>
            <w:tcW w:w="2172" w:type="dxa"/>
            <w:shd w:val="clear" w:color="auto" w:fill="auto"/>
          </w:tcPr>
          <w:p w14:paraId="79CE0943" w14:textId="77777777" w:rsidR="00DB3813" w:rsidRPr="00A14C8B" w:rsidRDefault="0003024A" w:rsidP="00424150">
            <w:pPr>
              <w:ind w:left="142"/>
              <w:jc w:val="right"/>
              <w:rPr>
                <w:bCs/>
                <w:lang w:val="en-US"/>
              </w:rPr>
            </w:pPr>
            <w:r>
              <w:rPr>
                <w:bCs/>
                <w:lang w:val="en-US"/>
              </w:rPr>
              <w:t>7.347</w:t>
            </w:r>
          </w:p>
        </w:tc>
        <w:tc>
          <w:tcPr>
            <w:tcW w:w="2173" w:type="dxa"/>
            <w:shd w:val="clear" w:color="auto" w:fill="auto"/>
          </w:tcPr>
          <w:p w14:paraId="704647AC" w14:textId="719D4F33" w:rsidR="00DB3813" w:rsidRPr="00A14C8B" w:rsidRDefault="00834179" w:rsidP="00424150">
            <w:pPr>
              <w:ind w:left="142"/>
              <w:jc w:val="right"/>
              <w:rPr>
                <w:bCs/>
                <w:lang w:val="en-US"/>
              </w:rPr>
            </w:pPr>
            <w:r>
              <w:rPr>
                <w:bCs/>
                <w:lang w:val="en-US"/>
              </w:rPr>
              <w:t>7.165</w:t>
            </w:r>
          </w:p>
        </w:tc>
      </w:tr>
      <w:tr w:rsidR="00DB3813" w:rsidRPr="00A14C8B" w14:paraId="2AF43A74" w14:textId="77777777" w:rsidTr="00424150">
        <w:tc>
          <w:tcPr>
            <w:tcW w:w="4122" w:type="dxa"/>
            <w:shd w:val="clear" w:color="auto" w:fill="auto"/>
          </w:tcPr>
          <w:p w14:paraId="3A9BF14F" w14:textId="77777777" w:rsidR="00DB3813" w:rsidRPr="00A14C8B" w:rsidRDefault="00DB3813" w:rsidP="00424150">
            <w:pPr>
              <w:ind w:left="142"/>
              <w:rPr>
                <w:bCs/>
                <w:lang w:val="en-US"/>
              </w:rPr>
            </w:pPr>
            <w:r w:rsidRPr="00A14C8B">
              <w:rPr>
                <w:bCs/>
                <w:lang w:val="en-US"/>
              </w:rPr>
              <w:t>Resource Efficiency</w:t>
            </w:r>
          </w:p>
        </w:tc>
        <w:tc>
          <w:tcPr>
            <w:tcW w:w="2172" w:type="dxa"/>
            <w:shd w:val="clear" w:color="auto" w:fill="auto"/>
          </w:tcPr>
          <w:p w14:paraId="0B852FAE" w14:textId="77777777" w:rsidR="00DB3813" w:rsidRPr="00A14C8B" w:rsidRDefault="0003024A" w:rsidP="00424150">
            <w:pPr>
              <w:ind w:left="142"/>
              <w:jc w:val="right"/>
              <w:rPr>
                <w:bCs/>
                <w:lang w:val="en-US"/>
              </w:rPr>
            </w:pPr>
            <w:r>
              <w:rPr>
                <w:bCs/>
                <w:lang w:val="en-US"/>
              </w:rPr>
              <w:t>8.652</w:t>
            </w:r>
          </w:p>
        </w:tc>
        <w:tc>
          <w:tcPr>
            <w:tcW w:w="2173" w:type="dxa"/>
            <w:shd w:val="clear" w:color="auto" w:fill="auto"/>
          </w:tcPr>
          <w:p w14:paraId="0F82E0BC" w14:textId="3FFFF8DA" w:rsidR="00DB3813" w:rsidRPr="00A14C8B" w:rsidRDefault="00834179" w:rsidP="00424150">
            <w:pPr>
              <w:ind w:left="142"/>
              <w:jc w:val="right"/>
              <w:rPr>
                <w:bCs/>
                <w:lang w:val="en-US"/>
              </w:rPr>
            </w:pPr>
            <w:r>
              <w:rPr>
                <w:bCs/>
                <w:lang w:val="en-US"/>
              </w:rPr>
              <w:t>8.662</w:t>
            </w:r>
          </w:p>
        </w:tc>
      </w:tr>
      <w:tr w:rsidR="00DB3813" w:rsidRPr="00A14C8B" w14:paraId="0C8F0DE4" w14:textId="77777777" w:rsidTr="00424150">
        <w:tc>
          <w:tcPr>
            <w:tcW w:w="4122" w:type="dxa"/>
            <w:shd w:val="clear" w:color="auto" w:fill="auto"/>
          </w:tcPr>
          <w:p w14:paraId="767349C8" w14:textId="77777777" w:rsidR="00DB3813" w:rsidRPr="00A14C8B" w:rsidRDefault="00DB3813" w:rsidP="00424150">
            <w:pPr>
              <w:ind w:left="142"/>
              <w:rPr>
                <w:bCs/>
                <w:lang w:val="en-US"/>
              </w:rPr>
            </w:pPr>
            <w:r>
              <w:rPr>
                <w:bCs/>
                <w:lang w:val="en-US"/>
              </w:rPr>
              <w:t>Performance</w:t>
            </w:r>
            <w:r w:rsidRPr="00A14C8B">
              <w:rPr>
                <w:bCs/>
                <w:lang w:val="en-US"/>
              </w:rPr>
              <w:t xml:space="preserve"> Materials</w:t>
            </w:r>
          </w:p>
        </w:tc>
        <w:tc>
          <w:tcPr>
            <w:tcW w:w="2172" w:type="dxa"/>
            <w:shd w:val="clear" w:color="auto" w:fill="auto"/>
          </w:tcPr>
          <w:p w14:paraId="3FE26F19" w14:textId="77777777" w:rsidR="00DB3813" w:rsidRPr="00A14C8B" w:rsidRDefault="0003024A" w:rsidP="00424150">
            <w:pPr>
              <w:ind w:left="142"/>
              <w:jc w:val="right"/>
              <w:rPr>
                <w:bCs/>
                <w:lang w:val="en-US"/>
              </w:rPr>
            </w:pPr>
            <w:r>
              <w:rPr>
                <w:bCs/>
                <w:lang w:val="en-US"/>
              </w:rPr>
              <w:t>4.384</w:t>
            </w:r>
          </w:p>
        </w:tc>
        <w:tc>
          <w:tcPr>
            <w:tcW w:w="2173" w:type="dxa"/>
            <w:shd w:val="clear" w:color="auto" w:fill="auto"/>
          </w:tcPr>
          <w:p w14:paraId="6CCCEC38" w14:textId="77E5E207" w:rsidR="00DB3813" w:rsidRPr="00A14C8B" w:rsidRDefault="00834179" w:rsidP="00424150">
            <w:pPr>
              <w:ind w:left="142"/>
              <w:jc w:val="right"/>
              <w:rPr>
                <w:bCs/>
                <w:lang w:val="en-US"/>
              </w:rPr>
            </w:pPr>
            <w:r>
              <w:rPr>
                <w:bCs/>
                <w:lang w:val="en-US"/>
              </w:rPr>
              <w:t>4.380</w:t>
            </w:r>
          </w:p>
        </w:tc>
      </w:tr>
      <w:tr w:rsidR="00DB3813" w:rsidRPr="00A14C8B" w14:paraId="02ED5A86" w14:textId="77777777" w:rsidTr="00424150">
        <w:tc>
          <w:tcPr>
            <w:tcW w:w="4122" w:type="dxa"/>
            <w:shd w:val="clear" w:color="auto" w:fill="auto"/>
          </w:tcPr>
          <w:p w14:paraId="6714ACE2" w14:textId="77777777" w:rsidR="00DB3813" w:rsidRPr="00A14C8B" w:rsidRDefault="00DB3813" w:rsidP="00424150">
            <w:pPr>
              <w:ind w:left="142"/>
              <w:rPr>
                <w:bCs/>
                <w:lang w:val="en-US"/>
              </w:rPr>
            </w:pPr>
            <w:r w:rsidRPr="00A14C8B">
              <w:rPr>
                <w:bCs/>
                <w:lang w:val="en-US"/>
              </w:rPr>
              <w:t>Services</w:t>
            </w:r>
          </w:p>
        </w:tc>
        <w:tc>
          <w:tcPr>
            <w:tcW w:w="2172" w:type="dxa"/>
            <w:shd w:val="clear" w:color="auto" w:fill="auto"/>
          </w:tcPr>
          <w:p w14:paraId="1F3937C4" w14:textId="77777777" w:rsidR="00DB3813" w:rsidRPr="00A14C8B" w:rsidRDefault="0003024A" w:rsidP="00424150">
            <w:pPr>
              <w:ind w:left="142"/>
              <w:jc w:val="right"/>
              <w:rPr>
                <w:bCs/>
                <w:lang w:val="en-US"/>
              </w:rPr>
            </w:pPr>
            <w:r>
              <w:rPr>
                <w:bCs/>
                <w:lang w:val="en-US"/>
              </w:rPr>
              <w:t>12.710</w:t>
            </w:r>
          </w:p>
        </w:tc>
        <w:tc>
          <w:tcPr>
            <w:tcW w:w="2173" w:type="dxa"/>
            <w:shd w:val="clear" w:color="auto" w:fill="auto"/>
          </w:tcPr>
          <w:p w14:paraId="711D0FA0" w14:textId="3B89E506" w:rsidR="00DB3813" w:rsidRPr="00A14C8B" w:rsidRDefault="00834179" w:rsidP="00424150">
            <w:pPr>
              <w:ind w:left="142"/>
              <w:jc w:val="right"/>
              <w:rPr>
                <w:bCs/>
                <w:lang w:val="en-US"/>
              </w:rPr>
            </w:pPr>
            <w:r>
              <w:rPr>
                <w:bCs/>
                <w:lang w:val="en-US"/>
              </w:rPr>
              <w:t>12.668</w:t>
            </w:r>
          </w:p>
        </w:tc>
      </w:tr>
      <w:tr w:rsidR="00DB3813" w:rsidRPr="00B13E9A" w14:paraId="4366AAF5" w14:textId="77777777" w:rsidTr="00424150">
        <w:tc>
          <w:tcPr>
            <w:tcW w:w="4122" w:type="dxa"/>
            <w:shd w:val="clear" w:color="auto" w:fill="auto"/>
          </w:tcPr>
          <w:p w14:paraId="66B681A5" w14:textId="77777777" w:rsidR="00DB3813" w:rsidRPr="00A14C8B" w:rsidRDefault="00DB3813" w:rsidP="00424150">
            <w:pPr>
              <w:ind w:left="142"/>
              <w:rPr>
                <w:bCs/>
                <w:lang w:val="en-US"/>
              </w:rPr>
            </w:pPr>
            <w:proofErr w:type="spellStart"/>
            <w:r w:rsidRPr="00A14C8B">
              <w:rPr>
                <w:bCs/>
                <w:lang w:val="en-US"/>
              </w:rPr>
              <w:t>Sonstige</w:t>
            </w:r>
            <w:proofErr w:type="spellEnd"/>
            <w:r w:rsidRPr="00A14C8B">
              <w:rPr>
                <w:bCs/>
                <w:lang w:val="en-US"/>
              </w:rPr>
              <w:t xml:space="preserve"> </w:t>
            </w:r>
            <w:proofErr w:type="spellStart"/>
            <w:r w:rsidRPr="00A14C8B">
              <w:rPr>
                <w:bCs/>
                <w:lang w:val="en-US"/>
              </w:rPr>
              <w:t>Aktivitäten</w:t>
            </w:r>
            <w:proofErr w:type="spellEnd"/>
          </w:p>
        </w:tc>
        <w:tc>
          <w:tcPr>
            <w:tcW w:w="2172" w:type="dxa"/>
            <w:shd w:val="clear" w:color="auto" w:fill="auto"/>
          </w:tcPr>
          <w:p w14:paraId="02989547" w14:textId="77777777" w:rsidR="00DB3813" w:rsidRPr="00A14C8B" w:rsidRDefault="00D27192" w:rsidP="00424150">
            <w:pPr>
              <w:ind w:left="142"/>
              <w:jc w:val="right"/>
              <w:rPr>
                <w:bCs/>
                <w:lang w:val="en-US"/>
              </w:rPr>
            </w:pPr>
            <w:r>
              <w:rPr>
                <w:bCs/>
                <w:lang w:val="en-US"/>
              </w:rPr>
              <w:t>507</w:t>
            </w:r>
          </w:p>
        </w:tc>
        <w:tc>
          <w:tcPr>
            <w:tcW w:w="2173" w:type="dxa"/>
            <w:shd w:val="clear" w:color="auto" w:fill="auto"/>
          </w:tcPr>
          <w:p w14:paraId="32A3725A" w14:textId="77777777" w:rsidR="00DB3813" w:rsidRPr="00B13E9A" w:rsidRDefault="00D27192" w:rsidP="00424150">
            <w:pPr>
              <w:ind w:left="142"/>
              <w:jc w:val="right"/>
              <w:rPr>
                <w:bCs/>
              </w:rPr>
            </w:pPr>
            <w:r>
              <w:rPr>
                <w:bCs/>
              </w:rPr>
              <w:t>701</w:t>
            </w:r>
          </w:p>
        </w:tc>
      </w:tr>
      <w:tr w:rsidR="00DB3813" w:rsidRPr="00BE5DBC" w14:paraId="63E88708" w14:textId="77777777" w:rsidTr="00424150">
        <w:tc>
          <w:tcPr>
            <w:tcW w:w="4122" w:type="dxa"/>
            <w:shd w:val="clear" w:color="auto" w:fill="auto"/>
          </w:tcPr>
          <w:p w14:paraId="27603ABD" w14:textId="77777777" w:rsidR="00DB3813" w:rsidRPr="00BE5DBC" w:rsidRDefault="00DB3813" w:rsidP="00424150">
            <w:pPr>
              <w:ind w:left="142"/>
              <w:rPr>
                <w:b/>
                <w:bCs/>
              </w:rPr>
            </w:pPr>
            <w:r>
              <w:rPr>
                <w:b/>
                <w:bCs/>
              </w:rPr>
              <w:t>Konzern</w:t>
            </w:r>
          </w:p>
        </w:tc>
        <w:tc>
          <w:tcPr>
            <w:tcW w:w="2172" w:type="dxa"/>
            <w:shd w:val="clear" w:color="auto" w:fill="auto"/>
          </w:tcPr>
          <w:p w14:paraId="31BA21F4" w14:textId="77777777" w:rsidR="00DB3813" w:rsidRPr="00BE5DBC" w:rsidRDefault="00D27192" w:rsidP="00424150">
            <w:pPr>
              <w:ind w:left="142"/>
              <w:jc w:val="right"/>
              <w:rPr>
                <w:b/>
                <w:bCs/>
              </w:rPr>
            </w:pPr>
            <w:r>
              <w:rPr>
                <w:b/>
                <w:bCs/>
              </w:rPr>
              <w:t>33.600</w:t>
            </w:r>
          </w:p>
        </w:tc>
        <w:tc>
          <w:tcPr>
            <w:tcW w:w="2173" w:type="dxa"/>
            <w:shd w:val="clear" w:color="auto" w:fill="auto"/>
          </w:tcPr>
          <w:p w14:paraId="4CB55772" w14:textId="77777777" w:rsidR="00DB3813" w:rsidRPr="00BE5DBC" w:rsidRDefault="00D27192" w:rsidP="00424150">
            <w:pPr>
              <w:ind w:left="142"/>
              <w:jc w:val="right"/>
              <w:rPr>
                <w:b/>
                <w:bCs/>
              </w:rPr>
            </w:pPr>
            <w:r>
              <w:rPr>
                <w:b/>
                <w:bCs/>
              </w:rPr>
              <w:t>33.576</w:t>
            </w:r>
          </w:p>
        </w:tc>
      </w:tr>
    </w:tbl>
    <w:p w14:paraId="6A9116D8" w14:textId="77777777" w:rsidR="00DB3813" w:rsidRPr="00B13E9A" w:rsidRDefault="00DB3813" w:rsidP="00D719C7">
      <w:pPr>
        <w:ind w:left="0"/>
        <w:rPr>
          <w:bCs/>
          <w:lang w:eastAsia="en-US"/>
        </w:rPr>
      </w:pPr>
    </w:p>
    <w:p w14:paraId="5B264D9C" w14:textId="77777777" w:rsidR="00DB3813" w:rsidRDefault="00DB3813" w:rsidP="00DB3813"/>
    <w:p w14:paraId="677C3E26" w14:textId="77777777" w:rsidR="006E71B7" w:rsidRDefault="006E71B7" w:rsidP="002A65FE">
      <w:pPr>
        <w:spacing w:line="300" w:lineRule="atLeast"/>
        <w:ind w:left="0"/>
        <w:rPr>
          <w:rFonts w:cs="Lucida Sans Unicode"/>
          <w:sz w:val="20"/>
          <w:szCs w:val="20"/>
        </w:rPr>
      </w:pPr>
    </w:p>
    <w:p w14:paraId="246927E6" w14:textId="77777777" w:rsidR="00424150" w:rsidRDefault="00424150">
      <w:pPr>
        <w:spacing w:line="240" w:lineRule="auto"/>
        <w:ind w:left="0" w:right="0"/>
        <w:rPr>
          <w:rFonts w:cs="Lucida Sans Unicode"/>
          <w:b/>
          <w:bCs/>
          <w:szCs w:val="18"/>
        </w:rPr>
      </w:pPr>
      <w:r>
        <w:rPr>
          <w:rFonts w:cs="Lucida Sans Unicode"/>
          <w:b/>
          <w:bCs/>
          <w:szCs w:val="18"/>
        </w:rPr>
        <w:br w:type="page"/>
      </w:r>
    </w:p>
    <w:p w14:paraId="712C7233" w14:textId="77777777" w:rsidR="00D719C7" w:rsidRDefault="00D719C7" w:rsidP="002839C4">
      <w:pPr>
        <w:autoSpaceDE w:val="0"/>
        <w:autoSpaceDN w:val="0"/>
        <w:adjustRightInd w:val="0"/>
        <w:spacing w:line="220" w:lineRule="exact"/>
        <w:ind w:right="9"/>
        <w:rPr>
          <w:rFonts w:cs="Lucida Sans Unicode"/>
          <w:b/>
          <w:bCs/>
          <w:szCs w:val="18"/>
        </w:rPr>
      </w:pPr>
      <w:r>
        <w:rPr>
          <w:rFonts w:cs="Lucida Sans Unicode"/>
          <w:b/>
          <w:bCs/>
          <w:szCs w:val="18"/>
        </w:rPr>
        <w:lastRenderedPageBreak/>
        <w:t xml:space="preserve">Informationen zum Konzern </w:t>
      </w:r>
    </w:p>
    <w:p w14:paraId="512611F3" w14:textId="77777777" w:rsidR="00D719C7" w:rsidRPr="009D734A" w:rsidRDefault="00D719C7" w:rsidP="002839C4">
      <w:pPr>
        <w:autoSpaceDE w:val="0"/>
        <w:autoSpaceDN w:val="0"/>
        <w:adjustRightInd w:val="0"/>
        <w:spacing w:line="220" w:lineRule="exact"/>
        <w:ind w:right="9"/>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3C8B8832" w14:textId="77777777" w:rsidR="00D719C7" w:rsidRDefault="00D719C7" w:rsidP="002839C4">
      <w:pPr>
        <w:autoSpaceDE w:val="0"/>
        <w:autoSpaceDN w:val="0"/>
        <w:adjustRightInd w:val="0"/>
        <w:spacing w:line="220" w:lineRule="exact"/>
        <w:ind w:right="9"/>
        <w:rPr>
          <w:rFonts w:cs="Lucida Sans Unicode"/>
          <w:position w:val="0"/>
          <w:szCs w:val="18"/>
        </w:rPr>
      </w:pPr>
    </w:p>
    <w:p w14:paraId="4FF4B5BD" w14:textId="77777777" w:rsidR="00D719C7" w:rsidRDefault="00D719C7" w:rsidP="002839C4">
      <w:pPr>
        <w:autoSpaceDE w:val="0"/>
        <w:autoSpaceDN w:val="0"/>
        <w:adjustRightInd w:val="0"/>
        <w:spacing w:line="220" w:lineRule="exact"/>
        <w:ind w:right="9"/>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79ECE9C0" w14:textId="77777777" w:rsidR="00D719C7" w:rsidRDefault="00D719C7" w:rsidP="002839C4">
      <w:pPr>
        <w:autoSpaceDE w:val="0"/>
        <w:autoSpaceDN w:val="0"/>
        <w:adjustRightInd w:val="0"/>
        <w:spacing w:line="220" w:lineRule="exact"/>
        <w:ind w:right="9"/>
        <w:rPr>
          <w:rFonts w:cs="Lucida Sans Unicode"/>
          <w:b/>
          <w:position w:val="0"/>
          <w:szCs w:val="18"/>
        </w:rPr>
      </w:pPr>
    </w:p>
    <w:p w14:paraId="10D05FA4" w14:textId="77777777" w:rsidR="00D719C7" w:rsidRDefault="00D719C7" w:rsidP="002839C4">
      <w:pPr>
        <w:autoSpaceDE w:val="0"/>
        <w:autoSpaceDN w:val="0"/>
        <w:adjustRightInd w:val="0"/>
        <w:spacing w:line="220" w:lineRule="exact"/>
        <w:ind w:right="9"/>
        <w:rPr>
          <w:rFonts w:cs="Lucida Sans Unicode"/>
          <w:b/>
          <w:bCs/>
          <w:position w:val="0"/>
          <w:szCs w:val="18"/>
        </w:rPr>
      </w:pPr>
    </w:p>
    <w:p w14:paraId="24F1D7D8" w14:textId="77777777" w:rsidR="00D719C7" w:rsidRPr="001B3A8C" w:rsidRDefault="00D719C7" w:rsidP="002839C4">
      <w:pPr>
        <w:autoSpaceDE w:val="0"/>
        <w:autoSpaceDN w:val="0"/>
        <w:adjustRightInd w:val="0"/>
        <w:spacing w:line="220" w:lineRule="exact"/>
        <w:ind w:right="9"/>
        <w:rPr>
          <w:rFonts w:cs="Lucida Sans Unicode"/>
          <w:b/>
          <w:bCs/>
          <w:position w:val="0"/>
          <w:szCs w:val="18"/>
        </w:rPr>
      </w:pPr>
      <w:r w:rsidRPr="001B3A8C">
        <w:rPr>
          <w:rFonts w:cs="Lucida Sans Unicode"/>
          <w:b/>
          <w:bCs/>
          <w:position w:val="0"/>
          <w:szCs w:val="18"/>
        </w:rPr>
        <w:t>Rechtlicher Hinweis</w:t>
      </w:r>
    </w:p>
    <w:p w14:paraId="6CF234F6" w14:textId="77777777" w:rsidR="00BC2C98" w:rsidRPr="001B3A8C" w:rsidRDefault="00D719C7" w:rsidP="002839C4">
      <w:pPr>
        <w:autoSpaceDE w:val="0"/>
        <w:autoSpaceDN w:val="0"/>
        <w:adjustRightInd w:val="0"/>
        <w:spacing w:line="220" w:lineRule="exact"/>
        <w:ind w:right="9"/>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00BC2C98" w:rsidRPr="001B3A8C">
        <w:rPr>
          <w:rFonts w:cs="Lucida Sans Unicode"/>
          <w:bCs/>
          <w:position w:val="0"/>
          <w:szCs w:val="18"/>
        </w:rPr>
        <w:t>.</w:t>
      </w:r>
    </w:p>
    <w:p w14:paraId="22E6A3C0" w14:textId="77777777" w:rsidR="009D734A" w:rsidRDefault="009D734A" w:rsidP="009D734A">
      <w:pPr>
        <w:autoSpaceDE w:val="0"/>
        <w:autoSpaceDN w:val="0"/>
        <w:adjustRightInd w:val="0"/>
        <w:spacing w:line="220" w:lineRule="exact"/>
        <w:rPr>
          <w:rFonts w:cs="Lucida Sans Unicode"/>
          <w:szCs w:val="18"/>
        </w:rPr>
      </w:pPr>
    </w:p>
    <w:sectPr w:rsidR="009D734A" w:rsidSect="00407B10">
      <w:headerReference w:type="even" r:id="rId12"/>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9D9B4" w14:textId="77777777" w:rsidR="00DC4166" w:rsidRDefault="00DC4166">
      <w:r>
        <w:separator/>
      </w:r>
    </w:p>
    <w:p w14:paraId="09218DB5" w14:textId="77777777" w:rsidR="00DC4166" w:rsidRDefault="00DC4166"/>
  </w:endnote>
  <w:endnote w:type="continuationSeparator" w:id="0">
    <w:p w14:paraId="081BC4E8" w14:textId="77777777" w:rsidR="00DC4166" w:rsidRDefault="00DC4166">
      <w:r>
        <w:continuationSeparator/>
      </w:r>
    </w:p>
    <w:p w14:paraId="2C5DB4FA" w14:textId="77777777" w:rsidR="00DC4166" w:rsidRDefault="00DC4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3F991" w14:textId="77777777" w:rsidR="00D3248A" w:rsidRDefault="00D3248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A597A">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A597A">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4E542" w14:textId="77777777" w:rsidR="00D3248A" w:rsidRDefault="00D3248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A597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A597A">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D7445" w14:textId="77777777" w:rsidR="00DC4166" w:rsidRDefault="00DC4166">
      <w:r>
        <w:separator/>
      </w:r>
    </w:p>
    <w:p w14:paraId="5AE23356" w14:textId="77777777" w:rsidR="00DC4166" w:rsidRDefault="00DC4166"/>
  </w:footnote>
  <w:footnote w:type="continuationSeparator" w:id="0">
    <w:p w14:paraId="30173004" w14:textId="77777777" w:rsidR="00DC4166" w:rsidRDefault="00DC4166">
      <w:r>
        <w:continuationSeparator/>
      </w:r>
    </w:p>
    <w:p w14:paraId="0499C94C" w14:textId="77777777" w:rsidR="00DC4166" w:rsidRDefault="00DC41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182BF" w14:textId="77777777" w:rsidR="00D3248A" w:rsidRDefault="00D3248A">
    <w:pPr>
      <w:pStyle w:val="Kopfzeile"/>
      <w:ind w:left="0"/>
    </w:pPr>
  </w:p>
  <w:p w14:paraId="20C1AF55" w14:textId="77777777" w:rsidR="00D3248A" w:rsidRDefault="00D3248A">
    <w:pPr>
      <w:pStyle w:val="Kopfzeile"/>
      <w:ind w:left="0"/>
    </w:pPr>
  </w:p>
  <w:p w14:paraId="41701078" w14:textId="77777777" w:rsidR="00D3248A" w:rsidRDefault="00D3248A">
    <w:pPr>
      <w:pStyle w:val="Kopfzeile"/>
      <w:ind w:left="0"/>
    </w:pPr>
  </w:p>
  <w:p w14:paraId="0334951A" w14:textId="77777777" w:rsidR="00D3248A" w:rsidRDefault="00D3248A">
    <w:pPr>
      <w:pStyle w:val="Kopfzeile"/>
      <w:ind w:left="0"/>
    </w:pPr>
  </w:p>
  <w:p w14:paraId="1348C131" w14:textId="77777777" w:rsidR="00D3248A" w:rsidRPr="00067DAF" w:rsidRDefault="00D3248A" w:rsidP="00067DAF">
    <w:pPr>
      <w:pStyle w:val="Kopfzeile"/>
      <w:ind w:left="0" w:right="-3"/>
    </w:pPr>
    <w:r>
      <w:rPr>
        <w:noProof/>
      </w:rPr>
      <w:drawing>
        <wp:anchor distT="0" distB="0" distL="114300" distR="114300" simplePos="0" relativeHeight="251659264" behindDoc="0" locked="0" layoutInCell="1" allowOverlap="1" wp14:anchorId="6425E82D" wp14:editId="1D48E2E3">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034DE75" wp14:editId="5746E6A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223EF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4A399" w14:textId="77777777" w:rsidR="00D3248A" w:rsidRDefault="00D3248A">
    <w:pPr>
      <w:pStyle w:val="Kopfzeile"/>
      <w:ind w:left="0"/>
    </w:pPr>
  </w:p>
  <w:p w14:paraId="4DE4ECAA" w14:textId="77777777" w:rsidR="00D3248A" w:rsidRDefault="00D3248A">
    <w:pPr>
      <w:pStyle w:val="Kopfzeile"/>
      <w:ind w:left="0"/>
    </w:pPr>
  </w:p>
  <w:p w14:paraId="6258058E" w14:textId="77777777" w:rsidR="00D3248A" w:rsidRDefault="00D3248A">
    <w:pPr>
      <w:pStyle w:val="Kopfzeile"/>
      <w:ind w:left="0"/>
      <w:rPr>
        <w:u w:val="single"/>
      </w:rPr>
    </w:pPr>
  </w:p>
  <w:p w14:paraId="65DA0395" w14:textId="77777777" w:rsidR="000314E8" w:rsidRDefault="000314E8">
    <w:pPr>
      <w:pStyle w:val="Kopfzeile"/>
      <w:ind w:left="0"/>
      <w:rPr>
        <w:u w:val="single"/>
      </w:rPr>
    </w:pPr>
  </w:p>
  <w:p w14:paraId="77C853A7" w14:textId="77777777" w:rsidR="000314E8" w:rsidRDefault="000314E8">
    <w:pPr>
      <w:pStyle w:val="Kopfzeile"/>
      <w:ind w:left="0"/>
      <w:rPr>
        <w:u w:val="single"/>
      </w:rPr>
    </w:pPr>
  </w:p>
  <w:p w14:paraId="5B3E166B" w14:textId="77777777" w:rsidR="0039125D" w:rsidRDefault="0039125D" w:rsidP="000314E8">
    <w:pPr>
      <w:spacing w:line="300" w:lineRule="exact"/>
      <w:ind w:left="0"/>
      <w:rPr>
        <w:b/>
        <w:szCs w:val="18"/>
        <w:u w:val="single"/>
      </w:rPr>
    </w:pPr>
  </w:p>
  <w:p w14:paraId="77EEDE4F" w14:textId="77777777" w:rsidR="0039125D" w:rsidRDefault="0039125D" w:rsidP="000314E8">
    <w:pPr>
      <w:spacing w:line="300" w:lineRule="exact"/>
      <w:ind w:left="0"/>
      <w:rPr>
        <w:b/>
        <w:szCs w:val="18"/>
        <w:u w:val="single"/>
      </w:rPr>
    </w:pPr>
  </w:p>
  <w:p w14:paraId="21D37BEE" w14:textId="77777777" w:rsidR="000314E8" w:rsidRPr="008224A5" w:rsidRDefault="000314E8" w:rsidP="002839C4">
    <w:pPr>
      <w:spacing w:line="300" w:lineRule="exact"/>
      <w:ind w:left="65"/>
      <w:rPr>
        <w:b/>
        <w:szCs w:val="18"/>
        <w:u w:val="single"/>
      </w:rPr>
    </w:pPr>
    <w:r w:rsidRPr="008224A5">
      <w:rPr>
        <w:b/>
        <w:szCs w:val="18"/>
        <w:u w:val="single"/>
      </w:rPr>
      <w:t xml:space="preserve">Sendesperrfrist: </w:t>
    </w:r>
    <w:r w:rsidR="00D719C7">
      <w:rPr>
        <w:b/>
        <w:szCs w:val="18"/>
        <w:u w:val="single"/>
      </w:rPr>
      <w:t>4</w:t>
    </w:r>
    <w:r w:rsidRPr="008224A5">
      <w:rPr>
        <w:b/>
        <w:szCs w:val="18"/>
        <w:u w:val="single"/>
      </w:rPr>
      <w:t>. Mai 201</w:t>
    </w:r>
    <w:r w:rsidR="00D719C7">
      <w:rPr>
        <w:b/>
        <w:szCs w:val="18"/>
        <w:u w:val="single"/>
      </w:rPr>
      <w:t>6</w:t>
    </w:r>
    <w:r w:rsidRPr="008224A5">
      <w:rPr>
        <w:b/>
        <w:szCs w:val="18"/>
        <w:u w:val="single"/>
      </w:rPr>
      <w:t>, 7:</w:t>
    </w:r>
    <w:r>
      <w:rPr>
        <w:b/>
        <w:szCs w:val="18"/>
        <w:u w:val="single"/>
      </w:rPr>
      <w:t>00</w:t>
    </w:r>
    <w:r w:rsidRPr="008224A5">
      <w:rPr>
        <w:b/>
        <w:szCs w:val="18"/>
        <w:u w:val="single"/>
      </w:rPr>
      <w:t xml:space="preserve"> Uhr</w:t>
    </w:r>
  </w:p>
  <w:p w14:paraId="49461D6C" w14:textId="77777777" w:rsidR="00D3248A" w:rsidRPr="009D5463" w:rsidRDefault="00D3248A">
    <w:pPr>
      <w:pStyle w:val="Kopfzeile"/>
      <w:ind w:left="0"/>
      <w:rPr>
        <w:u w:val="single"/>
      </w:rPr>
    </w:pPr>
    <w:r w:rsidRPr="009D5463">
      <w:rPr>
        <w:noProof/>
        <w:u w:val="single"/>
      </w:rPr>
      <w:drawing>
        <wp:anchor distT="0" distB="0" distL="114300" distR="114300" simplePos="0" relativeHeight="251658240" behindDoc="0" locked="0" layoutInCell="1" allowOverlap="1" wp14:anchorId="560A63D6" wp14:editId="67A4EF2B">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rPr>
      <mc:AlternateContent>
        <mc:Choice Requires="wpg">
          <w:drawing>
            <wp:anchor distT="0" distB="0" distL="114300" distR="114300" simplePos="0" relativeHeight="251656192" behindDoc="1" locked="0" layoutInCell="1" allowOverlap="1" wp14:anchorId="3D782A13" wp14:editId="45F2F27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6F5484"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283D0" w14:textId="77777777" w:rsidR="00D3248A" w:rsidRDefault="00D324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AF4FB2"/>
    <w:multiLevelType w:val="hybridMultilevel"/>
    <w:tmpl w:val="2A542D8C"/>
    <w:lvl w:ilvl="0" w:tplc="A31861E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02353CE"/>
    <w:multiLevelType w:val="hybridMultilevel"/>
    <w:tmpl w:val="7E20087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8336E4F"/>
    <w:multiLevelType w:val="hybridMultilevel"/>
    <w:tmpl w:val="33B617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FB671D"/>
    <w:multiLevelType w:val="hybridMultilevel"/>
    <w:tmpl w:val="2C38AE5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8" w15:restartNumberingAfterBreak="0">
    <w:nsid w:val="373242B9"/>
    <w:multiLevelType w:val="hybridMultilevel"/>
    <w:tmpl w:val="D18C851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611571"/>
    <w:multiLevelType w:val="hybridMultilevel"/>
    <w:tmpl w:val="DDB4C8EA"/>
    <w:lvl w:ilvl="0" w:tplc="65EEEE4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1"/>
  </w:num>
  <w:num w:numId="17">
    <w:abstractNumId w:val="17"/>
  </w:num>
  <w:num w:numId="18">
    <w:abstractNumId w:val="18"/>
  </w:num>
  <w:num w:numId="19">
    <w:abstractNumId w:val="13"/>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63"/>
    <w:rsid w:val="00024C7E"/>
    <w:rsid w:val="000258CE"/>
    <w:rsid w:val="000259C1"/>
    <w:rsid w:val="0003024A"/>
    <w:rsid w:val="000314E8"/>
    <w:rsid w:val="00040F13"/>
    <w:rsid w:val="000426A4"/>
    <w:rsid w:val="000429A4"/>
    <w:rsid w:val="00067DAF"/>
    <w:rsid w:val="000721B7"/>
    <w:rsid w:val="00072C2F"/>
    <w:rsid w:val="000A0B5A"/>
    <w:rsid w:val="000A0CA9"/>
    <w:rsid w:val="000A227A"/>
    <w:rsid w:val="000B1542"/>
    <w:rsid w:val="000C6B2F"/>
    <w:rsid w:val="000D4BBD"/>
    <w:rsid w:val="00101D94"/>
    <w:rsid w:val="00101FF2"/>
    <w:rsid w:val="00114650"/>
    <w:rsid w:val="00132FB1"/>
    <w:rsid w:val="00141D6E"/>
    <w:rsid w:val="001457FC"/>
    <w:rsid w:val="001477FE"/>
    <w:rsid w:val="00156471"/>
    <w:rsid w:val="00157016"/>
    <w:rsid w:val="00160533"/>
    <w:rsid w:val="00172FDB"/>
    <w:rsid w:val="00182A5C"/>
    <w:rsid w:val="00182FD6"/>
    <w:rsid w:val="00183DCE"/>
    <w:rsid w:val="00190903"/>
    <w:rsid w:val="0019529A"/>
    <w:rsid w:val="00195DC9"/>
    <w:rsid w:val="0019749B"/>
    <w:rsid w:val="001A246B"/>
    <w:rsid w:val="001C148C"/>
    <w:rsid w:val="001D2C68"/>
    <w:rsid w:val="001E4C5F"/>
    <w:rsid w:val="001F09D2"/>
    <w:rsid w:val="001F6653"/>
    <w:rsid w:val="00204CFD"/>
    <w:rsid w:val="00210AE9"/>
    <w:rsid w:val="002166B6"/>
    <w:rsid w:val="0021703D"/>
    <w:rsid w:val="002217E4"/>
    <w:rsid w:val="0023254A"/>
    <w:rsid w:val="00264610"/>
    <w:rsid w:val="002717DA"/>
    <w:rsid w:val="00276356"/>
    <w:rsid w:val="0027719B"/>
    <w:rsid w:val="002839C4"/>
    <w:rsid w:val="00296F5A"/>
    <w:rsid w:val="002A492F"/>
    <w:rsid w:val="002A551A"/>
    <w:rsid w:val="002A597A"/>
    <w:rsid w:val="002A65FE"/>
    <w:rsid w:val="002A6E5D"/>
    <w:rsid w:val="002B4861"/>
    <w:rsid w:val="002D2281"/>
    <w:rsid w:val="002E2066"/>
    <w:rsid w:val="002F11F9"/>
    <w:rsid w:val="002F36A2"/>
    <w:rsid w:val="002F4D13"/>
    <w:rsid w:val="002F5039"/>
    <w:rsid w:val="00307B51"/>
    <w:rsid w:val="0032445B"/>
    <w:rsid w:val="003274B7"/>
    <w:rsid w:val="00333C07"/>
    <w:rsid w:val="00341896"/>
    <w:rsid w:val="0035496E"/>
    <w:rsid w:val="00355BDF"/>
    <w:rsid w:val="0035637E"/>
    <w:rsid w:val="00356881"/>
    <w:rsid w:val="00357B72"/>
    <w:rsid w:val="00367767"/>
    <w:rsid w:val="003753DA"/>
    <w:rsid w:val="0039125D"/>
    <w:rsid w:val="00392875"/>
    <w:rsid w:val="00392FBF"/>
    <w:rsid w:val="0039323B"/>
    <w:rsid w:val="00395AF0"/>
    <w:rsid w:val="003B04AA"/>
    <w:rsid w:val="003C2881"/>
    <w:rsid w:val="003C6BED"/>
    <w:rsid w:val="003D0294"/>
    <w:rsid w:val="003E087B"/>
    <w:rsid w:val="003E1B59"/>
    <w:rsid w:val="003E628A"/>
    <w:rsid w:val="003F1A97"/>
    <w:rsid w:val="003F2209"/>
    <w:rsid w:val="004046AF"/>
    <w:rsid w:val="00407B10"/>
    <w:rsid w:val="00424150"/>
    <w:rsid w:val="00434649"/>
    <w:rsid w:val="00444979"/>
    <w:rsid w:val="00450ED6"/>
    <w:rsid w:val="00461DA4"/>
    <w:rsid w:val="00480E66"/>
    <w:rsid w:val="00481E50"/>
    <w:rsid w:val="00487E0B"/>
    <w:rsid w:val="004A269A"/>
    <w:rsid w:val="004B0F3C"/>
    <w:rsid w:val="004E6F2F"/>
    <w:rsid w:val="004F69FA"/>
    <w:rsid w:val="005047EE"/>
    <w:rsid w:val="00510B78"/>
    <w:rsid w:val="00512B71"/>
    <w:rsid w:val="00524815"/>
    <w:rsid w:val="005451C4"/>
    <w:rsid w:val="0055005E"/>
    <w:rsid w:val="00551DA9"/>
    <w:rsid w:val="00554955"/>
    <w:rsid w:val="00564077"/>
    <w:rsid w:val="0057042A"/>
    <w:rsid w:val="005844AC"/>
    <w:rsid w:val="0058629B"/>
    <w:rsid w:val="005866C5"/>
    <w:rsid w:val="005870A2"/>
    <w:rsid w:val="005879A5"/>
    <w:rsid w:val="00590E93"/>
    <w:rsid w:val="0059163F"/>
    <w:rsid w:val="00594B74"/>
    <w:rsid w:val="005D543A"/>
    <w:rsid w:val="005E0237"/>
    <w:rsid w:val="005E331E"/>
    <w:rsid w:val="005F066A"/>
    <w:rsid w:val="005F4E6A"/>
    <w:rsid w:val="00617B2D"/>
    <w:rsid w:val="0062241E"/>
    <w:rsid w:val="006279B2"/>
    <w:rsid w:val="00634C2E"/>
    <w:rsid w:val="00643DA2"/>
    <w:rsid w:val="00644B25"/>
    <w:rsid w:val="0064778C"/>
    <w:rsid w:val="00653192"/>
    <w:rsid w:val="0067243F"/>
    <w:rsid w:val="006769E9"/>
    <w:rsid w:val="006A285B"/>
    <w:rsid w:val="006A4BD0"/>
    <w:rsid w:val="006B08C8"/>
    <w:rsid w:val="006B3C32"/>
    <w:rsid w:val="006B5309"/>
    <w:rsid w:val="006C038D"/>
    <w:rsid w:val="006C5A48"/>
    <w:rsid w:val="006E6BA0"/>
    <w:rsid w:val="006E71B7"/>
    <w:rsid w:val="006E777E"/>
    <w:rsid w:val="006F05E7"/>
    <w:rsid w:val="006F4365"/>
    <w:rsid w:val="006F450F"/>
    <w:rsid w:val="006F6B94"/>
    <w:rsid w:val="007049A3"/>
    <w:rsid w:val="00711A16"/>
    <w:rsid w:val="0072268A"/>
    <w:rsid w:val="00724DCF"/>
    <w:rsid w:val="00731DA2"/>
    <w:rsid w:val="0073706E"/>
    <w:rsid w:val="0074082E"/>
    <w:rsid w:val="0074526C"/>
    <w:rsid w:val="00751151"/>
    <w:rsid w:val="00752B24"/>
    <w:rsid w:val="0076024A"/>
    <w:rsid w:val="00760D28"/>
    <w:rsid w:val="00762FA7"/>
    <w:rsid w:val="00775282"/>
    <w:rsid w:val="00780E5D"/>
    <w:rsid w:val="007936D9"/>
    <w:rsid w:val="007A4497"/>
    <w:rsid w:val="007D60EF"/>
    <w:rsid w:val="007F22BB"/>
    <w:rsid w:val="008010AC"/>
    <w:rsid w:val="008017B0"/>
    <w:rsid w:val="00801C4B"/>
    <w:rsid w:val="008136C4"/>
    <w:rsid w:val="0082030B"/>
    <w:rsid w:val="0082195C"/>
    <w:rsid w:val="008224A5"/>
    <w:rsid w:val="00824C27"/>
    <w:rsid w:val="00834179"/>
    <w:rsid w:val="00856061"/>
    <w:rsid w:val="008577CD"/>
    <w:rsid w:val="00857BC6"/>
    <w:rsid w:val="00860375"/>
    <w:rsid w:val="00873A7F"/>
    <w:rsid w:val="008837BA"/>
    <w:rsid w:val="00885420"/>
    <w:rsid w:val="00891CE7"/>
    <w:rsid w:val="008965F9"/>
    <w:rsid w:val="008A3CCA"/>
    <w:rsid w:val="008C15B4"/>
    <w:rsid w:val="008C1921"/>
    <w:rsid w:val="008C56FB"/>
    <w:rsid w:val="008D7D13"/>
    <w:rsid w:val="008F14CF"/>
    <w:rsid w:val="008F2A70"/>
    <w:rsid w:val="008F6F80"/>
    <w:rsid w:val="00901ED4"/>
    <w:rsid w:val="009032CD"/>
    <w:rsid w:val="00917998"/>
    <w:rsid w:val="00923E7C"/>
    <w:rsid w:val="00927677"/>
    <w:rsid w:val="0093475A"/>
    <w:rsid w:val="00934D1A"/>
    <w:rsid w:val="009366C0"/>
    <w:rsid w:val="00945CC3"/>
    <w:rsid w:val="00946403"/>
    <w:rsid w:val="0094673B"/>
    <w:rsid w:val="0094792E"/>
    <w:rsid w:val="0095118D"/>
    <w:rsid w:val="00970935"/>
    <w:rsid w:val="00971F61"/>
    <w:rsid w:val="009742D3"/>
    <w:rsid w:val="00985458"/>
    <w:rsid w:val="0098570A"/>
    <w:rsid w:val="00994964"/>
    <w:rsid w:val="009A258F"/>
    <w:rsid w:val="009A5B4B"/>
    <w:rsid w:val="009A7FFC"/>
    <w:rsid w:val="009D5463"/>
    <w:rsid w:val="009D6A73"/>
    <w:rsid w:val="009D734A"/>
    <w:rsid w:val="009E687A"/>
    <w:rsid w:val="009F25C2"/>
    <w:rsid w:val="009F2D0D"/>
    <w:rsid w:val="009F2F8B"/>
    <w:rsid w:val="00A02C86"/>
    <w:rsid w:val="00A14C8B"/>
    <w:rsid w:val="00A200B5"/>
    <w:rsid w:val="00A2489F"/>
    <w:rsid w:val="00A24F51"/>
    <w:rsid w:val="00A306E3"/>
    <w:rsid w:val="00A362D1"/>
    <w:rsid w:val="00A6020C"/>
    <w:rsid w:val="00A64D60"/>
    <w:rsid w:val="00A72C03"/>
    <w:rsid w:val="00A827FD"/>
    <w:rsid w:val="00A910EA"/>
    <w:rsid w:val="00AD7F34"/>
    <w:rsid w:val="00AE79A1"/>
    <w:rsid w:val="00AF044A"/>
    <w:rsid w:val="00AF2A30"/>
    <w:rsid w:val="00AF3080"/>
    <w:rsid w:val="00AF5427"/>
    <w:rsid w:val="00B069C1"/>
    <w:rsid w:val="00B10502"/>
    <w:rsid w:val="00B10C25"/>
    <w:rsid w:val="00B14022"/>
    <w:rsid w:val="00B23C23"/>
    <w:rsid w:val="00B24731"/>
    <w:rsid w:val="00B25975"/>
    <w:rsid w:val="00B36286"/>
    <w:rsid w:val="00B36A42"/>
    <w:rsid w:val="00B520ED"/>
    <w:rsid w:val="00B6136F"/>
    <w:rsid w:val="00B6701A"/>
    <w:rsid w:val="00B70CCD"/>
    <w:rsid w:val="00B879F7"/>
    <w:rsid w:val="00BA5C2F"/>
    <w:rsid w:val="00BB0AD6"/>
    <w:rsid w:val="00BB566E"/>
    <w:rsid w:val="00BC2C98"/>
    <w:rsid w:val="00BC4B83"/>
    <w:rsid w:val="00BD2066"/>
    <w:rsid w:val="00BE5DBC"/>
    <w:rsid w:val="00BF4B27"/>
    <w:rsid w:val="00BF4D75"/>
    <w:rsid w:val="00BF5147"/>
    <w:rsid w:val="00C0752D"/>
    <w:rsid w:val="00C611B4"/>
    <w:rsid w:val="00C66326"/>
    <w:rsid w:val="00C70223"/>
    <w:rsid w:val="00C7371D"/>
    <w:rsid w:val="00C832EB"/>
    <w:rsid w:val="00C8549E"/>
    <w:rsid w:val="00C860AC"/>
    <w:rsid w:val="00C91913"/>
    <w:rsid w:val="00C97AD9"/>
    <w:rsid w:val="00CA1DE9"/>
    <w:rsid w:val="00CA77CF"/>
    <w:rsid w:val="00CB17B7"/>
    <w:rsid w:val="00CB4FEA"/>
    <w:rsid w:val="00CB7AB1"/>
    <w:rsid w:val="00CC58A0"/>
    <w:rsid w:val="00CC673A"/>
    <w:rsid w:val="00CC6A8F"/>
    <w:rsid w:val="00CD01FA"/>
    <w:rsid w:val="00CD7372"/>
    <w:rsid w:val="00CF0BA2"/>
    <w:rsid w:val="00CF1D1E"/>
    <w:rsid w:val="00D10647"/>
    <w:rsid w:val="00D25E3B"/>
    <w:rsid w:val="00D26C39"/>
    <w:rsid w:val="00D27192"/>
    <w:rsid w:val="00D30FE0"/>
    <w:rsid w:val="00D3248A"/>
    <w:rsid w:val="00D33188"/>
    <w:rsid w:val="00D454E0"/>
    <w:rsid w:val="00D65D31"/>
    <w:rsid w:val="00D65FC7"/>
    <w:rsid w:val="00D719C7"/>
    <w:rsid w:val="00D7573D"/>
    <w:rsid w:val="00D87C75"/>
    <w:rsid w:val="00D941D1"/>
    <w:rsid w:val="00DB03E5"/>
    <w:rsid w:val="00DB239D"/>
    <w:rsid w:val="00DB3813"/>
    <w:rsid w:val="00DC0B24"/>
    <w:rsid w:val="00DC0BC4"/>
    <w:rsid w:val="00DC4166"/>
    <w:rsid w:val="00DD061C"/>
    <w:rsid w:val="00DF3986"/>
    <w:rsid w:val="00E03DFB"/>
    <w:rsid w:val="00E12F40"/>
    <w:rsid w:val="00E20D99"/>
    <w:rsid w:val="00E2338D"/>
    <w:rsid w:val="00E43946"/>
    <w:rsid w:val="00E43D02"/>
    <w:rsid w:val="00E4785B"/>
    <w:rsid w:val="00E51C84"/>
    <w:rsid w:val="00E60B2B"/>
    <w:rsid w:val="00E73AF7"/>
    <w:rsid w:val="00E73B40"/>
    <w:rsid w:val="00E91787"/>
    <w:rsid w:val="00E9676A"/>
    <w:rsid w:val="00EA2F77"/>
    <w:rsid w:val="00EB0AA8"/>
    <w:rsid w:val="00EC08BD"/>
    <w:rsid w:val="00EC4401"/>
    <w:rsid w:val="00EC79B7"/>
    <w:rsid w:val="00ED42EE"/>
    <w:rsid w:val="00ED541E"/>
    <w:rsid w:val="00EF33CC"/>
    <w:rsid w:val="00EF4558"/>
    <w:rsid w:val="00EF611C"/>
    <w:rsid w:val="00EF7FBD"/>
    <w:rsid w:val="00F00585"/>
    <w:rsid w:val="00F00F5D"/>
    <w:rsid w:val="00F03F8F"/>
    <w:rsid w:val="00F274E1"/>
    <w:rsid w:val="00F369E5"/>
    <w:rsid w:val="00F36C6A"/>
    <w:rsid w:val="00F53917"/>
    <w:rsid w:val="00F60883"/>
    <w:rsid w:val="00F7282D"/>
    <w:rsid w:val="00F859D2"/>
    <w:rsid w:val="00FB35AF"/>
    <w:rsid w:val="00FB7B2B"/>
    <w:rsid w:val="00FC7514"/>
    <w:rsid w:val="00FD3EC4"/>
    <w:rsid w:val="00FE07FA"/>
    <w:rsid w:val="00FF1F6E"/>
    <w:rsid w:val="00FF49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3C89356"/>
  <w15:docId w15:val="{1330018A-521D-4693-A2A0-41F46FD1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21703D"/>
    <w:pPr>
      <w:ind w:left="720"/>
      <w:contextualSpacing/>
    </w:pPr>
  </w:style>
  <w:style w:type="paragraph" w:styleId="Funotentext">
    <w:name w:val="footnote text"/>
    <w:basedOn w:val="Standard"/>
    <w:link w:val="FunotentextZchn"/>
    <w:uiPriority w:val="99"/>
    <w:rsid w:val="00355BDF"/>
    <w:pPr>
      <w:spacing w:line="240" w:lineRule="auto"/>
    </w:pPr>
    <w:rPr>
      <w:sz w:val="20"/>
      <w:szCs w:val="20"/>
    </w:rPr>
  </w:style>
  <w:style w:type="character" w:customStyle="1" w:styleId="FunotentextZchn">
    <w:name w:val="Fußnotentext Zchn"/>
    <w:basedOn w:val="Absatz-Standardschriftart"/>
    <w:link w:val="Funotentext"/>
    <w:uiPriority w:val="99"/>
    <w:rsid w:val="00355BDF"/>
    <w:rPr>
      <w:rFonts w:ascii="Lucida Sans Unicode" w:hAnsi="Lucida Sans Unicode"/>
      <w:position w:val="-2"/>
    </w:rPr>
  </w:style>
  <w:style w:type="character" w:styleId="Funotenzeichen">
    <w:name w:val="footnote reference"/>
    <w:basedOn w:val="Absatz-Standardschriftart"/>
    <w:uiPriority w:val="99"/>
    <w:rsid w:val="00355BDF"/>
    <w:rPr>
      <w:vertAlign w:val="superscript"/>
    </w:rPr>
  </w:style>
  <w:style w:type="character" w:styleId="Kommentarzeichen">
    <w:name w:val="annotation reference"/>
    <w:basedOn w:val="Absatz-Standardschriftart"/>
    <w:semiHidden/>
    <w:unhideWhenUsed/>
    <w:rsid w:val="00F7282D"/>
    <w:rPr>
      <w:sz w:val="16"/>
      <w:szCs w:val="16"/>
    </w:rPr>
  </w:style>
  <w:style w:type="paragraph" w:styleId="Kommentartext">
    <w:name w:val="annotation text"/>
    <w:basedOn w:val="Standard"/>
    <w:link w:val="KommentartextZchn"/>
    <w:semiHidden/>
    <w:unhideWhenUsed/>
    <w:rsid w:val="00F7282D"/>
    <w:pPr>
      <w:spacing w:line="240" w:lineRule="auto"/>
    </w:pPr>
    <w:rPr>
      <w:sz w:val="20"/>
      <w:szCs w:val="20"/>
    </w:rPr>
  </w:style>
  <w:style w:type="character" w:customStyle="1" w:styleId="KommentartextZchn">
    <w:name w:val="Kommentartext Zchn"/>
    <w:basedOn w:val="Absatz-Standardschriftart"/>
    <w:link w:val="Kommentartext"/>
    <w:semiHidden/>
    <w:rsid w:val="00F7282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F7282D"/>
    <w:rPr>
      <w:b/>
      <w:bCs/>
    </w:rPr>
  </w:style>
  <w:style w:type="character" w:customStyle="1" w:styleId="KommentarthemaZchn">
    <w:name w:val="Kommentarthema Zchn"/>
    <w:basedOn w:val="KommentartextZchn"/>
    <w:link w:val="Kommentarthema"/>
    <w:semiHidden/>
    <w:rsid w:val="00F7282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EDC7-B2EC-46F9-B2A2-C86DC2BF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117F8CD4</Template>
  <TotalTime>0</TotalTime>
  <Pages>4</Pages>
  <Words>957</Words>
  <Characters>6374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Hesterkamp, Anja</cp:lastModifiedBy>
  <cp:revision>6</cp:revision>
  <cp:lastPrinted>2016-05-02T11:05:00Z</cp:lastPrinted>
  <dcterms:created xsi:type="dcterms:W3CDTF">2016-05-03T11:49:00Z</dcterms:created>
  <dcterms:modified xsi:type="dcterms:W3CDTF">2016-05-03T15:08:00Z</dcterms:modified>
</cp:coreProperties>
</file>