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091BE6" w:rsidP="000B1B97">
            <w:pPr>
              <w:pStyle w:val="M8"/>
              <w:framePr w:wrap="auto" w:vAnchor="margin" w:hAnchor="text" w:xAlign="left" w:yAlign="inline"/>
              <w:suppressOverlap w:val="0"/>
              <w:rPr>
                <w:sz w:val="18"/>
                <w:szCs w:val="18"/>
              </w:rPr>
            </w:pPr>
            <w:r>
              <w:rPr>
                <w:sz w:val="18"/>
                <w:szCs w:val="18"/>
              </w:rPr>
              <w:t>4</w:t>
            </w:r>
            <w:r w:rsidR="004F0709">
              <w:rPr>
                <w:sz w:val="18"/>
                <w:szCs w:val="18"/>
              </w:rPr>
              <w:t xml:space="preserve">. </w:t>
            </w:r>
            <w:r>
              <w:rPr>
                <w:sz w:val="18"/>
                <w:szCs w:val="18"/>
              </w:rPr>
              <w:t>November</w:t>
            </w:r>
            <w:r w:rsidR="004F0709">
              <w:rPr>
                <w:sz w:val="18"/>
                <w:szCs w:val="18"/>
              </w:rPr>
              <w:t xml:space="preserve">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Pr="001F2C0A" w:rsidRDefault="000B1B97" w:rsidP="000B1B97">
            <w:pPr>
              <w:pStyle w:val="M8"/>
              <w:framePr w:wrap="auto" w:vAnchor="margin" w:hAnchor="text" w:xAlign="left" w:yAlign="inline"/>
              <w:suppressOverlap w:val="0"/>
              <w:rPr>
                <w:b/>
              </w:rPr>
            </w:pPr>
            <w:r w:rsidRPr="001F2C0A">
              <w:rPr>
                <w:b/>
              </w:rPr>
              <w:t>Ansprechpartner Wirtschaftspresse</w:t>
            </w:r>
            <w:r w:rsidRPr="001F2C0A">
              <w:rPr>
                <w:b/>
              </w:rPr>
              <w:br/>
            </w:r>
            <w:r w:rsidR="00603D2C">
              <w:rPr>
                <w:b/>
              </w:rPr>
              <w:t>Matthias Ruch</w:t>
            </w:r>
          </w:p>
          <w:p w:rsidR="000B1B97" w:rsidRDefault="00603D2C" w:rsidP="000B1B97">
            <w:pPr>
              <w:pStyle w:val="M8"/>
              <w:framePr w:wrap="auto" w:vAnchor="margin" w:hAnchor="text" w:xAlign="left" w:yAlign="inline"/>
              <w:suppressOverlap w:val="0"/>
            </w:pPr>
            <w:r>
              <w:t>Leiter Externe Kommunikation</w:t>
            </w:r>
          </w:p>
          <w:p w:rsidR="000B1B97" w:rsidRDefault="000B1B97" w:rsidP="000B1B97">
            <w:pPr>
              <w:pStyle w:val="M9"/>
              <w:framePr w:wrap="auto" w:vAnchor="margin" w:hAnchor="text" w:xAlign="left" w:yAlign="inline"/>
              <w:suppressOverlap w:val="0"/>
            </w:pPr>
            <w:r>
              <w:t xml:space="preserve">Telefon +49 </w:t>
            </w:r>
            <w:r w:rsidR="00603D2C">
              <w:t>201 177-3348</w:t>
            </w:r>
          </w:p>
          <w:p w:rsidR="000B1B97" w:rsidRDefault="00603D2C" w:rsidP="000B1B97">
            <w:pPr>
              <w:pStyle w:val="M10"/>
              <w:framePr w:wrap="auto" w:vAnchor="margin" w:hAnchor="text" w:xAlign="left" w:yAlign="inline"/>
              <w:suppressOverlap w:val="0"/>
            </w:pPr>
            <w:r>
              <w:t>matthias.ruch</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BA5CD2" w:rsidRDefault="00BA5CD2" w:rsidP="000B1B97">
            <w:pPr>
              <w:pStyle w:val="M1"/>
              <w:framePr w:wrap="auto" w:vAnchor="margin" w:hAnchor="text" w:xAlign="left" w:yAlign="inline"/>
              <w:suppressOverlap w:val="0"/>
            </w:pPr>
            <w:r>
              <w:t>Alexandra Boy</w:t>
            </w:r>
          </w:p>
          <w:p w:rsidR="000B1B97" w:rsidRDefault="00BA5CD2" w:rsidP="000B1B97">
            <w:pPr>
              <w:pStyle w:val="M8"/>
              <w:framePr w:wrap="auto" w:vAnchor="margin" w:hAnchor="text" w:xAlign="left" w:yAlign="inline"/>
              <w:suppressOverlap w:val="0"/>
            </w:pPr>
            <w:r>
              <w:t>Externe Kommunikation</w:t>
            </w:r>
          </w:p>
          <w:p w:rsidR="000B1B97" w:rsidRDefault="000B1B97" w:rsidP="000B1B97">
            <w:pPr>
              <w:pStyle w:val="M9"/>
              <w:framePr w:wrap="auto" w:vAnchor="margin" w:hAnchor="text" w:xAlign="left" w:yAlign="inline"/>
              <w:suppressOverlap w:val="0"/>
            </w:pPr>
            <w:r>
              <w:t xml:space="preserve">Telefon +49 </w:t>
            </w:r>
            <w:r w:rsidR="00BA5CD2">
              <w:t>201 177-3167</w:t>
            </w:r>
            <w:r>
              <w:t xml:space="preserve"> </w:t>
            </w:r>
          </w:p>
          <w:p w:rsidR="000B1B97" w:rsidRDefault="00BA5CD2" w:rsidP="000B1B97">
            <w:pPr>
              <w:pStyle w:val="M10"/>
              <w:framePr w:wrap="auto" w:vAnchor="margin" w:hAnchor="text" w:xAlign="left" w:yAlign="inline"/>
              <w:suppressOverlap w:val="0"/>
            </w:pPr>
            <w:r>
              <w:t>alexandra.boy</w:t>
            </w:r>
            <w:r w:rsidR="000B1B97">
              <w:t>@evonik.com</w:t>
            </w: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D03A20" w:rsidRDefault="00D03A20" w:rsidP="004F0709">
      <w:pPr>
        <w:rPr>
          <w:rFonts w:cs="Lucida Sans Unicode"/>
          <w:b/>
          <w:sz w:val="24"/>
        </w:rPr>
      </w:pPr>
      <w:r w:rsidRPr="008224A5">
        <w:rPr>
          <w:b/>
          <w:szCs w:val="18"/>
          <w:u w:val="single"/>
        </w:rPr>
        <w:t xml:space="preserve">Sendesperrfrist: </w:t>
      </w:r>
      <w:r w:rsidR="00417CF4">
        <w:rPr>
          <w:b/>
          <w:szCs w:val="18"/>
          <w:u w:val="single"/>
        </w:rPr>
        <w:t>4. November</w:t>
      </w:r>
      <w:r w:rsidRPr="008224A5">
        <w:rPr>
          <w:b/>
          <w:szCs w:val="18"/>
          <w:u w:val="single"/>
        </w:rPr>
        <w:t xml:space="preserve"> 201</w:t>
      </w:r>
      <w:r>
        <w:rPr>
          <w:b/>
          <w:szCs w:val="18"/>
          <w:u w:val="single"/>
        </w:rPr>
        <w:t>6</w:t>
      </w:r>
      <w:r w:rsidRPr="008224A5">
        <w:rPr>
          <w:b/>
          <w:szCs w:val="18"/>
          <w:u w:val="single"/>
        </w:rPr>
        <w:t>, 7:</w:t>
      </w:r>
      <w:r>
        <w:rPr>
          <w:b/>
          <w:szCs w:val="18"/>
          <w:u w:val="single"/>
        </w:rPr>
        <w:t>00</w:t>
      </w:r>
      <w:r w:rsidRPr="008224A5">
        <w:rPr>
          <w:b/>
          <w:szCs w:val="18"/>
          <w:u w:val="single"/>
        </w:rPr>
        <w:t xml:space="preserve"> Uhr</w:t>
      </w:r>
    </w:p>
    <w:p w:rsidR="00D03A20" w:rsidRDefault="00D03A20" w:rsidP="004F0709">
      <w:pPr>
        <w:rPr>
          <w:rFonts w:cs="Lucida Sans Unicode"/>
          <w:b/>
          <w:sz w:val="24"/>
        </w:rPr>
      </w:pPr>
    </w:p>
    <w:p w:rsidR="00D03A20" w:rsidRDefault="00D03A20" w:rsidP="004F0709">
      <w:pPr>
        <w:rPr>
          <w:rFonts w:cs="Lucida Sans Unicode"/>
          <w:b/>
          <w:sz w:val="24"/>
        </w:rPr>
      </w:pPr>
    </w:p>
    <w:p w:rsidR="00D03A20" w:rsidRDefault="00D03A20" w:rsidP="00D03A20">
      <w:pPr>
        <w:rPr>
          <w:u w:val="single"/>
        </w:rPr>
      </w:pPr>
      <w:r>
        <w:rPr>
          <w:u w:val="single"/>
        </w:rPr>
        <w:t>Wirtschaftliche Eckdaten:</w:t>
      </w:r>
    </w:p>
    <w:p w:rsidR="00D03A20" w:rsidRDefault="000F30F7" w:rsidP="00D03A20">
      <w:pPr>
        <w:rPr>
          <w:u w:val="single"/>
        </w:rPr>
      </w:pPr>
      <w:r>
        <w:rPr>
          <w:u w:val="single"/>
        </w:rPr>
        <w:t xml:space="preserve">1. Januar – 30. September 2016 / </w:t>
      </w:r>
      <w:r w:rsidR="00D03A20">
        <w:rPr>
          <w:u w:val="single"/>
        </w:rPr>
        <w:t xml:space="preserve">3. Quartal 2016 </w:t>
      </w:r>
    </w:p>
    <w:p w:rsidR="00D03A20" w:rsidRDefault="00D03A20" w:rsidP="004F0709">
      <w:pPr>
        <w:rPr>
          <w:rFonts w:cs="Lucida Sans Unicode"/>
          <w:b/>
          <w:sz w:val="24"/>
        </w:rPr>
      </w:pPr>
      <w:bookmarkStart w:id="0" w:name="_GoBack"/>
      <w:bookmarkEnd w:id="0"/>
    </w:p>
    <w:p w:rsidR="00D03A20" w:rsidRDefault="00D03A20" w:rsidP="004F0709">
      <w:pPr>
        <w:rPr>
          <w:rFonts w:cs="Lucida Sans Unicode"/>
          <w:b/>
          <w:sz w:val="24"/>
        </w:rPr>
      </w:pPr>
    </w:p>
    <w:p w:rsidR="004F0709" w:rsidRDefault="004F0709" w:rsidP="004F0709">
      <w:pPr>
        <w:rPr>
          <w:rFonts w:cs="Lucida Sans Unicode"/>
          <w:b/>
          <w:sz w:val="24"/>
        </w:rPr>
      </w:pPr>
      <w:r w:rsidRPr="00682D68">
        <w:rPr>
          <w:rFonts w:cs="Lucida Sans Unicode"/>
          <w:b/>
          <w:sz w:val="24"/>
        </w:rPr>
        <w:t>Drittes gutes Quartal in Folge – Ausblick bestätigt</w:t>
      </w:r>
    </w:p>
    <w:p w:rsidR="004F0709" w:rsidRDefault="004F0709" w:rsidP="004F0709">
      <w:pPr>
        <w:rPr>
          <w:rFonts w:cs="Lucida Sans Unicode"/>
          <w:b/>
          <w:sz w:val="24"/>
        </w:rPr>
      </w:pPr>
    </w:p>
    <w:p w:rsidR="0084389E" w:rsidRPr="004F0709" w:rsidRDefault="004F0709" w:rsidP="009B4AC0">
      <w:pPr>
        <w:pStyle w:val="berschrift1"/>
        <w:spacing w:before="0" w:after="120"/>
      </w:pPr>
      <w:r w:rsidRPr="00682D68">
        <w:rPr>
          <w:rFonts w:cs="Lucida Sans Unicode"/>
          <w:sz w:val="22"/>
          <w:szCs w:val="22"/>
        </w:rPr>
        <w:t>Mengenwachstum setzt sich im dritten Quartal fort</w:t>
      </w:r>
    </w:p>
    <w:p w:rsidR="004F0709" w:rsidRPr="004F0709" w:rsidRDefault="004F0709" w:rsidP="009B4AC0">
      <w:pPr>
        <w:pStyle w:val="berschrift1"/>
        <w:spacing w:before="0" w:after="120"/>
      </w:pPr>
      <w:r w:rsidRPr="00682D68">
        <w:rPr>
          <w:rFonts w:cs="Lucida Sans Unicode"/>
          <w:sz w:val="22"/>
          <w:szCs w:val="22"/>
        </w:rPr>
        <w:t>Bereinigte EBITDA-Marge in d</w:t>
      </w:r>
      <w:r w:rsidR="00BD71E1">
        <w:rPr>
          <w:rFonts w:cs="Lucida Sans Unicode"/>
          <w:sz w:val="22"/>
          <w:szCs w:val="22"/>
        </w:rPr>
        <w:t>en ersten neun Monaten mit 18,1 </w:t>
      </w:r>
      <w:r w:rsidRPr="00682D68">
        <w:rPr>
          <w:rFonts w:cs="Lucida Sans Unicode"/>
          <w:sz w:val="22"/>
          <w:szCs w:val="22"/>
        </w:rPr>
        <w:t>Prozent auf sehr gutem Niveau</w:t>
      </w:r>
    </w:p>
    <w:p w:rsidR="004F0709" w:rsidRPr="004F0709" w:rsidRDefault="004F0709" w:rsidP="009B4AC0">
      <w:pPr>
        <w:pStyle w:val="berschrift1"/>
        <w:spacing w:before="0" w:after="120"/>
      </w:pPr>
      <w:r w:rsidRPr="00682D68">
        <w:rPr>
          <w:rFonts w:cs="Lucida Sans Unicode"/>
          <w:sz w:val="22"/>
          <w:szCs w:val="22"/>
        </w:rPr>
        <w:t>Finanzierung der beabsichtigten Akquisition des Spezialadditivgeschäfts von Air Products mit einer Durchschnittsverzinsung von 0,35 Prozent sichergestellt</w:t>
      </w:r>
    </w:p>
    <w:p w:rsidR="004F0709" w:rsidRPr="00BF0F5C" w:rsidRDefault="004F0709" w:rsidP="009B4AC0">
      <w:pPr>
        <w:pStyle w:val="berschrift1"/>
        <w:spacing w:before="0" w:after="120"/>
      </w:pPr>
      <w:r w:rsidRPr="00682D68">
        <w:rPr>
          <w:rFonts w:cs="Lucida Sans Unicode"/>
          <w:sz w:val="22"/>
          <w:szCs w:val="22"/>
        </w:rPr>
        <w:t>Ausblick für das Gesamtjahr 2016 bestätigt</w:t>
      </w:r>
    </w:p>
    <w:p w:rsidR="0084389E" w:rsidRPr="0084389E" w:rsidRDefault="0084389E" w:rsidP="004F0709"/>
    <w:p w:rsidR="004F0709" w:rsidRDefault="004F0709" w:rsidP="004F0709">
      <w:pPr>
        <w:ind w:right="-87"/>
        <w:rPr>
          <w:rFonts w:cs="Lucida Sans Unicode"/>
        </w:rPr>
      </w:pPr>
      <w:r w:rsidRPr="00682D68">
        <w:rPr>
          <w:rFonts w:cs="Lucida Sans Unicode"/>
          <w:szCs w:val="22"/>
        </w:rPr>
        <w:t xml:space="preserve">Essen. „In einem schwachen weltwirtschaftlichen Umfeld konnte Evonik sein Mengenwachstum aus dem ersten Halbjahr im dritten Quartal 2016 fortsetzen“, sagte Klaus Engel, Vorstandsvorsitzender von Evonik Industries. „Auf dieser Basis bestätigen wir unseren Ausblick für das Gesamtjahr.“ </w:t>
      </w:r>
    </w:p>
    <w:p w:rsidR="004F0709" w:rsidRPr="00682D68" w:rsidRDefault="004F0709" w:rsidP="004F0709">
      <w:pPr>
        <w:rPr>
          <w:rFonts w:cs="Lucida Sans Unicode"/>
          <w:szCs w:val="22"/>
        </w:rPr>
      </w:pPr>
    </w:p>
    <w:p w:rsidR="004F0709" w:rsidRDefault="004F0709" w:rsidP="00BD71E1">
      <w:pPr>
        <w:ind w:right="-87"/>
        <w:rPr>
          <w:rFonts w:cs="Lucida Sans Unicode"/>
        </w:rPr>
      </w:pPr>
      <w:r w:rsidRPr="00682D68">
        <w:rPr>
          <w:rFonts w:cs="Lucida Sans Unicode"/>
          <w:szCs w:val="22"/>
        </w:rPr>
        <w:t xml:space="preserve">In den ersten neun Monaten des laufenden Jahres sank der </w:t>
      </w:r>
      <w:r w:rsidRPr="00682D68">
        <w:rPr>
          <w:rFonts w:cs="Lucida Sans Unicode"/>
          <w:b/>
          <w:szCs w:val="22"/>
        </w:rPr>
        <w:t>Konzernumsatz</w:t>
      </w:r>
      <w:r w:rsidRPr="00682D68">
        <w:rPr>
          <w:rFonts w:cs="Lucida Sans Unicode"/>
          <w:szCs w:val="22"/>
        </w:rPr>
        <w:t xml:space="preserve"> im Vergleich zum Vorjahreszeitraum um 8 Prozent auf 9.527 Millionen €. Diese Entwicklung geht maßgeblich auf geringere Verkaufspreise zurück. Zugleich stieg die Absatzmenge um 2 Prozent an. Das </w:t>
      </w:r>
      <w:r w:rsidRPr="00682D68">
        <w:rPr>
          <w:rFonts w:cs="Lucida Sans Unicode"/>
          <w:b/>
          <w:szCs w:val="22"/>
        </w:rPr>
        <w:t>bereinigte EBITDA</w:t>
      </w:r>
      <w:r w:rsidRPr="00682D68">
        <w:rPr>
          <w:rFonts w:cs="Lucida Sans Unicode"/>
          <w:szCs w:val="22"/>
        </w:rPr>
        <w:t xml:space="preserve"> ging gegenüber dem sehr hohen Vorjahreswert um 12 Prozent auf 1.728 Millionen € zurück. Die </w:t>
      </w:r>
      <w:r w:rsidRPr="00682D68">
        <w:rPr>
          <w:rFonts w:cs="Lucida Sans Unicode"/>
          <w:b/>
          <w:szCs w:val="22"/>
        </w:rPr>
        <w:t>bereinigte EBITDA-Marge</w:t>
      </w:r>
      <w:r w:rsidRPr="00682D68">
        <w:rPr>
          <w:rFonts w:cs="Lucida Sans Unicode"/>
          <w:szCs w:val="22"/>
        </w:rPr>
        <w:t xml:space="preserve"> erreichte sehr gute 18,1 Prozent. </w:t>
      </w:r>
    </w:p>
    <w:p w:rsidR="004F0709" w:rsidRPr="00682D68" w:rsidRDefault="004F0709" w:rsidP="004F0709">
      <w:pPr>
        <w:rPr>
          <w:rFonts w:cs="Lucida Sans Unicode"/>
          <w:szCs w:val="22"/>
        </w:rPr>
      </w:pPr>
    </w:p>
    <w:p w:rsidR="004F0709" w:rsidRDefault="004F0709" w:rsidP="00BD71E1">
      <w:pPr>
        <w:ind w:right="-87"/>
        <w:rPr>
          <w:rFonts w:cs="Lucida Sans Unicode"/>
        </w:rPr>
      </w:pPr>
      <w:r w:rsidRPr="00682D68">
        <w:rPr>
          <w:rFonts w:cs="Lucida Sans Unicode"/>
          <w:szCs w:val="22"/>
        </w:rPr>
        <w:t xml:space="preserve">Das </w:t>
      </w:r>
      <w:r w:rsidRPr="00682D68">
        <w:rPr>
          <w:rFonts w:cs="Lucida Sans Unicode"/>
          <w:b/>
          <w:szCs w:val="22"/>
        </w:rPr>
        <w:t>bereinigte EBIT</w:t>
      </w:r>
      <w:r w:rsidRPr="00682D68">
        <w:rPr>
          <w:rFonts w:cs="Lucida Sans Unicode"/>
          <w:szCs w:val="22"/>
        </w:rPr>
        <w:t xml:space="preserve"> nahm um 18 Prozent auf 1.191 Millionen € ab. Das </w:t>
      </w:r>
      <w:r w:rsidRPr="00682D68">
        <w:rPr>
          <w:rFonts w:cs="Lucida Sans Unicode"/>
          <w:b/>
          <w:szCs w:val="22"/>
        </w:rPr>
        <w:t>bereinigte Konzernergebnis</w:t>
      </w:r>
      <w:r w:rsidRPr="00682D68">
        <w:rPr>
          <w:rFonts w:cs="Lucida Sans Unicode"/>
          <w:szCs w:val="22"/>
        </w:rPr>
        <w:t xml:space="preserve"> verringerte sich um 19 Prozent auf 748 Millionen €. Das </w:t>
      </w:r>
      <w:r w:rsidRPr="00682D68">
        <w:rPr>
          <w:rFonts w:cs="Lucida Sans Unicode"/>
          <w:b/>
          <w:szCs w:val="22"/>
        </w:rPr>
        <w:t>Konzernergebnis</w:t>
      </w:r>
      <w:r w:rsidRPr="00682D68">
        <w:rPr>
          <w:rFonts w:cs="Lucida Sans Unicode"/>
          <w:szCs w:val="22"/>
        </w:rPr>
        <w:t xml:space="preserve"> blieb mit 628 Millionen € um 27 Prozent unter dem hohen Vorjahreswert, der den Veräußerungsgewinn aus dem Verkauf der Vivawest-Beteiligung enthalten hatte.</w:t>
      </w:r>
    </w:p>
    <w:p w:rsidR="004F0709" w:rsidRPr="00682D68" w:rsidRDefault="004F0709" w:rsidP="004F0709">
      <w:pPr>
        <w:rPr>
          <w:rFonts w:cs="Lucida Sans Unicode"/>
          <w:szCs w:val="22"/>
        </w:rPr>
      </w:pPr>
    </w:p>
    <w:p w:rsidR="004F0709" w:rsidRDefault="004F0709" w:rsidP="00BD71E1">
      <w:pPr>
        <w:ind w:right="-228"/>
        <w:rPr>
          <w:rFonts w:cs="Lucida Sans Unicode"/>
          <w:szCs w:val="22"/>
        </w:rPr>
      </w:pPr>
      <w:r w:rsidRPr="00682D68">
        <w:rPr>
          <w:rFonts w:cs="Lucida Sans Unicode"/>
          <w:szCs w:val="22"/>
        </w:rPr>
        <w:lastRenderedPageBreak/>
        <w:t xml:space="preserve">Evonik konnte in den ersten neun Monaten 2016 einen deutlich positiven </w:t>
      </w:r>
      <w:r w:rsidRPr="00682D68">
        <w:rPr>
          <w:rFonts w:cs="Lucida Sans Unicode"/>
          <w:b/>
          <w:szCs w:val="22"/>
        </w:rPr>
        <w:t>freien Cashflow</w:t>
      </w:r>
      <w:r w:rsidRPr="00682D68">
        <w:rPr>
          <w:rFonts w:cs="Lucida Sans Unicode"/>
          <w:szCs w:val="22"/>
        </w:rPr>
        <w:t xml:space="preserve"> von 488 Millionen € generieren. Dies ist unter anderem auf eine Verringerung des Nettoumlaufvermögens zurückzuführen, während die </w:t>
      </w:r>
      <w:r w:rsidRPr="00682D68">
        <w:rPr>
          <w:rFonts w:cs="Lucida Sans Unicode"/>
          <w:b/>
          <w:szCs w:val="22"/>
        </w:rPr>
        <w:t>Sachinvestitionen</w:t>
      </w:r>
      <w:r w:rsidRPr="00682D68">
        <w:rPr>
          <w:rFonts w:cs="Lucida Sans Unicode"/>
          <w:szCs w:val="22"/>
        </w:rPr>
        <w:t xml:space="preserve"> mit 589 Millionen € etwa auf dem Niveau des Vorjahres lagen. </w:t>
      </w:r>
    </w:p>
    <w:p w:rsidR="00D03A20" w:rsidRPr="00682D68" w:rsidRDefault="00D03A20" w:rsidP="00BD71E1">
      <w:pPr>
        <w:ind w:right="-228"/>
        <w:rPr>
          <w:rFonts w:cs="Lucida Sans Unicode"/>
          <w:szCs w:val="22"/>
        </w:rPr>
      </w:pPr>
    </w:p>
    <w:p w:rsidR="004F0709" w:rsidRDefault="004F0709" w:rsidP="004F0709">
      <w:pPr>
        <w:rPr>
          <w:rFonts w:cs="Lucida Sans Unicode"/>
          <w:b/>
        </w:rPr>
      </w:pPr>
      <w:r w:rsidRPr="00682D68">
        <w:rPr>
          <w:rFonts w:cs="Lucida Sans Unicode"/>
          <w:b/>
          <w:szCs w:val="22"/>
        </w:rPr>
        <w:t>Ausblick</w:t>
      </w:r>
    </w:p>
    <w:p w:rsidR="004F0709" w:rsidRPr="00682D68" w:rsidRDefault="004F0709" w:rsidP="004F0709">
      <w:pPr>
        <w:rPr>
          <w:rFonts w:cs="Lucida Sans Unicode"/>
          <w:b/>
          <w:szCs w:val="22"/>
        </w:rPr>
      </w:pPr>
    </w:p>
    <w:p w:rsidR="004F0709" w:rsidRDefault="004F0709" w:rsidP="004F0709">
      <w:pPr>
        <w:rPr>
          <w:rFonts w:cs="Lucida Sans Unicode"/>
          <w:szCs w:val="22"/>
        </w:rPr>
      </w:pPr>
      <w:r w:rsidRPr="00682D68">
        <w:rPr>
          <w:rFonts w:cs="Lucida Sans Unicode"/>
          <w:szCs w:val="22"/>
        </w:rPr>
        <w:t xml:space="preserve">Für das Gesamtjahr 2016 erwartet Evonik unverändert einen Umsatz, der leicht unter den 13,5 Milliarden € des Vorjahres liegt. Dank der starken Marktpositionen, dem ausgewogenen Portfolio und der Konzentration auf wachstumsstarke Geschäfte rechnet das Unternehmen in dem schwierigen gesamtwirtschaftlichen Umfeld mit einer anhaltend hohen Nachfrage nach seinen Produkten und einer spürbaren Mengensteigerung. Dazu leisten die in den vergangenen Jahren in Betrieb genommenen neuen Produktionskapazitäten ebenso einen Beitrag wie die intensiveren Vertriebsaktivitäten. Bei den Verkaufspreisen verzeichnen insbesondere die Segmente Nutrition &amp; Care und Performance Materials eine deutlich rückläufige Entwicklung, die zu dem prognostizierten leichten Umsatzrückgang führt. </w:t>
      </w:r>
    </w:p>
    <w:p w:rsidR="00BD71E1" w:rsidRPr="00682D68" w:rsidRDefault="00BD71E1" w:rsidP="004F0709">
      <w:pPr>
        <w:rPr>
          <w:rFonts w:cs="Lucida Sans Unicode"/>
          <w:szCs w:val="22"/>
        </w:rPr>
      </w:pPr>
    </w:p>
    <w:p w:rsidR="004F0709" w:rsidRPr="00682D68" w:rsidRDefault="004F0709" w:rsidP="00BD71E1">
      <w:pPr>
        <w:ind w:right="197"/>
        <w:rPr>
          <w:rFonts w:cs="Lucida Sans Unicode"/>
          <w:szCs w:val="22"/>
        </w:rPr>
      </w:pPr>
      <w:r w:rsidRPr="00682D68">
        <w:rPr>
          <w:rFonts w:cs="Lucida Sans Unicode"/>
          <w:szCs w:val="22"/>
        </w:rPr>
        <w:t xml:space="preserve">Für das bereinigte EBITDA bestätigt Evonik die zum Ende des ersten Halbjahres vorgenommene Präzisierung des Ausblicks: Das Unternehmen ist zuversichtlich, ein bereinigtes EBITDA in der oberen Hälfte der gegebenen Bandbreite von 2,0 bis </w:t>
      </w:r>
      <w:r w:rsidR="00BD71E1">
        <w:rPr>
          <w:rFonts w:cs="Lucida Sans Unicode"/>
          <w:szCs w:val="22"/>
        </w:rPr>
        <w:br/>
      </w:r>
      <w:r w:rsidRPr="00682D68">
        <w:rPr>
          <w:rFonts w:cs="Lucida Sans Unicode"/>
          <w:szCs w:val="22"/>
        </w:rPr>
        <w:t>2,2 Milliarden € realisieren zu können.</w:t>
      </w:r>
    </w:p>
    <w:p w:rsidR="004F0709" w:rsidRPr="00682D68" w:rsidRDefault="004F0709" w:rsidP="004F0709">
      <w:pPr>
        <w:rPr>
          <w:rFonts w:cs="Lucida Sans Unicode"/>
          <w:b/>
          <w:szCs w:val="22"/>
        </w:rPr>
      </w:pPr>
    </w:p>
    <w:p w:rsidR="004F0709" w:rsidRDefault="004F0709" w:rsidP="004F0709">
      <w:pPr>
        <w:rPr>
          <w:rFonts w:cs="Lucida Sans Unicode"/>
          <w:b/>
        </w:rPr>
      </w:pPr>
      <w:r w:rsidRPr="00682D68">
        <w:rPr>
          <w:rFonts w:cs="Lucida Sans Unicode"/>
          <w:b/>
          <w:szCs w:val="22"/>
        </w:rPr>
        <w:t>Entwicklung im dritten Quartal</w:t>
      </w:r>
    </w:p>
    <w:p w:rsidR="004F0709" w:rsidRPr="00682D68" w:rsidRDefault="004F0709" w:rsidP="004F0709">
      <w:pPr>
        <w:rPr>
          <w:rFonts w:cs="Lucida Sans Unicode"/>
          <w:b/>
          <w:szCs w:val="22"/>
        </w:rPr>
      </w:pPr>
    </w:p>
    <w:p w:rsidR="004F0709" w:rsidRDefault="004F0709" w:rsidP="004F0709">
      <w:pPr>
        <w:rPr>
          <w:rFonts w:cs="Lucida Sans Unicode"/>
          <w:szCs w:val="22"/>
        </w:rPr>
      </w:pPr>
      <w:r w:rsidRPr="00682D68">
        <w:rPr>
          <w:rFonts w:cs="Lucida Sans Unicode"/>
          <w:szCs w:val="22"/>
        </w:rPr>
        <w:t xml:space="preserve">Im dritten Quartal 2016 hat sich die positive Mengenentwicklung bei weltweit guter Nachfrage nach den Produkten von Evonik fortgesetzt. Die Verkaufspreise waren, teilweise aufgrund der Weitergabe geringerer Rohstoffpreise, weiter rückläufig. Der </w:t>
      </w:r>
      <w:r w:rsidRPr="00682D68">
        <w:rPr>
          <w:rFonts w:cs="Lucida Sans Unicode"/>
          <w:b/>
          <w:szCs w:val="22"/>
        </w:rPr>
        <w:t>Umsatz</w:t>
      </w:r>
      <w:r w:rsidRPr="00682D68">
        <w:rPr>
          <w:rFonts w:cs="Lucida Sans Unicode"/>
          <w:szCs w:val="22"/>
        </w:rPr>
        <w:t xml:space="preserve"> des Konzerns nahm um 6 Prozent auf 3.164 Millionen € ab. Das </w:t>
      </w:r>
      <w:r w:rsidRPr="00682D68">
        <w:rPr>
          <w:rFonts w:cs="Lucida Sans Unicode"/>
          <w:b/>
          <w:szCs w:val="22"/>
        </w:rPr>
        <w:t>bereinigte EBITDA</w:t>
      </w:r>
      <w:r w:rsidRPr="00682D68">
        <w:rPr>
          <w:rFonts w:cs="Lucida Sans Unicode"/>
          <w:szCs w:val="22"/>
        </w:rPr>
        <w:t xml:space="preserve"> erreichte 578 Millionen €, dies waren 11 Prozent weniger als im außergewöhnlich starken Vorjahresquartal. Die </w:t>
      </w:r>
      <w:r w:rsidRPr="00682D68">
        <w:rPr>
          <w:rFonts w:cs="Lucida Sans Unicode"/>
          <w:b/>
          <w:szCs w:val="22"/>
        </w:rPr>
        <w:t>bereinigte EBITDA-Marge</w:t>
      </w:r>
      <w:r w:rsidRPr="00682D68">
        <w:rPr>
          <w:rFonts w:cs="Lucida Sans Unicode"/>
          <w:szCs w:val="22"/>
        </w:rPr>
        <w:t xml:space="preserve"> lag mit 18,3 Prozent auf einem sehr guten Niveau. Das </w:t>
      </w:r>
      <w:r w:rsidRPr="00682D68">
        <w:rPr>
          <w:rFonts w:cs="Lucida Sans Unicode"/>
          <w:b/>
          <w:szCs w:val="22"/>
        </w:rPr>
        <w:t>bereinigte EBIT</w:t>
      </w:r>
      <w:r w:rsidRPr="00682D68">
        <w:rPr>
          <w:rFonts w:cs="Lucida Sans Unicode"/>
          <w:szCs w:val="22"/>
        </w:rPr>
        <w:t xml:space="preserve"> verringerte sich um 16 Prozent auf 396 Millionen €. Das </w:t>
      </w:r>
      <w:r w:rsidRPr="00682D68">
        <w:rPr>
          <w:rFonts w:cs="Lucida Sans Unicode"/>
          <w:b/>
          <w:szCs w:val="22"/>
        </w:rPr>
        <w:lastRenderedPageBreak/>
        <w:t>bereinigte Konzernergebnis</w:t>
      </w:r>
      <w:r w:rsidRPr="00682D68">
        <w:rPr>
          <w:rFonts w:cs="Lucida Sans Unicode"/>
          <w:szCs w:val="22"/>
        </w:rPr>
        <w:t xml:space="preserve"> verringerte sich um 17 Prozent auf 247 Millionen €. Das </w:t>
      </w:r>
      <w:r w:rsidRPr="00682D68">
        <w:rPr>
          <w:rFonts w:cs="Lucida Sans Unicode"/>
          <w:b/>
          <w:szCs w:val="22"/>
        </w:rPr>
        <w:t>Konzernergebnis</w:t>
      </w:r>
      <w:r w:rsidRPr="00682D68">
        <w:rPr>
          <w:rFonts w:cs="Lucida Sans Unicode"/>
          <w:szCs w:val="22"/>
        </w:rPr>
        <w:t xml:space="preserve"> stieg infolge geringerer Belastungen aus Sondereinflüssen um 19 Prozent auf 223 Millionen €.</w:t>
      </w:r>
    </w:p>
    <w:p w:rsidR="00417CF4" w:rsidRPr="00682D68" w:rsidRDefault="00417CF4" w:rsidP="004F0709">
      <w:pPr>
        <w:rPr>
          <w:rFonts w:cs="Lucida Sans Unicode"/>
          <w:szCs w:val="22"/>
        </w:rPr>
      </w:pPr>
    </w:p>
    <w:p w:rsidR="004F0709" w:rsidRPr="00FB09BD" w:rsidRDefault="004F0709" w:rsidP="004F0709">
      <w:pPr>
        <w:rPr>
          <w:rFonts w:cs="Lucida Sans Unicode"/>
          <w:b/>
        </w:rPr>
      </w:pPr>
      <w:r w:rsidRPr="00FB09BD">
        <w:rPr>
          <w:rFonts w:cs="Lucida Sans Unicode"/>
          <w:b/>
          <w:szCs w:val="22"/>
        </w:rPr>
        <w:t>Akquisition Air Products Performance Materials</w:t>
      </w:r>
    </w:p>
    <w:p w:rsidR="004F0709" w:rsidRPr="00FB09BD" w:rsidRDefault="004F0709" w:rsidP="004F0709">
      <w:pPr>
        <w:rPr>
          <w:rFonts w:cs="Lucida Sans Unicode"/>
          <w:b/>
          <w:szCs w:val="22"/>
        </w:rPr>
      </w:pPr>
    </w:p>
    <w:p w:rsidR="004F0709" w:rsidRPr="00682D68" w:rsidRDefault="004F0709" w:rsidP="004F0709">
      <w:pPr>
        <w:rPr>
          <w:rFonts w:cs="Lucida Sans Unicode"/>
          <w:szCs w:val="22"/>
        </w:rPr>
      </w:pPr>
      <w:r w:rsidRPr="00682D68">
        <w:rPr>
          <w:rFonts w:cs="Lucida Sans Unicode"/>
          <w:szCs w:val="22"/>
        </w:rPr>
        <w:t>Im September 2016 hat Evonik über die Tochtergesellschaft Evonik Finance B.V. Anleihen im Nennwert von 1,9 Milliarden € mit einer Durchschnittsverzinsung von 0,35 Prozent erfolgreich am Fremdkapitalmarkt platziert. Sie sollen der Finanzierung der geplanten Akquisition des Spezialadditivgeschäfts von Air Products dienen. Die zuständigen Wettbewerbsbehörden in den USA, in Deutschland und in den meisten europäischen Ländern haben der Transaktion, die bis zum Ende des Jahres erwartet wird, bereits zugestimmt.</w:t>
      </w:r>
    </w:p>
    <w:p w:rsidR="004F0709" w:rsidRPr="00682D68" w:rsidRDefault="004F0709" w:rsidP="004F0709">
      <w:pPr>
        <w:rPr>
          <w:rFonts w:cs="Lucida Sans Unicode"/>
          <w:szCs w:val="22"/>
        </w:rPr>
      </w:pPr>
    </w:p>
    <w:p w:rsidR="004F0709" w:rsidRDefault="004F0709" w:rsidP="004F0709">
      <w:pPr>
        <w:rPr>
          <w:rFonts w:cs="Lucida Sans Unicode"/>
          <w:b/>
        </w:rPr>
      </w:pPr>
      <w:r w:rsidRPr="00682D68">
        <w:rPr>
          <w:rFonts w:cs="Lucida Sans Unicode"/>
          <w:b/>
          <w:szCs w:val="22"/>
        </w:rPr>
        <w:t>Detaillierte Entwicklung in den Segmenten</w:t>
      </w:r>
    </w:p>
    <w:p w:rsidR="004F0709" w:rsidRPr="00682D68" w:rsidRDefault="004F0709" w:rsidP="004F0709">
      <w:pPr>
        <w:rPr>
          <w:rFonts w:cs="Lucida Sans Unicode"/>
          <w:b/>
          <w:szCs w:val="22"/>
        </w:rPr>
      </w:pPr>
    </w:p>
    <w:p w:rsidR="004F0709" w:rsidRDefault="004F0709" w:rsidP="004F0709">
      <w:pPr>
        <w:rPr>
          <w:rFonts w:cs="Lucida Sans Unicode"/>
          <w:szCs w:val="22"/>
        </w:rPr>
      </w:pPr>
      <w:r w:rsidRPr="00682D68">
        <w:rPr>
          <w:rFonts w:cs="Lucida Sans Unicode"/>
          <w:szCs w:val="22"/>
        </w:rPr>
        <w:t xml:space="preserve">Im Segment </w:t>
      </w:r>
      <w:r w:rsidRPr="00682D68">
        <w:rPr>
          <w:rFonts w:cs="Lucida Sans Unicode"/>
          <w:b/>
          <w:szCs w:val="22"/>
        </w:rPr>
        <w:t>Nutrition &amp; Care</w:t>
      </w:r>
      <w:r w:rsidRPr="00682D68">
        <w:rPr>
          <w:rFonts w:cs="Lucida Sans Unicode"/>
          <w:szCs w:val="22"/>
        </w:rPr>
        <w:t xml:space="preserve"> verringerte sich der Umsatz im </w:t>
      </w:r>
      <w:r w:rsidRPr="00682D68">
        <w:rPr>
          <w:rFonts w:cs="Lucida Sans Unicode"/>
          <w:b/>
          <w:szCs w:val="22"/>
        </w:rPr>
        <w:t>dritten Quartal</w:t>
      </w:r>
      <w:r w:rsidRPr="00682D68">
        <w:rPr>
          <w:rFonts w:cs="Lucida Sans Unicode"/>
          <w:szCs w:val="22"/>
        </w:rPr>
        <w:t xml:space="preserve"> 2016 um 14 Prozent auf 1.066 Millionen €. Bei einem gegenüber dem starken Vorjahresquartal stabilen Mengenabsatz resultierte dies vor allem aus geringeren Verkaufspreisen. Das bereinigte EBITDA blieb mit 239 Millionen € vor allem preisbedingt unter dem sehr hohen Vorjahreswert von 382 Millionen €. Die bereinigte EBITDA-Marge ging auf 22,4 Prozent zurück. Im </w:t>
      </w:r>
      <w:r w:rsidRPr="00682D68">
        <w:rPr>
          <w:rFonts w:cs="Lucida Sans Unicode"/>
          <w:b/>
          <w:szCs w:val="22"/>
        </w:rPr>
        <w:t>Dreivierteljahr</w:t>
      </w:r>
      <w:r w:rsidRPr="00682D68">
        <w:rPr>
          <w:rFonts w:cs="Lucida Sans Unicode"/>
          <w:szCs w:val="22"/>
        </w:rPr>
        <w:t xml:space="preserve"> 2016 verringerte sich der Umsatz des Segments Nutrition &amp; Care um 13 Prozent auf 3.223 Millionen €. Bei nahezu unverändertem Mengenabsatz resultiert der Rückgang aus den deutlich geringeren Verkaufspreisen. Das bereinigte EBITDA blieb mit 796 Millionen € um 29 Prozent unter dem sehr starken Vorjahreswert. Die bereinigte EBITDA-Marge liegt mit 24,7 Prozent weiterhin auf sehr gutem Niveau.</w:t>
      </w:r>
    </w:p>
    <w:p w:rsidR="009B4AC0" w:rsidRPr="00682D68" w:rsidRDefault="009B4AC0" w:rsidP="004F0709">
      <w:pPr>
        <w:rPr>
          <w:rFonts w:cs="Lucida Sans Unicode"/>
          <w:szCs w:val="22"/>
        </w:rPr>
      </w:pPr>
    </w:p>
    <w:p w:rsidR="004F0709" w:rsidRPr="00682D68" w:rsidRDefault="004F0709" w:rsidP="004F0709">
      <w:pPr>
        <w:pStyle w:val="SNErsteZeile"/>
        <w:spacing w:line="300" w:lineRule="exact"/>
        <w:rPr>
          <w:rFonts w:cs="Lucida Sans Unicode"/>
          <w:sz w:val="22"/>
          <w:szCs w:val="22"/>
        </w:rPr>
      </w:pPr>
      <w:r w:rsidRPr="00682D68">
        <w:rPr>
          <w:rFonts w:eastAsiaTheme="minorHAnsi" w:cs="Lucida Sans Unicode"/>
          <w:sz w:val="22"/>
          <w:szCs w:val="22"/>
        </w:rPr>
        <w:t xml:space="preserve">Im Segment </w:t>
      </w:r>
      <w:r w:rsidRPr="00682D68">
        <w:rPr>
          <w:rFonts w:eastAsiaTheme="minorHAnsi" w:cs="Lucida Sans Unicode"/>
          <w:b/>
          <w:sz w:val="22"/>
          <w:szCs w:val="22"/>
        </w:rPr>
        <w:t>Resource Efficiency</w:t>
      </w:r>
      <w:r w:rsidRPr="00682D68">
        <w:rPr>
          <w:rFonts w:eastAsiaTheme="minorHAnsi" w:cs="Lucida Sans Unicode"/>
          <w:sz w:val="22"/>
          <w:szCs w:val="22"/>
        </w:rPr>
        <w:t xml:space="preserve"> setzte sich die erfolgreiche Geschäftsentwicklung im </w:t>
      </w:r>
      <w:r w:rsidRPr="00682D68">
        <w:rPr>
          <w:rFonts w:eastAsiaTheme="minorHAnsi" w:cs="Lucida Sans Unicode"/>
          <w:b/>
          <w:sz w:val="22"/>
          <w:szCs w:val="22"/>
        </w:rPr>
        <w:t>dritten Quartal</w:t>
      </w:r>
      <w:r w:rsidRPr="00682D68">
        <w:rPr>
          <w:rFonts w:eastAsiaTheme="minorHAnsi" w:cs="Lucida Sans Unicode"/>
          <w:sz w:val="22"/>
          <w:szCs w:val="22"/>
        </w:rPr>
        <w:t xml:space="preserve"> 2016 weiter fort. Der Umsatz stieg um 7 Prozent auf 1.117 Millionen €</w:t>
      </w:r>
      <w:r w:rsidRPr="00682D68">
        <w:rPr>
          <w:rFonts w:eastAsiaTheme="minorHAnsi" w:cs="Lucida Sans Unicode"/>
          <w:sz w:val="22"/>
          <w:szCs w:val="22"/>
        </w:rPr>
        <w:fldChar w:fldCharType="begin"/>
      </w:r>
      <w:r w:rsidRPr="00682D68">
        <w:rPr>
          <w:rFonts w:eastAsiaTheme="minorHAnsi" w:cs="Lucida Sans Unicode"/>
          <w:sz w:val="22"/>
          <w:szCs w:val="22"/>
        </w:rPr>
        <w:instrText xml:space="preserve"> DOCVARIABLE WORDVALUE-886fbb9a-30ab-4951-a72e-95cdb6a4774a \* MERGEFORMAT </w:instrText>
      </w:r>
      <w:r w:rsidRPr="00682D68">
        <w:rPr>
          <w:rFonts w:eastAsiaTheme="minorHAnsi" w:cs="Lucida Sans Unicode"/>
          <w:sz w:val="22"/>
          <w:szCs w:val="22"/>
        </w:rPr>
        <w:fldChar w:fldCharType="end"/>
      </w:r>
      <w:r w:rsidRPr="00682D68">
        <w:rPr>
          <w:rFonts w:eastAsiaTheme="minorHAnsi" w:cs="Lucida Sans Unicode"/>
          <w:sz w:val="22"/>
          <w:szCs w:val="22"/>
        </w:rPr>
        <w:t xml:space="preserve">. Hierzu trug maßgeblich das deutliche Mengenwachstum bei. Die Verkaufspreise gaben vor allem aufgrund der Weitergabe rückläufiger Rohstoffkosten leicht nach. Das bereinigte EBITDA </w:t>
      </w:r>
      <w:r w:rsidRPr="00682D68">
        <w:rPr>
          <w:rFonts w:eastAsiaTheme="minorHAnsi" w:cs="Lucida Sans Unicode"/>
          <w:sz w:val="22"/>
          <w:szCs w:val="22"/>
        </w:rPr>
        <w:lastRenderedPageBreak/>
        <w:t>verbesserte sich maßgeblich infolge des Mengenwachstums sowie vorteilhafter Rohstoffkosten um 21 Prozent auf 262 Millionen €</w:t>
      </w:r>
      <w:r w:rsidRPr="00682D68">
        <w:rPr>
          <w:rFonts w:eastAsiaTheme="minorHAnsi" w:cs="Lucida Sans Unicode"/>
          <w:sz w:val="22"/>
          <w:szCs w:val="22"/>
        </w:rPr>
        <w:fldChar w:fldCharType="begin"/>
      </w:r>
      <w:r w:rsidRPr="00682D68">
        <w:rPr>
          <w:rFonts w:eastAsiaTheme="minorHAnsi" w:cs="Lucida Sans Unicode"/>
          <w:sz w:val="22"/>
          <w:szCs w:val="22"/>
        </w:rPr>
        <w:instrText xml:space="preserve"> DOCVARIABLE WORDVALUE-1eb275d6-710c-4f2a-b2ac-41e8b5d16b54 \* MERGEFORMAT </w:instrText>
      </w:r>
      <w:r w:rsidRPr="00682D68">
        <w:rPr>
          <w:rFonts w:eastAsiaTheme="minorHAnsi" w:cs="Lucida Sans Unicode"/>
          <w:sz w:val="22"/>
          <w:szCs w:val="22"/>
        </w:rPr>
        <w:fldChar w:fldCharType="end"/>
      </w:r>
      <w:r w:rsidRPr="00682D68">
        <w:rPr>
          <w:rFonts w:eastAsiaTheme="minorHAnsi" w:cs="Lucida Sans Unicode"/>
          <w:sz w:val="22"/>
          <w:szCs w:val="22"/>
        </w:rPr>
        <w:t xml:space="preserve">. Die bereinigte EBITDA-Marge stieg auf sehr gute 23,5 Prozent. Im </w:t>
      </w:r>
      <w:r w:rsidRPr="00682D68">
        <w:rPr>
          <w:rFonts w:eastAsiaTheme="minorHAnsi" w:cs="Lucida Sans Unicode"/>
          <w:b/>
          <w:sz w:val="22"/>
          <w:szCs w:val="22"/>
        </w:rPr>
        <w:t>Dreivierteljahr</w:t>
      </w:r>
      <w:r w:rsidRPr="00682D68">
        <w:rPr>
          <w:rFonts w:eastAsiaTheme="minorHAnsi" w:cs="Lucida Sans Unicode"/>
          <w:sz w:val="22"/>
          <w:szCs w:val="22"/>
        </w:rPr>
        <w:t xml:space="preserve"> 2016 wuchs der Umsatz des Segments Resource Efficiency um 3 Prozent auf 3.392 Millionen €</w:t>
      </w:r>
      <w:r w:rsidRPr="00682D68">
        <w:rPr>
          <w:rFonts w:eastAsiaTheme="minorHAnsi" w:cs="Lucida Sans Unicode"/>
          <w:sz w:val="22"/>
          <w:szCs w:val="22"/>
        </w:rPr>
        <w:fldChar w:fldCharType="begin"/>
      </w:r>
      <w:r w:rsidRPr="00682D68">
        <w:rPr>
          <w:rFonts w:eastAsiaTheme="minorHAnsi" w:cs="Lucida Sans Unicode"/>
          <w:sz w:val="22"/>
          <w:szCs w:val="22"/>
        </w:rPr>
        <w:instrText xml:space="preserve"> DOCVARIABLE WORDVALUE-669aedab-8426-449b-bd53-0fb903e0555a \* MERGEFORMAT </w:instrText>
      </w:r>
      <w:r w:rsidRPr="00682D68">
        <w:rPr>
          <w:rFonts w:eastAsiaTheme="minorHAnsi" w:cs="Lucida Sans Unicode"/>
          <w:sz w:val="22"/>
          <w:szCs w:val="22"/>
        </w:rPr>
        <w:fldChar w:fldCharType="end"/>
      </w:r>
      <w:r w:rsidRPr="00682D68">
        <w:rPr>
          <w:rFonts w:eastAsiaTheme="minorHAnsi" w:cs="Lucida Sans Unicode"/>
          <w:sz w:val="22"/>
          <w:szCs w:val="22"/>
        </w:rPr>
        <w:t>. Hierzu trugen vor allem höhere Mengen bei, während die rohstoffpreisbedingt geringeren Verkaufspreise gegenläufig wirkten. Das bereinigte EBITDA stieg um 10 Prozent auf 788 Millionen €</w:t>
      </w:r>
      <w:r w:rsidRPr="00682D68">
        <w:rPr>
          <w:rFonts w:eastAsiaTheme="minorHAnsi" w:cs="Lucida Sans Unicode"/>
          <w:sz w:val="22"/>
          <w:szCs w:val="22"/>
        </w:rPr>
        <w:fldChar w:fldCharType="begin"/>
      </w:r>
      <w:r w:rsidRPr="00682D68">
        <w:rPr>
          <w:rFonts w:eastAsiaTheme="minorHAnsi" w:cs="Lucida Sans Unicode"/>
          <w:sz w:val="22"/>
          <w:szCs w:val="22"/>
        </w:rPr>
        <w:instrText xml:space="preserve"> DOCVARIABLE WORDVALUE-17d97938-3f6c-472b-bef0-373840c7c3af \* MERGEFORMAT </w:instrText>
      </w:r>
      <w:r w:rsidRPr="00682D68">
        <w:rPr>
          <w:rFonts w:eastAsiaTheme="minorHAnsi" w:cs="Lucida Sans Unicode"/>
          <w:sz w:val="22"/>
          <w:szCs w:val="22"/>
        </w:rPr>
        <w:fldChar w:fldCharType="end"/>
      </w:r>
      <w:r w:rsidRPr="00682D68">
        <w:rPr>
          <w:rFonts w:eastAsiaTheme="minorHAnsi" w:cs="Lucida Sans Unicode"/>
          <w:sz w:val="22"/>
          <w:szCs w:val="22"/>
        </w:rPr>
        <w:t>. Die bereinigte EBITDA-Marge verbesserte sich von 21,8 Prozent auf sehr gute 23,2 Prozent</w:t>
      </w:r>
      <w:r w:rsidRPr="00682D68">
        <w:rPr>
          <w:rFonts w:cs="Lucida Sans Unicode"/>
          <w:sz w:val="22"/>
          <w:szCs w:val="22"/>
        </w:rPr>
        <w:t>.</w:t>
      </w:r>
    </w:p>
    <w:p w:rsidR="004F0709" w:rsidRPr="00682D68" w:rsidRDefault="004F0709" w:rsidP="004F0709">
      <w:pPr>
        <w:rPr>
          <w:rFonts w:cs="Lucida Sans Unicode"/>
          <w:szCs w:val="22"/>
        </w:rPr>
      </w:pPr>
    </w:p>
    <w:p w:rsidR="004F0709" w:rsidRPr="00682D68" w:rsidRDefault="004F0709" w:rsidP="004F0709">
      <w:pPr>
        <w:rPr>
          <w:rFonts w:cs="Lucida Sans Unicode"/>
          <w:szCs w:val="22"/>
        </w:rPr>
      </w:pPr>
      <w:r w:rsidRPr="00682D68">
        <w:rPr>
          <w:rFonts w:cs="Lucida Sans Unicode"/>
          <w:szCs w:val="22"/>
        </w:rPr>
        <w:t xml:space="preserve">Der Umsatz des Segments </w:t>
      </w:r>
      <w:r w:rsidRPr="00682D68">
        <w:rPr>
          <w:rFonts w:cs="Lucida Sans Unicode"/>
          <w:b/>
          <w:szCs w:val="22"/>
        </w:rPr>
        <w:t>Performance Materials</w:t>
      </w:r>
      <w:r w:rsidRPr="00682D68">
        <w:rPr>
          <w:rFonts w:cs="Lucida Sans Unicode"/>
          <w:szCs w:val="22"/>
        </w:rPr>
        <w:t xml:space="preserve"> nahm im </w:t>
      </w:r>
      <w:r w:rsidRPr="00682D68">
        <w:rPr>
          <w:rFonts w:cs="Lucida Sans Unicode"/>
          <w:b/>
          <w:szCs w:val="22"/>
        </w:rPr>
        <w:t>dritten Quartal</w:t>
      </w:r>
      <w:r w:rsidRPr="00682D68">
        <w:rPr>
          <w:rFonts w:cs="Lucida Sans Unicode"/>
          <w:szCs w:val="22"/>
        </w:rPr>
        <w:t xml:space="preserve"> 2016 um 7 Prozent auf 797 Millionen € ab. Dies resultierte maßgeblich aus geringeren Verkaufspreisen aus der Weitergabe niedrigerer Rohstoffnotierungen. Die Mengen konnten dagegen bei guter Nachfrage spürbar ausgeweitet werden. Das bereinigte EBITDA wuchs um 11 Prozent auf 104 Millionen €. Dies ist maßgeblich auf die gestiegenen Mengen, eine hohe Anlagenauslastung sowie erste Erfolge aus Kostensenkungsmaßnahmen zurückzuführen. Die bereinigte EBITDA-Marge erhöhte sich entsprechend von 11,0 Prozent im Vorjahresquartal auf 13,0 Prozent. Im </w:t>
      </w:r>
      <w:r w:rsidRPr="00682D68">
        <w:rPr>
          <w:rFonts w:cs="Lucida Sans Unicode"/>
          <w:b/>
          <w:szCs w:val="22"/>
        </w:rPr>
        <w:t>Dreivierteljahr</w:t>
      </w:r>
      <w:r w:rsidRPr="00682D68">
        <w:rPr>
          <w:rFonts w:cs="Lucida Sans Unicode"/>
          <w:szCs w:val="22"/>
        </w:rPr>
        <w:t xml:space="preserve"> ging der Umsatz des Segments Performance Materials um 9 Prozent auf 2.399 Millionen € zurück. Bei höheren Absatzmengen resultierte der Rückgang aus geringeren rohölbasierten Verkaufspreisen. Das bereinigte EBITDA verbesserte sich um 11 Prozent auf 273 Millionen €. Die bereinigte EBITDA-Marge stieg auf 11,4 Prozent.</w:t>
      </w:r>
    </w:p>
    <w:p w:rsidR="004F0709" w:rsidRPr="00682D68" w:rsidRDefault="004F0709" w:rsidP="004F0709">
      <w:pPr>
        <w:rPr>
          <w:rFonts w:cs="Lucida Sans Unicode"/>
          <w:szCs w:val="22"/>
        </w:rPr>
      </w:pPr>
    </w:p>
    <w:p w:rsidR="0006177F" w:rsidRPr="0084389E" w:rsidRDefault="0006177F" w:rsidP="0006177F">
      <w:pPr>
        <w:tabs>
          <w:tab w:val="left" w:pos="990"/>
        </w:tabs>
      </w:pPr>
    </w:p>
    <w:p w:rsidR="0073005C" w:rsidRDefault="0073005C">
      <w:pPr>
        <w:spacing w:line="240" w:lineRule="auto"/>
      </w:pPr>
      <w:r>
        <w:br w:type="page"/>
      </w:r>
    </w:p>
    <w:p w:rsidR="0073005C" w:rsidRDefault="0073005C" w:rsidP="0073005C">
      <w:pPr>
        <w:spacing w:after="120" w:line="300" w:lineRule="atLeast"/>
        <w:rPr>
          <w:rFonts w:cs="Lucida Sans Unicode"/>
          <w:b/>
          <w:bCs/>
          <w:sz w:val="20"/>
          <w:szCs w:val="20"/>
        </w:rPr>
      </w:pPr>
      <w:r>
        <w:rPr>
          <w:rFonts w:cs="Lucida Sans Unicode"/>
          <w:b/>
          <w:bCs/>
          <w:sz w:val="20"/>
          <w:szCs w:val="20"/>
        </w:rPr>
        <w:lastRenderedPageBreak/>
        <w:t>Evonik-Konzern: Ergebnisrechnung im Überblick</w:t>
      </w: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863"/>
        <w:gridCol w:w="862"/>
        <w:gridCol w:w="922"/>
        <w:gridCol w:w="863"/>
        <w:gridCol w:w="906"/>
        <w:gridCol w:w="922"/>
      </w:tblGrid>
      <w:tr w:rsidR="0073005C" w:rsidTr="005230B7">
        <w:trPr>
          <w:trHeight w:val="510"/>
        </w:trPr>
        <w:tc>
          <w:tcPr>
            <w:tcW w:w="4678" w:type="dxa"/>
            <w:shd w:val="clear" w:color="auto" w:fill="auto"/>
            <w:noWrap/>
            <w:vAlign w:val="center"/>
          </w:tcPr>
          <w:p w:rsidR="0073005C" w:rsidRDefault="0073005C" w:rsidP="005230B7">
            <w:pPr>
              <w:rPr>
                <w:rFonts w:cs="Lucida Sans Unicode"/>
                <w:b/>
                <w:bCs/>
                <w:szCs w:val="20"/>
              </w:rPr>
            </w:pPr>
            <w:r>
              <w:rPr>
                <w:rFonts w:cs="Lucida Sans Unicode"/>
                <w:b/>
                <w:bCs/>
                <w:szCs w:val="20"/>
              </w:rPr>
              <w:t>(in Mio. €)</w:t>
            </w:r>
          </w:p>
        </w:tc>
        <w:tc>
          <w:tcPr>
            <w:tcW w:w="863" w:type="dxa"/>
            <w:shd w:val="clear" w:color="auto" w:fill="CCCCCC"/>
            <w:vAlign w:val="center"/>
          </w:tcPr>
          <w:p w:rsidR="0073005C" w:rsidRDefault="0073005C" w:rsidP="005230B7">
            <w:pPr>
              <w:jc w:val="center"/>
              <w:rPr>
                <w:rFonts w:cs="Lucida Sans Unicode"/>
                <w:b/>
                <w:bCs/>
                <w:szCs w:val="20"/>
              </w:rPr>
            </w:pPr>
            <w:r>
              <w:rPr>
                <w:rFonts w:cs="Lucida Sans Unicode"/>
                <w:b/>
                <w:bCs/>
                <w:szCs w:val="20"/>
              </w:rPr>
              <w:t>Q3 2016</w:t>
            </w:r>
          </w:p>
        </w:tc>
        <w:tc>
          <w:tcPr>
            <w:tcW w:w="862" w:type="dxa"/>
            <w:shd w:val="clear" w:color="auto" w:fill="auto"/>
            <w:vAlign w:val="center"/>
          </w:tcPr>
          <w:p w:rsidR="0073005C" w:rsidRDefault="0073005C" w:rsidP="005230B7">
            <w:pPr>
              <w:jc w:val="center"/>
              <w:rPr>
                <w:rFonts w:cs="Lucida Sans Unicode"/>
                <w:b/>
                <w:bCs/>
                <w:szCs w:val="20"/>
              </w:rPr>
            </w:pPr>
            <w:r>
              <w:rPr>
                <w:rFonts w:cs="Lucida Sans Unicode"/>
                <w:b/>
                <w:bCs/>
                <w:szCs w:val="20"/>
              </w:rPr>
              <w:t xml:space="preserve">Q3 </w:t>
            </w:r>
            <w:r>
              <w:rPr>
                <w:rFonts w:cs="Lucida Sans Unicode"/>
                <w:b/>
                <w:bCs/>
                <w:szCs w:val="20"/>
              </w:rPr>
              <w:br/>
              <w:t xml:space="preserve"> 2015</w:t>
            </w:r>
          </w:p>
        </w:tc>
        <w:tc>
          <w:tcPr>
            <w:tcW w:w="898" w:type="dxa"/>
            <w:shd w:val="clear" w:color="auto" w:fill="auto"/>
            <w:vAlign w:val="center"/>
          </w:tcPr>
          <w:p w:rsidR="0073005C" w:rsidRDefault="0073005C" w:rsidP="005230B7">
            <w:pPr>
              <w:jc w:val="center"/>
              <w:rPr>
                <w:rFonts w:cs="Lucida Sans Unicode"/>
                <w:b/>
                <w:bCs/>
                <w:spacing w:val="-6"/>
                <w:szCs w:val="20"/>
              </w:rPr>
            </w:pPr>
            <w:r>
              <w:rPr>
                <w:rFonts w:cs="Lucida Sans Unicode"/>
                <w:b/>
                <w:bCs/>
                <w:spacing w:val="-6"/>
                <w:szCs w:val="20"/>
              </w:rPr>
              <w:t xml:space="preserve">Veränd. </w:t>
            </w:r>
            <w:r>
              <w:rPr>
                <w:rFonts w:cs="Lucida Sans Unicode"/>
                <w:b/>
                <w:bCs/>
                <w:spacing w:val="-6"/>
                <w:szCs w:val="20"/>
              </w:rPr>
              <w:br/>
              <w:t>in %</w:t>
            </w:r>
          </w:p>
        </w:tc>
        <w:tc>
          <w:tcPr>
            <w:tcW w:w="863" w:type="dxa"/>
            <w:shd w:val="clear" w:color="auto" w:fill="CCCCCC"/>
            <w:vAlign w:val="center"/>
          </w:tcPr>
          <w:p w:rsidR="0073005C" w:rsidRDefault="0073005C" w:rsidP="005230B7">
            <w:pPr>
              <w:jc w:val="center"/>
              <w:rPr>
                <w:rFonts w:cs="Lucida Sans Unicode"/>
                <w:b/>
                <w:bCs/>
                <w:szCs w:val="20"/>
              </w:rPr>
            </w:pPr>
            <w:r>
              <w:rPr>
                <w:rFonts w:cs="Lucida Sans Unicode"/>
                <w:b/>
                <w:bCs/>
                <w:szCs w:val="20"/>
              </w:rPr>
              <w:t>1-9</w:t>
            </w:r>
          </w:p>
          <w:p w:rsidR="0073005C" w:rsidRDefault="0073005C" w:rsidP="005230B7">
            <w:pPr>
              <w:jc w:val="center"/>
              <w:rPr>
                <w:rFonts w:cs="Lucida Sans Unicode"/>
                <w:b/>
                <w:bCs/>
                <w:szCs w:val="20"/>
              </w:rPr>
            </w:pPr>
            <w:r>
              <w:rPr>
                <w:rFonts w:cs="Lucida Sans Unicode"/>
                <w:b/>
                <w:bCs/>
                <w:szCs w:val="20"/>
              </w:rPr>
              <w:t>2016</w:t>
            </w:r>
          </w:p>
        </w:tc>
        <w:tc>
          <w:tcPr>
            <w:tcW w:w="862" w:type="dxa"/>
            <w:shd w:val="clear" w:color="auto" w:fill="auto"/>
            <w:vAlign w:val="center"/>
          </w:tcPr>
          <w:p w:rsidR="0073005C" w:rsidRDefault="0073005C" w:rsidP="005230B7">
            <w:pPr>
              <w:jc w:val="center"/>
              <w:rPr>
                <w:rFonts w:cs="Lucida Sans Unicode"/>
                <w:b/>
                <w:bCs/>
                <w:szCs w:val="20"/>
              </w:rPr>
            </w:pPr>
            <w:r>
              <w:rPr>
                <w:rFonts w:cs="Lucida Sans Unicode"/>
                <w:b/>
                <w:bCs/>
                <w:szCs w:val="20"/>
              </w:rPr>
              <w:t>1-9</w:t>
            </w:r>
          </w:p>
          <w:p w:rsidR="0073005C" w:rsidRDefault="0073005C" w:rsidP="005230B7">
            <w:pPr>
              <w:jc w:val="center"/>
              <w:rPr>
                <w:rFonts w:cs="Lucida Sans Unicode"/>
                <w:b/>
                <w:bCs/>
                <w:szCs w:val="20"/>
              </w:rPr>
            </w:pPr>
            <w:r>
              <w:rPr>
                <w:rFonts w:cs="Lucida Sans Unicode"/>
                <w:b/>
                <w:bCs/>
                <w:szCs w:val="20"/>
              </w:rPr>
              <w:t>2015</w:t>
            </w:r>
          </w:p>
        </w:tc>
        <w:tc>
          <w:tcPr>
            <w:tcW w:w="898" w:type="dxa"/>
            <w:shd w:val="clear" w:color="auto" w:fill="auto"/>
            <w:vAlign w:val="center"/>
          </w:tcPr>
          <w:p w:rsidR="0073005C" w:rsidRDefault="0073005C" w:rsidP="005230B7">
            <w:pPr>
              <w:jc w:val="center"/>
              <w:rPr>
                <w:rFonts w:cs="Lucida Sans Unicode"/>
                <w:b/>
                <w:bCs/>
                <w:spacing w:val="-6"/>
                <w:szCs w:val="20"/>
              </w:rPr>
            </w:pPr>
            <w:r>
              <w:rPr>
                <w:rFonts w:cs="Lucida Sans Unicode"/>
                <w:b/>
                <w:bCs/>
                <w:spacing w:val="-6"/>
                <w:szCs w:val="20"/>
              </w:rPr>
              <w:t xml:space="preserve">Veränd. </w:t>
            </w:r>
            <w:r>
              <w:rPr>
                <w:rFonts w:cs="Lucida Sans Unicode"/>
                <w:b/>
                <w:bCs/>
                <w:spacing w:val="-6"/>
                <w:szCs w:val="20"/>
              </w:rPr>
              <w:br/>
              <w:t>in %</w:t>
            </w:r>
          </w:p>
        </w:tc>
      </w:tr>
      <w:tr w:rsidR="0073005C" w:rsidTr="005230B7">
        <w:trPr>
          <w:trHeight w:val="300"/>
        </w:trPr>
        <w:tc>
          <w:tcPr>
            <w:tcW w:w="4678" w:type="dxa"/>
            <w:shd w:val="clear" w:color="auto" w:fill="auto"/>
            <w:noWrap/>
            <w:vAlign w:val="bottom"/>
          </w:tcPr>
          <w:p w:rsidR="0073005C" w:rsidRDefault="0073005C" w:rsidP="005230B7">
            <w:pPr>
              <w:rPr>
                <w:rFonts w:cs="Lucida Sans Unicode"/>
                <w:szCs w:val="20"/>
              </w:rPr>
            </w:pPr>
            <w:r>
              <w:rPr>
                <w:rFonts w:cs="Lucida Sans Unicode"/>
                <w:szCs w:val="20"/>
              </w:rPr>
              <w:t>Umsatz</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3.164</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3.365</w:t>
            </w:r>
          </w:p>
        </w:tc>
        <w:tc>
          <w:tcPr>
            <w:tcW w:w="898" w:type="dxa"/>
            <w:shd w:val="clear" w:color="auto" w:fill="auto"/>
            <w:noWrap/>
            <w:vAlign w:val="bottom"/>
          </w:tcPr>
          <w:p w:rsidR="0073005C" w:rsidRDefault="005652ED" w:rsidP="005230B7">
            <w:pPr>
              <w:jc w:val="right"/>
              <w:rPr>
                <w:rFonts w:cs="Lucida Sans Unicode"/>
                <w:szCs w:val="20"/>
              </w:rPr>
            </w:pPr>
            <w:r>
              <w:rPr>
                <w:rFonts w:cs="Lucida Sans Unicode"/>
                <w:szCs w:val="20"/>
              </w:rPr>
              <w:t>-6</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9.527</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10.309</w:t>
            </w:r>
          </w:p>
        </w:tc>
        <w:tc>
          <w:tcPr>
            <w:tcW w:w="898" w:type="dxa"/>
            <w:shd w:val="clear" w:color="auto" w:fill="auto"/>
            <w:noWrap/>
            <w:vAlign w:val="bottom"/>
          </w:tcPr>
          <w:p w:rsidR="0073005C" w:rsidRDefault="005652ED" w:rsidP="005230B7">
            <w:pPr>
              <w:jc w:val="right"/>
              <w:rPr>
                <w:rFonts w:cs="Lucida Sans Unicode"/>
                <w:szCs w:val="20"/>
              </w:rPr>
            </w:pPr>
            <w:r>
              <w:rPr>
                <w:rFonts w:cs="Lucida Sans Unicode"/>
                <w:szCs w:val="20"/>
              </w:rPr>
              <w:t>-8</w:t>
            </w:r>
          </w:p>
        </w:tc>
      </w:tr>
      <w:tr w:rsidR="0073005C" w:rsidTr="005230B7">
        <w:trPr>
          <w:trHeight w:val="300"/>
        </w:trPr>
        <w:tc>
          <w:tcPr>
            <w:tcW w:w="4678" w:type="dxa"/>
            <w:shd w:val="clear" w:color="auto" w:fill="auto"/>
            <w:noWrap/>
            <w:vAlign w:val="bottom"/>
          </w:tcPr>
          <w:p w:rsidR="0073005C" w:rsidRDefault="0073005C" w:rsidP="005230B7">
            <w:pPr>
              <w:rPr>
                <w:rFonts w:cs="Lucida Sans Unicode"/>
                <w:szCs w:val="20"/>
              </w:rPr>
            </w:pPr>
            <w:r>
              <w:rPr>
                <w:rFonts w:cs="Lucida Sans Unicode"/>
                <w:szCs w:val="20"/>
              </w:rPr>
              <w:t>Bereinigtes EBITDA</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578</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653</w:t>
            </w:r>
          </w:p>
        </w:tc>
        <w:tc>
          <w:tcPr>
            <w:tcW w:w="898" w:type="dxa"/>
            <w:shd w:val="clear" w:color="auto" w:fill="auto"/>
            <w:noWrap/>
            <w:vAlign w:val="bottom"/>
          </w:tcPr>
          <w:p w:rsidR="0073005C" w:rsidRDefault="0073005C" w:rsidP="005230B7">
            <w:pPr>
              <w:jc w:val="right"/>
              <w:rPr>
                <w:rFonts w:cs="Lucida Sans Unicode"/>
                <w:szCs w:val="20"/>
              </w:rPr>
            </w:pPr>
            <w:r>
              <w:rPr>
                <w:rFonts w:cs="Lucida Sans Unicode"/>
                <w:szCs w:val="20"/>
              </w:rPr>
              <w:t>-11</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1.728</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1.964</w:t>
            </w:r>
          </w:p>
        </w:tc>
        <w:tc>
          <w:tcPr>
            <w:tcW w:w="898" w:type="dxa"/>
            <w:shd w:val="clear" w:color="auto" w:fill="auto"/>
            <w:noWrap/>
            <w:vAlign w:val="bottom"/>
          </w:tcPr>
          <w:p w:rsidR="0073005C" w:rsidRDefault="0073005C" w:rsidP="005230B7">
            <w:pPr>
              <w:jc w:val="right"/>
              <w:rPr>
                <w:rFonts w:cs="Lucida Sans Unicode"/>
                <w:szCs w:val="20"/>
              </w:rPr>
            </w:pPr>
            <w:r>
              <w:rPr>
                <w:rFonts w:cs="Lucida Sans Unicode"/>
                <w:szCs w:val="20"/>
              </w:rPr>
              <w:t>-12</w:t>
            </w:r>
          </w:p>
        </w:tc>
      </w:tr>
      <w:tr w:rsidR="0073005C" w:rsidTr="005230B7">
        <w:trPr>
          <w:trHeight w:val="300"/>
        </w:trPr>
        <w:tc>
          <w:tcPr>
            <w:tcW w:w="4678" w:type="dxa"/>
            <w:shd w:val="clear" w:color="auto" w:fill="auto"/>
            <w:noWrap/>
            <w:vAlign w:val="bottom"/>
          </w:tcPr>
          <w:p w:rsidR="0073005C" w:rsidRDefault="0073005C" w:rsidP="005230B7">
            <w:pPr>
              <w:rPr>
                <w:rFonts w:cs="Lucida Sans Unicode"/>
                <w:szCs w:val="20"/>
              </w:rPr>
            </w:pPr>
            <w:r>
              <w:rPr>
                <w:rFonts w:cs="Lucida Sans Unicode"/>
                <w:szCs w:val="20"/>
              </w:rPr>
              <w:t>Bereinigtes EBIT</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396</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473</w:t>
            </w:r>
          </w:p>
        </w:tc>
        <w:tc>
          <w:tcPr>
            <w:tcW w:w="898" w:type="dxa"/>
            <w:shd w:val="clear" w:color="auto" w:fill="auto"/>
            <w:noWrap/>
            <w:vAlign w:val="bottom"/>
          </w:tcPr>
          <w:p w:rsidR="0073005C" w:rsidRDefault="0073005C" w:rsidP="005230B7">
            <w:pPr>
              <w:jc w:val="right"/>
              <w:rPr>
                <w:rFonts w:cs="Lucida Sans Unicode"/>
                <w:szCs w:val="20"/>
              </w:rPr>
            </w:pPr>
            <w:r>
              <w:rPr>
                <w:rFonts w:cs="Lucida Sans Unicode"/>
                <w:szCs w:val="20"/>
              </w:rPr>
              <w:t>-16</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1.191</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1.444</w:t>
            </w:r>
          </w:p>
        </w:tc>
        <w:tc>
          <w:tcPr>
            <w:tcW w:w="898" w:type="dxa"/>
            <w:shd w:val="clear" w:color="auto" w:fill="auto"/>
            <w:noWrap/>
            <w:vAlign w:val="bottom"/>
          </w:tcPr>
          <w:p w:rsidR="0073005C" w:rsidRDefault="0073005C" w:rsidP="005230B7">
            <w:pPr>
              <w:jc w:val="right"/>
              <w:rPr>
                <w:rFonts w:cs="Lucida Sans Unicode"/>
                <w:szCs w:val="20"/>
              </w:rPr>
            </w:pPr>
            <w:r>
              <w:rPr>
                <w:rFonts w:cs="Lucida Sans Unicode"/>
                <w:szCs w:val="20"/>
              </w:rPr>
              <w:t>-18</w:t>
            </w:r>
          </w:p>
        </w:tc>
      </w:tr>
      <w:tr w:rsidR="0073005C" w:rsidTr="005230B7">
        <w:trPr>
          <w:trHeight w:val="300"/>
        </w:trPr>
        <w:tc>
          <w:tcPr>
            <w:tcW w:w="4678" w:type="dxa"/>
            <w:shd w:val="clear" w:color="auto" w:fill="auto"/>
            <w:noWrap/>
            <w:vAlign w:val="bottom"/>
          </w:tcPr>
          <w:p w:rsidR="0073005C" w:rsidRDefault="0073005C" w:rsidP="005230B7">
            <w:pPr>
              <w:rPr>
                <w:rFonts w:cs="Lucida Sans Unicode"/>
                <w:szCs w:val="20"/>
              </w:rPr>
            </w:pPr>
            <w:r>
              <w:rPr>
                <w:rFonts w:cs="Lucida Sans Unicode"/>
                <w:szCs w:val="20"/>
              </w:rPr>
              <w:t>Bereinigungen</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-15</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-91</w:t>
            </w:r>
          </w:p>
        </w:tc>
        <w:tc>
          <w:tcPr>
            <w:tcW w:w="898" w:type="dxa"/>
            <w:shd w:val="clear" w:color="auto" w:fill="auto"/>
            <w:noWrap/>
            <w:vAlign w:val="bottom"/>
          </w:tcPr>
          <w:p w:rsidR="0073005C" w:rsidRDefault="0073005C" w:rsidP="005230B7">
            <w:pPr>
              <w:rPr>
                <w:rFonts w:cs="Lucida Sans Unicode"/>
                <w:szCs w:val="20"/>
              </w:rPr>
            </w:pP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-74</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-6</w:t>
            </w:r>
          </w:p>
        </w:tc>
        <w:tc>
          <w:tcPr>
            <w:tcW w:w="898" w:type="dxa"/>
            <w:shd w:val="clear" w:color="auto" w:fill="auto"/>
            <w:noWrap/>
            <w:vAlign w:val="bottom"/>
          </w:tcPr>
          <w:p w:rsidR="0073005C" w:rsidRDefault="0073005C" w:rsidP="005230B7">
            <w:pPr>
              <w:rPr>
                <w:rFonts w:cs="Lucida Sans Unicode"/>
                <w:szCs w:val="20"/>
              </w:rPr>
            </w:pPr>
          </w:p>
        </w:tc>
      </w:tr>
      <w:tr w:rsidR="0073005C" w:rsidTr="005230B7">
        <w:trPr>
          <w:trHeight w:val="300"/>
        </w:trPr>
        <w:tc>
          <w:tcPr>
            <w:tcW w:w="4678" w:type="dxa"/>
            <w:shd w:val="clear" w:color="auto" w:fill="auto"/>
            <w:noWrap/>
            <w:vAlign w:val="bottom"/>
          </w:tcPr>
          <w:p w:rsidR="0073005C" w:rsidRDefault="0073005C" w:rsidP="005230B7">
            <w:pPr>
              <w:rPr>
                <w:rFonts w:cs="Lucida Sans Unicode"/>
                <w:szCs w:val="20"/>
              </w:rPr>
            </w:pPr>
            <w:r>
              <w:rPr>
                <w:rFonts w:cs="Lucida Sans Unicode"/>
                <w:szCs w:val="20"/>
              </w:rPr>
              <w:t>Finanzergebnis</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-55</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-86</w:t>
            </w:r>
          </w:p>
        </w:tc>
        <w:tc>
          <w:tcPr>
            <w:tcW w:w="898" w:type="dxa"/>
            <w:shd w:val="clear" w:color="auto" w:fill="auto"/>
            <w:noWrap/>
            <w:vAlign w:val="bottom"/>
          </w:tcPr>
          <w:p w:rsidR="0073005C" w:rsidRDefault="0073005C" w:rsidP="005230B7">
            <w:pPr>
              <w:jc w:val="right"/>
              <w:rPr>
                <w:rFonts w:cs="Lucida Sans Unicode"/>
                <w:szCs w:val="20"/>
              </w:rPr>
            </w:pP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-183</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-200</w:t>
            </w:r>
          </w:p>
        </w:tc>
        <w:tc>
          <w:tcPr>
            <w:tcW w:w="898" w:type="dxa"/>
            <w:shd w:val="clear" w:color="auto" w:fill="auto"/>
            <w:noWrap/>
            <w:vAlign w:val="bottom"/>
          </w:tcPr>
          <w:p w:rsidR="0073005C" w:rsidRDefault="0073005C" w:rsidP="005230B7">
            <w:pPr>
              <w:rPr>
                <w:rFonts w:cs="Lucida Sans Unicode"/>
                <w:szCs w:val="20"/>
              </w:rPr>
            </w:pPr>
          </w:p>
        </w:tc>
      </w:tr>
      <w:tr w:rsidR="0073005C" w:rsidTr="005230B7">
        <w:trPr>
          <w:trHeight w:val="300"/>
        </w:trPr>
        <w:tc>
          <w:tcPr>
            <w:tcW w:w="4678" w:type="dxa"/>
            <w:shd w:val="clear" w:color="auto" w:fill="auto"/>
            <w:noWrap/>
            <w:vAlign w:val="bottom"/>
          </w:tcPr>
          <w:p w:rsidR="0073005C" w:rsidRPr="00E83E1D" w:rsidRDefault="0073005C" w:rsidP="005230B7">
            <w:pPr>
              <w:rPr>
                <w:rFonts w:cs="Lucida Sans Unicode"/>
                <w:bCs/>
                <w:szCs w:val="20"/>
              </w:rPr>
            </w:pPr>
            <w:r w:rsidRPr="00665480">
              <w:rPr>
                <w:rFonts w:cs="Lucida Sans Unicode"/>
                <w:szCs w:val="20"/>
              </w:rPr>
              <w:t>Ergebnis vor Ertragsteuern fortgeführter Aktivitäten</w:t>
            </w:r>
          </w:p>
        </w:tc>
        <w:tc>
          <w:tcPr>
            <w:tcW w:w="863" w:type="dxa"/>
            <w:shd w:val="clear" w:color="auto" w:fill="CCCCCC"/>
            <w:noWrap/>
            <w:vAlign w:val="bottom"/>
          </w:tcPr>
          <w:p w:rsidR="0073005C" w:rsidRPr="002B19DA" w:rsidRDefault="0073005C" w:rsidP="005230B7">
            <w:pPr>
              <w:jc w:val="right"/>
              <w:rPr>
                <w:rFonts w:cs="Lucida Sans Unicode"/>
                <w:bCs/>
                <w:szCs w:val="20"/>
              </w:rPr>
            </w:pPr>
            <w:r>
              <w:rPr>
                <w:rFonts w:cs="Lucida Sans Unicode"/>
                <w:bCs/>
                <w:szCs w:val="20"/>
              </w:rPr>
              <w:t>326</w:t>
            </w:r>
          </w:p>
        </w:tc>
        <w:tc>
          <w:tcPr>
            <w:tcW w:w="862"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296</w:t>
            </w:r>
          </w:p>
        </w:tc>
        <w:tc>
          <w:tcPr>
            <w:tcW w:w="898"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10</w:t>
            </w:r>
          </w:p>
        </w:tc>
        <w:tc>
          <w:tcPr>
            <w:tcW w:w="863" w:type="dxa"/>
            <w:shd w:val="clear" w:color="auto" w:fill="CCCCCC"/>
            <w:noWrap/>
            <w:vAlign w:val="bottom"/>
          </w:tcPr>
          <w:p w:rsidR="0073005C" w:rsidRPr="002B19DA" w:rsidRDefault="0073005C" w:rsidP="005230B7">
            <w:pPr>
              <w:jc w:val="right"/>
              <w:rPr>
                <w:rFonts w:cs="Lucida Sans Unicode"/>
                <w:bCs/>
                <w:szCs w:val="20"/>
              </w:rPr>
            </w:pPr>
            <w:r>
              <w:rPr>
                <w:rFonts w:cs="Lucida Sans Unicode"/>
                <w:bCs/>
                <w:szCs w:val="20"/>
              </w:rPr>
              <w:t>934</w:t>
            </w:r>
          </w:p>
        </w:tc>
        <w:tc>
          <w:tcPr>
            <w:tcW w:w="862"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1.238</w:t>
            </w:r>
          </w:p>
        </w:tc>
        <w:tc>
          <w:tcPr>
            <w:tcW w:w="898"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-25</w:t>
            </w:r>
          </w:p>
        </w:tc>
      </w:tr>
      <w:tr w:rsidR="0073005C" w:rsidTr="005230B7">
        <w:trPr>
          <w:trHeight w:val="300"/>
        </w:trPr>
        <w:tc>
          <w:tcPr>
            <w:tcW w:w="4678" w:type="dxa"/>
            <w:shd w:val="clear" w:color="auto" w:fill="auto"/>
            <w:noWrap/>
            <w:vAlign w:val="bottom"/>
          </w:tcPr>
          <w:p w:rsidR="0073005C" w:rsidRPr="00E83E1D" w:rsidRDefault="0073005C" w:rsidP="005230B7">
            <w:pPr>
              <w:rPr>
                <w:rFonts w:cs="Lucida Sans Unicode"/>
                <w:szCs w:val="20"/>
              </w:rPr>
            </w:pPr>
            <w:r w:rsidRPr="00E83E1D">
              <w:rPr>
                <w:rFonts w:cs="Lucida Sans Unicode"/>
                <w:szCs w:val="20"/>
              </w:rPr>
              <w:t>Ertragsteuern</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-100</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-105</w:t>
            </w:r>
          </w:p>
        </w:tc>
        <w:tc>
          <w:tcPr>
            <w:tcW w:w="898" w:type="dxa"/>
            <w:shd w:val="clear" w:color="auto" w:fill="auto"/>
            <w:noWrap/>
            <w:vAlign w:val="bottom"/>
          </w:tcPr>
          <w:p w:rsidR="0073005C" w:rsidRDefault="0073005C" w:rsidP="005230B7">
            <w:pPr>
              <w:jc w:val="right"/>
              <w:rPr>
                <w:rFonts w:cs="Lucida Sans Unicode"/>
                <w:szCs w:val="20"/>
              </w:rPr>
            </w:pP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-297</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-354</w:t>
            </w:r>
          </w:p>
        </w:tc>
        <w:tc>
          <w:tcPr>
            <w:tcW w:w="898" w:type="dxa"/>
            <w:shd w:val="clear" w:color="auto" w:fill="auto"/>
            <w:noWrap/>
            <w:vAlign w:val="bottom"/>
          </w:tcPr>
          <w:p w:rsidR="0073005C" w:rsidRDefault="0073005C" w:rsidP="005230B7">
            <w:pPr>
              <w:jc w:val="right"/>
              <w:rPr>
                <w:rFonts w:cs="Lucida Sans Unicode"/>
                <w:szCs w:val="20"/>
              </w:rPr>
            </w:pPr>
          </w:p>
        </w:tc>
      </w:tr>
      <w:tr w:rsidR="0073005C" w:rsidTr="005230B7">
        <w:trPr>
          <w:trHeight w:val="300"/>
        </w:trPr>
        <w:tc>
          <w:tcPr>
            <w:tcW w:w="4678" w:type="dxa"/>
            <w:shd w:val="clear" w:color="auto" w:fill="auto"/>
            <w:noWrap/>
            <w:vAlign w:val="bottom"/>
          </w:tcPr>
          <w:p w:rsidR="0073005C" w:rsidRPr="00E83E1D" w:rsidRDefault="0073005C" w:rsidP="005230B7">
            <w:pPr>
              <w:rPr>
                <w:rFonts w:cs="Lucida Sans Unicode"/>
                <w:bCs/>
                <w:szCs w:val="20"/>
              </w:rPr>
            </w:pPr>
            <w:r>
              <w:rPr>
                <w:rFonts w:cs="Lucida Sans Unicode"/>
                <w:szCs w:val="20"/>
              </w:rPr>
              <w:t>Ergebnis nach S</w:t>
            </w:r>
            <w:r w:rsidRPr="00DA2E4E">
              <w:rPr>
                <w:rFonts w:cs="Lucida Sans Unicode"/>
                <w:szCs w:val="20"/>
              </w:rPr>
              <w:t>teuern fortgeführter Aktivitäten</w:t>
            </w:r>
          </w:p>
        </w:tc>
        <w:tc>
          <w:tcPr>
            <w:tcW w:w="863" w:type="dxa"/>
            <w:shd w:val="clear" w:color="auto" w:fill="CCCCCC"/>
            <w:noWrap/>
            <w:vAlign w:val="bottom"/>
          </w:tcPr>
          <w:p w:rsidR="0073005C" w:rsidRPr="002B19DA" w:rsidRDefault="0073005C" w:rsidP="005230B7">
            <w:pPr>
              <w:jc w:val="right"/>
              <w:rPr>
                <w:rFonts w:cs="Lucida Sans Unicode"/>
                <w:bCs/>
                <w:szCs w:val="20"/>
              </w:rPr>
            </w:pPr>
            <w:r>
              <w:rPr>
                <w:rFonts w:cs="Lucida Sans Unicode"/>
                <w:bCs/>
                <w:szCs w:val="20"/>
              </w:rPr>
              <w:t>226</w:t>
            </w:r>
          </w:p>
        </w:tc>
        <w:tc>
          <w:tcPr>
            <w:tcW w:w="862"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191</w:t>
            </w:r>
          </w:p>
        </w:tc>
        <w:tc>
          <w:tcPr>
            <w:tcW w:w="898"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18</w:t>
            </w:r>
          </w:p>
        </w:tc>
        <w:tc>
          <w:tcPr>
            <w:tcW w:w="863" w:type="dxa"/>
            <w:shd w:val="clear" w:color="auto" w:fill="CCCCCC"/>
            <w:noWrap/>
            <w:vAlign w:val="bottom"/>
          </w:tcPr>
          <w:p w:rsidR="0073005C" w:rsidRPr="002B19DA" w:rsidRDefault="0073005C" w:rsidP="005230B7">
            <w:pPr>
              <w:jc w:val="right"/>
              <w:rPr>
                <w:rFonts w:cs="Lucida Sans Unicode"/>
                <w:bCs/>
                <w:szCs w:val="20"/>
              </w:rPr>
            </w:pPr>
            <w:r>
              <w:rPr>
                <w:rFonts w:cs="Lucida Sans Unicode"/>
                <w:bCs/>
                <w:szCs w:val="20"/>
              </w:rPr>
              <w:t>637</w:t>
            </w:r>
          </w:p>
        </w:tc>
        <w:tc>
          <w:tcPr>
            <w:tcW w:w="862"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884</w:t>
            </w:r>
          </w:p>
        </w:tc>
        <w:tc>
          <w:tcPr>
            <w:tcW w:w="898"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-28</w:t>
            </w:r>
          </w:p>
        </w:tc>
      </w:tr>
      <w:tr w:rsidR="0073005C" w:rsidTr="005230B7">
        <w:trPr>
          <w:trHeight w:val="300"/>
        </w:trPr>
        <w:tc>
          <w:tcPr>
            <w:tcW w:w="4678" w:type="dxa"/>
            <w:shd w:val="clear" w:color="auto" w:fill="auto"/>
            <w:noWrap/>
            <w:vAlign w:val="bottom"/>
          </w:tcPr>
          <w:p w:rsidR="0073005C" w:rsidRDefault="0073005C" w:rsidP="005230B7">
            <w:pPr>
              <w:rPr>
                <w:rFonts w:cs="Lucida Sans Unicode"/>
                <w:szCs w:val="20"/>
              </w:rPr>
            </w:pPr>
            <w:r>
              <w:rPr>
                <w:rFonts w:cs="Lucida Sans Unicode"/>
                <w:szCs w:val="20"/>
              </w:rPr>
              <w:t>Ergebnis nach Steuern nicht fortgeführter Aktivitäten</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1</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w:t>
            </w:r>
          </w:p>
        </w:tc>
        <w:tc>
          <w:tcPr>
            <w:tcW w:w="898" w:type="dxa"/>
            <w:shd w:val="clear" w:color="auto" w:fill="auto"/>
            <w:noWrap/>
            <w:vAlign w:val="bottom"/>
          </w:tcPr>
          <w:p w:rsidR="0073005C" w:rsidRDefault="0073005C" w:rsidP="005230B7">
            <w:pPr>
              <w:rPr>
                <w:rFonts w:cs="Lucida Sans Unicode"/>
                <w:szCs w:val="20"/>
              </w:rPr>
            </w:pP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1</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-15</w:t>
            </w:r>
          </w:p>
        </w:tc>
        <w:tc>
          <w:tcPr>
            <w:tcW w:w="898" w:type="dxa"/>
            <w:shd w:val="clear" w:color="auto" w:fill="auto"/>
            <w:noWrap/>
            <w:vAlign w:val="bottom"/>
          </w:tcPr>
          <w:p w:rsidR="0073005C" w:rsidRDefault="0073005C" w:rsidP="005230B7">
            <w:pPr>
              <w:rPr>
                <w:rFonts w:cs="Lucida Sans Unicode"/>
                <w:szCs w:val="20"/>
              </w:rPr>
            </w:pPr>
          </w:p>
        </w:tc>
      </w:tr>
      <w:tr w:rsidR="0073005C" w:rsidTr="005230B7">
        <w:trPr>
          <w:trHeight w:val="300"/>
        </w:trPr>
        <w:tc>
          <w:tcPr>
            <w:tcW w:w="4678" w:type="dxa"/>
            <w:shd w:val="clear" w:color="auto" w:fill="auto"/>
            <w:noWrap/>
            <w:vAlign w:val="bottom"/>
          </w:tcPr>
          <w:p w:rsidR="0073005C" w:rsidRPr="00E83E1D" w:rsidRDefault="0073005C" w:rsidP="005230B7">
            <w:pPr>
              <w:rPr>
                <w:rFonts w:cs="Lucida Sans Unicode"/>
                <w:bCs/>
                <w:szCs w:val="20"/>
              </w:rPr>
            </w:pPr>
            <w:r w:rsidRPr="00E83E1D">
              <w:rPr>
                <w:rFonts w:cs="Lucida Sans Unicode"/>
                <w:bCs/>
                <w:szCs w:val="20"/>
              </w:rPr>
              <w:t>Ergebnis nach Steuern</w:t>
            </w:r>
          </w:p>
        </w:tc>
        <w:tc>
          <w:tcPr>
            <w:tcW w:w="863" w:type="dxa"/>
            <w:shd w:val="clear" w:color="auto" w:fill="CCCCCC"/>
            <w:noWrap/>
            <w:vAlign w:val="bottom"/>
          </w:tcPr>
          <w:p w:rsidR="0073005C" w:rsidRPr="002B19DA" w:rsidRDefault="0073005C" w:rsidP="005230B7">
            <w:pPr>
              <w:jc w:val="right"/>
              <w:rPr>
                <w:rFonts w:cs="Lucida Sans Unicode"/>
                <w:bCs/>
                <w:szCs w:val="20"/>
              </w:rPr>
            </w:pPr>
            <w:r>
              <w:rPr>
                <w:rFonts w:cs="Lucida Sans Unicode"/>
                <w:bCs/>
                <w:szCs w:val="20"/>
              </w:rPr>
              <w:t>227</w:t>
            </w:r>
          </w:p>
        </w:tc>
        <w:tc>
          <w:tcPr>
            <w:tcW w:w="862"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191</w:t>
            </w:r>
          </w:p>
        </w:tc>
        <w:tc>
          <w:tcPr>
            <w:tcW w:w="898" w:type="dxa"/>
            <w:shd w:val="clear" w:color="auto" w:fill="auto"/>
            <w:noWrap/>
            <w:vAlign w:val="bottom"/>
          </w:tcPr>
          <w:p w:rsidR="0073005C" w:rsidRPr="002B19DA" w:rsidRDefault="0073005C" w:rsidP="005230B7">
            <w:pPr>
              <w:jc w:val="right"/>
              <w:rPr>
                <w:rFonts w:cs="Lucida Sans Unicode"/>
                <w:bCs/>
                <w:szCs w:val="20"/>
              </w:rPr>
            </w:pPr>
            <w:r>
              <w:rPr>
                <w:rFonts w:cs="Lucida Sans Unicode"/>
                <w:bCs/>
                <w:szCs w:val="20"/>
              </w:rPr>
              <w:t>19</w:t>
            </w:r>
          </w:p>
        </w:tc>
        <w:tc>
          <w:tcPr>
            <w:tcW w:w="863" w:type="dxa"/>
            <w:shd w:val="clear" w:color="auto" w:fill="CCCCCC"/>
            <w:noWrap/>
            <w:vAlign w:val="bottom"/>
          </w:tcPr>
          <w:p w:rsidR="0073005C" w:rsidRPr="002B19DA" w:rsidRDefault="0073005C" w:rsidP="005230B7">
            <w:pPr>
              <w:jc w:val="right"/>
              <w:rPr>
                <w:rFonts w:cs="Lucida Sans Unicode"/>
                <w:szCs w:val="20"/>
              </w:rPr>
            </w:pPr>
            <w:r>
              <w:rPr>
                <w:rFonts w:cs="Lucida Sans Unicode"/>
                <w:szCs w:val="20"/>
              </w:rPr>
              <w:t>638</w:t>
            </w:r>
          </w:p>
        </w:tc>
        <w:tc>
          <w:tcPr>
            <w:tcW w:w="862" w:type="dxa"/>
            <w:shd w:val="clear" w:color="auto" w:fill="auto"/>
            <w:noWrap/>
            <w:vAlign w:val="bottom"/>
          </w:tcPr>
          <w:p w:rsidR="0073005C" w:rsidRPr="002B19DA" w:rsidRDefault="0073005C" w:rsidP="005230B7">
            <w:pPr>
              <w:jc w:val="right"/>
              <w:rPr>
                <w:rFonts w:cs="Lucida Sans Unicode"/>
                <w:szCs w:val="20"/>
              </w:rPr>
            </w:pPr>
            <w:r>
              <w:rPr>
                <w:rFonts w:cs="Lucida Sans Unicode"/>
                <w:szCs w:val="20"/>
              </w:rPr>
              <w:t>869</w:t>
            </w:r>
          </w:p>
        </w:tc>
        <w:tc>
          <w:tcPr>
            <w:tcW w:w="898" w:type="dxa"/>
            <w:shd w:val="clear" w:color="auto" w:fill="auto"/>
            <w:noWrap/>
            <w:vAlign w:val="bottom"/>
          </w:tcPr>
          <w:p w:rsidR="0073005C" w:rsidRPr="002B19DA" w:rsidRDefault="0073005C" w:rsidP="005230B7">
            <w:pPr>
              <w:jc w:val="right"/>
              <w:rPr>
                <w:rFonts w:cs="Lucida Sans Unicode"/>
                <w:szCs w:val="20"/>
              </w:rPr>
            </w:pPr>
            <w:r>
              <w:rPr>
                <w:rFonts w:cs="Lucida Sans Unicode"/>
                <w:szCs w:val="20"/>
              </w:rPr>
              <w:t>-27</w:t>
            </w:r>
          </w:p>
        </w:tc>
      </w:tr>
      <w:tr w:rsidR="0073005C" w:rsidTr="005230B7">
        <w:trPr>
          <w:trHeight w:val="255"/>
        </w:trPr>
        <w:tc>
          <w:tcPr>
            <w:tcW w:w="4678" w:type="dxa"/>
            <w:shd w:val="clear" w:color="auto" w:fill="auto"/>
            <w:noWrap/>
            <w:vAlign w:val="bottom"/>
          </w:tcPr>
          <w:p w:rsidR="0073005C" w:rsidRDefault="0073005C" w:rsidP="005230B7">
            <w:pPr>
              <w:rPr>
                <w:rFonts w:cs="Lucida Sans Unicode"/>
                <w:szCs w:val="20"/>
              </w:rPr>
            </w:pPr>
            <w:r>
              <w:rPr>
                <w:rFonts w:cs="Lucida Sans Unicode"/>
                <w:szCs w:val="20"/>
              </w:rPr>
              <w:t>Davon Anteile anderer Gesellschafter</w:t>
            </w:r>
          </w:p>
        </w:tc>
        <w:tc>
          <w:tcPr>
            <w:tcW w:w="863" w:type="dxa"/>
            <w:shd w:val="clear" w:color="auto" w:fill="CCCCCC"/>
            <w:noWrap/>
            <w:vAlign w:val="bottom"/>
          </w:tcPr>
          <w:p w:rsidR="0073005C" w:rsidRDefault="0073005C" w:rsidP="005230B7">
            <w:pPr>
              <w:jc w:val="right"/>
              <w:rPr>
                <w:rFonts w:cs="Lucida Sans Unicode"/>
                <w:szCs w:val="20"/>
              </w:rPr>
            </w:pPr>
            <w:r>
              <w:rPr>
                <w:rFonts w:cs="Lucida Sans Unicode"/>
                <w:szCs w:val="20"/>
              </w:rPr>
              <w:t>4</w:t>
            </w:r>
          </w:p>
        </w:tc>
        <w:tc>
          <w:tcPr>
            <w:tcW w:w="862" w:type="dxa"/>
            <w:shd w:val="clear" w:color="auto" w:fill="auto"/>
            <w:noWrap/>
            <w:vAlign w:val="bottom"/>
          </w:tcPr>
          <w:p w:rsidR="0073005C" w:rsidRDefault="0073005C" w:rsidP="005230B7">
            <w:pPr>
              <w:jc w:val="right"/>
              <w:rPr>
                <w:rFonts w:cs="Lucida Sans Unicode"/>
                <w:szCs w:val="20"/>
              </w:rPr>
            </w:pPr>
            <w:r>
              <w:rPr>
                <w:rFonts w:cs="Lucida Sans Unicode"/>
                <w:szCs w:val="20"/>
              </w:rPr>
              <w:t>3</w:t>
            </w:r>
          </w:p>
        </w:tc>
        <w:tc>
          <w:tcPr>
            <w:tcW w:w="898" w:type="dxa"/>
            <w:shd w:val="clear" w:color="auto" w:fill="auto"/>
            <w:noWrap/>
            <w:vAlign w:val="bottom"/>
          </w:tcPr>
          <w:p w:rsidR="0073005C" w:rsidRDefault="0073005C" w:rsidP="005230B7">
            <w:pPr>
              <w:rPr>
                <w:rFonts w:cs="Lucida Sans Unicode"/>
                <w:szCs w:val="20"/>
              </w:rPr>
            </w:pPr>
          </w:p>
        </w:tc>
        <w:tc>
          <w:tcPr>
            <w:tcW w:w="863" w:type="dxa"/>
            <w:shd w:val="clear" w:color="auto" w:fill="CCCCCC"/>
            <w:noWrap/>
            <w:vAlign w:val="bottom"/>
          </w:tcPr>
          <w:p w:rsidR="0073005C" w:rsidRDefault="0073005C" w:rsidP="005230B7">
            <w:pPr>
              <w:jc w:val="right"/>
              <w:rPr>
                <w:rFonts w:cs="Lucida Sans Unicode"/>
                <w:bCs/>
                <w:szCs w:val="20"/>
              </w:rPr>
            </w:pPr>
            <w:r>
              <w:rPr>
                <w:rFonts w:cs="Lucida Sans Unicode"/>
                <w:bCs/>
                <w:szCs w:val="20"/>
              </w:rPr>
              <w:t>10</w:t>
            </w:r>
          </w:p>
        </w:tc>
        <w:tc>
          <w:tcPr>
            <w:tcW w:w="862" w:type="dxa"/>
            <w:shd w:val="clear" w:color="auto" w:fill="auto"/>
            <w:noWrap/>
            <w:vAlign w:val="bottom"/>
          </w:tcPr>
          <w:p w:rsidR="0073005C" w:rsidRDefault="0073005C" w:rsidP="005230B7">
            <w:pPr>
              <w:jc w:val="right"/>
              <w:rPr>
                <w:rFonts w:cs="Lucida Sans Unicode"/>
                <w:bCs/>
                <w:szCs w:val="20"/>
              </w:rPr>
            </w:pPr>
            <w:r>
              <w:rPr>
                <w:rFonts w:cs="Lucida Sans Unicode"/>
                <w:bCs/>
                <w:szCs w:val="20"/>
              </w:rPr>
              <w:t>7</w:t>
            </w:r>
          </w:p>
        </w:tc>
        <w:tc>
          <w:tcPr>
            <w:tcW w:w="898" w:type="dxa"/>
            <w:shd w:val="clear" w:color="auto" w:fill="auto"/>
            <w:noWrap/>
            <w:vAlign w:val="bottom"/>
          </w:tcPr>
          <w:p w:rsidR="0073005C" w:rsidRDefault="0073005C" w:rsidP="005230B7">
            <w:pPr>
              <w:jc w:val="right"/>
              <w:rPr>
                <w:rFonts w:cs="Lucida Sans Unicode"/>
                <w:b/>
                <w:bCs/>
                <w:szCs w:val="20"/>
              </w:rPr>
            </w:pPr>
          </w:p>
        </w:tc>
      </w:tr>
      <w:tr w:rsidR="0073005C" w:rsidRPr="00DA2E4E" w:rsidTr="005230B7">
        <w:trPr>
          <w:trHeight w:val="255"/>
        </w:trPr>
        <w:tc>
          <w:tcPr>
            <w:tcW w:w="4678" w:type="dxa"/>
            <w:shd w:val="clear" w:color="auto" w:fill="auto"/>
            <w:noWrap/>
            <w:vAlign w:val="bottom"/>
          </w:tcPr>
          <w:p w:rsidR="0073005C" w:rsidRPr="00DA2E4E" w:rsidRDefault="0073005C" w:rsidP="005230B7">
            <w:pPr>
              <w:rPr>
                <w:rFonts w:cs="Lucida Sans Unicode"/>
                <w:b/>
                <w:szCs w:val="20"/>
              </w:rPr>
            </w:pPr>
            <w:r w:rsidRPr="00DA2E4E">
              <w:rPr>
                <w:rFonts w:cs="Lucida Sans Unicode"/>
                <w:b/>
                <w:szCs w:val="20"/>
              </w:rPr>
              <w:t>Konzernergebnis</w:t>
            </w:r>
          </w:p>
        </w:tc>
        <w:tc>
          <w:tcPr>
            <w:tcW w:w="863" w:type="dxa"/>
            <w:shd w:val="clear" w:color="auto" w:fill="CCCCCC"/>
            <w:noWrap/>
            <w:vAlign w:val="bottom"/>
          </w:tcPr>
          <w:p w:rsidR="0073005C" w:rsidRPr="00F73E17" w:rsidRDefault="0073005C" w:rsidP="005230B7">
            <w:pPr>
              <w:jc w:val="right"/>
              <w:rPr>
                <w:rFonts w:cs="Lucida Sans Unicode"/>
                <w:bCs/>
                <w:szCs w:val="20"/>
              </w:rPr>
            </w:pPr>
            <w:r>
              <w:rPr>
                <w:rFonts w:cs="Lucida Sans Unicode"/>
                <w:bCs/>
                <w:szCs w:val="20"/>
              </w:rPr>
              <w:t>223</w:t>
            </w:r>
          </w:p>
        </w:tc>
        <w:tc>
          <w:tcPr>
            <w:tcW w:w="862" w:type="dxa"/>
            <w:shd w:val="clear" w:color="auto" w:fill="auto"/>
            <w:noWrap/>
            <w:vAlign w:val="bottom"/>
          </w:tcPr>
          <w:p w:rsidR="0073005C" w:rsidRPr="00F73E17" w:rsidRDefault="0073005C" w:rsidP="005230B7">
            <w:pPr>
              <w:jc w:val="right"/>
              <w:rPr>
                <w:rFonts w:cs="Lucida Sans Unicode"/>
                <w:bCs/>
                <w:szCs w:val="20"/>
              </w:rPr>
            </w:pPr>
            <w:r>
              <w:rPr>
                <w:rFonts w:cs="Lucida Sans Unicode"/>
                <w:bCs/>
                <w:szCs w:val="20"/>
              </w:rPr>
              <w:t>188</w:t>
            </w:r>
          </w:p>
        </w:tc>
        <w:tc>
          <w:tcPr>
            <w:tcW w:w="898" w:type="dxa"/>
            <w:shd w:val="clear" w:color="auto" w:fill="auto"/>
            <w:noWrap/>
            <w:vAlign w:val="bottom"/>
          </w:tcPr>
          <w:p w:rsidR="0073005C" w:rsidRPr="00F73E17" w:rsidRDefault="005652ED" w:rsidP="005230B7">
            <w:pPr>
              <w:jc w:val="right"/>
              <w:rPr>
                <w:rFonts w:cs="Lucida Sans Unicode"/>
                <w:bCs/>
                <w:szCs w:val="20"/>
              </w:rPr>
            </w:pPr>
            <w:r>
              <w:rPr>
                <w:rFonts w:cs="Lucida Sans Unicode"/>
                <w:bCs/>
                <w:szCs w:val="20"/>
              </w:rPr>
              <w:t>19</w:t>
            </w:r>
          </w:p>
        </w:tc>
        <w:tc>
          <w:tcPr>
            <w:tcW w:w="863" w:type="dxa"/>
            <w:shd w:val="clear" w:color="auto" w:fill="CCCCCC"/>
            <w:noWrap/>
            <w:vAlign w:val="bottom"/>
          </w:tcPr>
          <w:p w:rsidR="0073005C" w:rsidRPr="00F73E17" w:rsidRDefault="0073005C" w:rsidP="005230B7">
            <w:pPr>
              <w:jc w:val="right"/>
              <w:rPr>
                <w:rFonts w:cs="Lucida Sans Unicode"/>
                <w:bCs/>
                <w:szCs w:val="20"/>
              </w:rPr>
            </w:pPr>
            <w:r>
              <w:rPr>
                <w:rFonts w:cs="Lucida Sans Unicode"/>
                <w:bCs/>
                <w:szCs w:val="20"/>
              </w:rPr>
              <w:t>628</w:t>
            </w:r>
          </w:p>
        </w:tc>
        <w:tc>
          <w:tcPr>
            <w:tcW w:w="862" w:type="dxa"/>
            <w:shd w:val="clear" w:color="auto" w:fill="auto"/>
            <w:noWrap/>
            <w:vAlign w:val="bottom"/>
          </w:tcPr>
          <w:p w:rsidR="0073005C" w:rsidRPr="00F73E17" w:rsidRDefault="0073005C" w:rsidP="005230B7">
            <w:pPr>
              <w:jc w:val="right"/>
              <w:rPr>
                <w:rFonts w:cs="Lucida Sans Unicode"/>
                <w:bCs/>
                <w:szCs w:val="20"/>
              </w:rPr>
            </w:pPr>
            <w:r>
              <w:rPr>
                <w:rFonts w:cs="Lucida Sans Unicode"/>
                <w:bCs/>
                <w:szCs w:val="20"/>
              </w:rPr>
              <w:t>862</w:t>
            </w:r>
          </w:p>
        </w:tc>
        <w:tc>
          <w:tcPr>
            <w:tcW w:w="898" w:type="dxa"/>
            <w:shd w:val="clear" w:color="auto" w:fill="auto"/>
            <w:noWrap/>
            <w:vAlign w:val="bottom"/>
          </w:tcPr>
          <w:p w:rsidR="0073005C" w:rsidRPr="00F73E17" w:rsidRDefault="005652ED" w:rsidP="005230B7">
            <w:pPr>
              <w:jc w:val="right"/>
              <w:rPr>
                <w:rFonts w:cs="Lucida Sans Unicode"/>
                <w:bCs/>
                <w:szCs w:val="20"/>
              </w:rPr>
            </w:pPr>
            <w:r>
              <w:rPr>
                <w:rFonts w:cs="Lucida Sans Unicode"/>
                <w:bCs/>
                <w:szCs w:val="20"/>
              </w:rPr>
              <w:t>-27</w:t>
            </w:r>
          </w:p>
        </w:tc>
      </w:tr>
      <w:tr w:rsidR="0073005C" w:rsidRPr="00DA2E4E" w:rsidTr="005230B7">
        <w:trPr>
          <w:trHeight w:val="255"/>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DA2E4E" w:rsidRDefault="0073005C" w:rsidP="005230B7">
            <w:pPr>
              <w:rPr>
                <w:rFonts w:cs="Lucida Sans Unicode"/>
                <w:b/>
                <w:szCs w:val="20"/>
              </w:rPr>
            </w:pPr>
            <w:r w:rsidRPr="00DA2E4E">
              <w:rPr>
                <w:rFonts w:cs="Lucida Sans Unicode"/>
                <w:b/>
                <w:szCs w:val="20"/>
              </w:rPr>
              <w:t>Bereinigtes Konzernergebnis</w:t>
            </w:r>
          </w:p>
        </w:tc>
        <w:tc>
          <w:tcPr>
            <w:tcW w:w="86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73005C" w:rsidRPr="00DA2E4E" w:rsidRDefault="0073005C" w:rsidP="005230B7">
            <w:pPr>
              <w:jc w:val="right"/>
              <w:rPr>
                <w:rFonts w:cs="Lucida Sans Unicode"/>
                <w:b/>
                <w:bCs/>
                <w:szCs w:val="20"/>
              </w:rPr>
            </w:pPr>
            <w:r>
              <w:rPr>
                <w:rFonts w:cs="Lucida Sans Unicode"/>
                <w:b/>
                <w:bCs/>
                <w:szCs w:val="20"/>
              </w:rPr>
              <w:t>247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DA2E4E" w:rsidRDefault="0073005C" w:rsidP="005230B7">
            <w:pPr>
              <w:jc w:val="right"/>
              <w:rPr>
                <w:rFonts w:cs="Lucida Sans Unicode"/>
                <w:b/>
                <w:bCs/>
                <w:szCs w:val="20"/>
              </w:rPr>
            </w:pPr>
            <w:r>
              <w:rPr>
                <w:rFonts w:cs="Lucida Sans Unicode"/>
                <w:b/>
                <w:bCs/>
                <w:szCs w:val="20"/>
              </w:rPr>
              <w:t>296</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DA2E4E" w:rsidRDefault="005652ED" w:rsidP="005230B7">
            <w:pPr>
              <w:jc w:val="right"/>
              <w:rPr>
                <w:rFonts w:cs="Lucida Sans Unicode"/>
                <w:b/>
                <w:bCs/>
                <w:szCs w:val="20"/>
              </w:rPr>
            </w:pPr>
            <w:r>
              <w:rPr>
                <w:rFonts w:cs="Lucida Sans Unicode"/>
                <w:b/>
                <w:bCs/>
                <w:szCs w:val="20"/>
              </w:rPr>
              <w:t>-17</w:t>
            </w:r>
          </w:p>
        </w:tc>
        <w:tc>
          <w:tcPr>
            <w:tcW w:w="86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73005C" w:rsidRPr="00DA2E4E" w:rsidRDefault="0073005C" w:rsidP="005230B7">
            <w:pPr>
              <w:jc w:val="right"/>
              <w:rPr>
                <w:rFonts w:cs="Lucida Sans Unicode"/>
                <w:b/>
                <w:bCs/>
                <w:szCs w:val="20"/>
              </w:rPr>
            </w:pPr>
            <w:r>
              <w:rPr>
                <w:rFonts w:cs="Lucida Sans Unicode"/>
                <w:b/>
                <w:bCs/>
                <w:szCs w:val="20"/>
              </w:rPr>
              <w:t>748</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DA2E4E" w:rsidRDefault="0073005C" w:rsidP="005230B7">
            <w:pPr>
              <w:jc w:val="right"/>
              <w:rPr>
                <w:rFonts w:cs="Lucida Sans Unicode"/>
                <w:b/>
                <w:bCs/>
                <w:szCs w:val="20"/>
              </w:rPr>
            </w:pPr>
            <w:r>
              <w:rPr>
                <w:rFonts w:cs="Lucida Sans Unicode"/>
                <w:b/>
                <w:bCs/>
                <w:szCs w:val="20"/>
              </w:rPr>
              <w:t>923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DA2E4E" w:rsidRDefault="005652ED" w:rsidP="005230B7">
            <w:pPr>
              <w:jc w:val="right"/>
              <w:rPr>
                <w:rFonts w:cs="Lucida Sans Unicode"/>
                <w:b/>
                <w:bCs/>
                <w:szCs w:val="20"/>
              </w:rPr>
            </w:pPr>
            <w:r>
              <w:rPr>
                <w:rFonts w:cs="Lucida Sans Unicode"/>
                <w:b/>
                <w:bCs/>
                <w:szCs w:val="20"/>
              </w:rPr>
              <w:t>-19</w:t>
            </w:r>
          </w:p>
        </w:tc>
      </w:tr>
    </w:tbl>
    <w:p w:rsidR="0073005C" w:rsidRDefault="0073005C">
      <w:pPr>
        <w:spacing w:line="240" w:lineRule="auto"/>
        <w:rPr>
          <w:rFonts w:cs="Lucida Sans Unicode"/>
          <w:b/>
          <w:bCs/>
          <w:sz w:val="20"/>
          <w:szCs w:val="20"/>
        </w:rPr>
      </w:pPr>
      <w:r>
        <w:rPr>
          <w:rFonts w:cs="Lucida Sans Unicode"/>
          <w:b/>
          <w:bCs/>
          <w:sz w:val="20"/>
          <w:szCs w:val="20"/>
        </w:rPr>
        <w:br w:type="page"/>
      </w:r>
    </w:p>
    <w:p w:rsidR="0073005C" w:rsidRDefault="0073005C" w:rsidP="0073005C">
      <w:pPr>
        <w:outlineLvl w:val="0"/>
        <w:rPr>
          <w:rFonts w:cs="Lucida Sans Unicode"/>
          <w:b/>
          <w:bCs/>
          <w:sz w:val="20"/>
          <w:szCs w:val="20"/>
        </w:rPr>
      </w:pPr>
    </w:p>
    <w:p w:rsidR="0073005C" w:rsidRDefault="0073005C" w:rsidP="0073005C">
      <w:pPr>
        <w:spacing w:after="120" w:line="300" w:lineRule="atLeast"/>
        <w:rPr>
          <w:rFonts w:cs="Lucida Sans Unicode"/>
          <w:b/>
          <w:bCs/>
          <w:sz w:val="20"/>
          <w:szCs w:val="20"/>
        </w:rPr>
      </w:pPr>
      <w:r>
        <w:rPr>
          <w:rFonts w:cs="Lucida Sans Unicode"/>
          <w:b/>
          <w:bCs/>
          <w:sz w:val="20"/>
          <w:szCs w:val="20"/>
        </w:rPr>
        <w:t>Entwicklung in den Segmenten</w:t>
      </w:r>
    </w:p>
    <w:tbl>
      <w:tblPr>
        <w:tblW w:w="9884" w:type="dxa"/>
        <w:tblInd w:w="-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73005C" w:rsidTr="005230B7">
        <w:trPr>
          <w:trHeight w:val="271"/>
        </w:trPr>
        <w:tc>
          <w:tcPr>
            <w:tcW w:w="3193" w:type="dxa"/>
            <w:tcBorders>
              <w:top w:val="single" w:sz="4" w:space="0" w:color="auto"/>
              <w:left w:val="single" w:sz="4" w:space="0" w:color="auto"/>
              <w:bottom w:val="nil"/>
              <w:right w:val="single" w:sz="4" w:space="0" w:color="auto"/>
            </w:tcBorders>
            <w:shd w:val="clear" w:color="auto" w:fill="auto"/>
            <w:noWrap/>
            <w:vAlign w:val="center"/>
          </w:tcPr>
          <w:p w:rsidR="0073005C" w:rsidRDefault="0073005C" w:rsidP="005230B7">
            <w:pPr>
              <w:jc w:val="right"/>
              <w:rPr>
                <w:rFonts w:cs="Lucida Sans Unicode"/>
                <w:b/>
                <w:bCs/>
                <w:szCs w:val="20"/>
              </w:rPr>
            </w:pPr>
            <w:r>
              <w:rPr>
                <w:rFonts w:cs="Lucida Sans Unicode"/>
                <w:b/>
                <w:bCs/>
                <w:szCs w:val="20"/>
              </w:rPr>
              <w:t> </w:t>
            </w:r>
          </w:p>
        </w:tc>
        <w:tc>
          <w:tcPr>
            <w:tcW w:w="3375" w:type="dxa"/>
            <w:gridSpan w:val="3"/>
            <w:tcBorders>
              <w:top w:val="single" w:sz="4" w:space="0" w:color="auto"/>
              <w:left w:val="nil"/>
              <w:bottom w:val="single" w:sz="4" w:space="0" w:color="auto"/>
              <w:right w:val="single" w:sz="4" w:space="0" w:color="000000"/>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 xml:space="preserve">Umsatz 3. Quartal </w:t>
            </w:r>
          </w:p>
        </w:tc>
        <w:tc>
          <w:tcPr>
            <w:tcW w:w="3316" w:type="dxa"/>
            <w:gridSpan w:val="4"/>
            <w:tcBorders>
              <w:top w:val="single" w:sz="4" w:space="0" w:color="auto"/>
              <w:left w:val="nil"/>
              <w:bottom w:val="single" w:sz="4" w:space="0" w:color="auto"/>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Bereinigtes EBITDA 3. Quartal</w:t>
            </w:r>
          </w:p>
        </w:tc>
      </w:tr>
      <w:tr w:rsidR="0073005C" w:rsidTr="005230B7">
        <w:trPr>
          <w:trHeight w:val="255"/>
        </w:trPr>
        <w:tc>
          <w:tcPr>
            <w:tcW w:w="3193" w:type="dxa"/>
            <w:tcBorders>
              <w:top w:val="nil"/>
              <w:left w:val="single" w:sz="4" w:space="0" w:color="auto"/>
              <w:bottom w:val="nil"/>
              <w:right w:val="single" w:sz="4" w:space="0" w:color="auto"/>
            </w:tcBorders>
            <w:shd w:val="clear" w:color="auto" w:fill="auto"/>
            <w:noWrap/>
            <w:vAlign w:val="center"/>
          </w:tcPr>
          <w:p w:rsidR="0073005C" w:rsidRDefault="0073005C" w:rsidP="005230B7">
            <w:pPr>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73005C" w:rsidRDefault="0073005C" w:rsidP="005230B7">
            <w:pPr>
              <w:jc w:val="center"/>
              <w:rPr>
                <w:rFonts w:cs="Lucida Sans Unicode"/>
                <w:b/>
                <w:bCs/>
                <w:szCs w:val="20"/>
              </w:rPr>
            </w:pPr>
            <w:r>
              <w:rPr>
                <w:rFonts w:cs="Lucida Sans Unicode"/>
                <w:b/>
                <w:bCs/>
                <w:szCs w:val="20"/>
              </w:rPr>
              <w:t>2016</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2015</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Veränd.</w:t>
            </w:r>
          </w:p>
        </w:tc>
        <w:tc>
          <w:tcPr>
            <w:tcW w:w="1114" w:type="dxa"/>
            <w:tcBorders>
              <w:top w:val="single" w:sz="4" w:space="0" w:color="auto"/>
              <w:left w:val="nil"/>
              <w:right w:val="single" w:sz="4" w:space="0" w:color="auto"/>
            </w:tcBorders>
            <w:shd w:val="clear" w:color="auto" w:fill="CCCCCC"/>
            <w:noWrap/>
            <w:vAlign w:val="bottom"/>
          </w:tcPr>
          <w:p w:rsidR="0073005C" w:rsidRDefault="0073005C" w:rsidP="005230B7">
            <w:pPr>
              <w:jc w:val="center"/>
              <w:rPr>
                <w:rFonts w:cs="Lucida Sans Unicode"/>
                <w:b/>
                <w:bCs/>
                <w:szCs w:val="20"/>
              </w:rPr>
            </w:pPr>
            <w:r>
              <w:rPr>
                <w:rFonts w:cs="Lucida Sans Unicode"/>
                <w:b/>
                <w:bCs/>
                <w:szCs w:val="20"/>
              </w:rPr>
              <w:t>2016</w:t>
            </w:r>
          </w:p>
        </w:tc>
        <w:tc>
          <w:tcPr>
            <w:tcW w:w="1125" w:type="dxa"/>
            <w:gridSpan w:val="2"/>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2015</w:t>
            </w:r>
          </w:p>
        </w:tc>
        <w:tc>
          <w:tcPr>
            <w:tcW w:w="1077" w:type="dxa"/>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Veränd.</w:t>
            </w:r>
          </w:p>
        </w:tc>
      </w:tr>
      <w:tr w:rsidR="0073005C" w:rsidTr="005230B7">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b/>
                <w:bCs/>
                <w:szCs w:val="20"/>
              </w:rPr>
            </w:pPr>
            <w:r>
              <w:rPr>
                <w:rFonts w:cs="Lucida Sans Unicode"/>
                <w:b/>
                <w:bCs/>
                <w:szCs w:val="20"/>
              </w:rPr>
              <w:t> </w:t>
            </w:r>
          </w:p>
        </w:tc>
        <w:tc>
          <w:tcPr>
            <w:tcW w:w="1125" w:type="dxa"/>
            <w:tcBorders>
              <w:left w:val="nil"/>
              <w:bottom w:val="single" w:sz="4" w:space="0" w:color="auto"/>
              <w:right w:val="single" w:sz="4" w:space="0" w:color="auto"/>
            </w:tcBorders>
            <w:shd w:val="clear" w:color="auto" w:fill="CCCCCC"/>
            <w:vAlign w:val="center"/>
          </w:tcPr>
          <w:p w:rsidR="0073005C" w:rsidRDefault="0073005C" w:rsidP="005230B7">
            <w:pPr>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in %</w:t>
            </w:r>
          </w:p>
        </w:tc>
        <w:tc>
          <w:tcPr>
            <w:tcW w:w="1114" w:type="dxa"/>
            <w:tcBorders>
              <w:left w:val="nil"/>
              <w:bottom w:val="single" w:sz="4" w:space="0" w:color="auto"/>
              <w:right w:val="single" w:sz="4" w:space="0" w:color="auto"/>
            </w:tcBorders>
            <w:shd w:val="clear" w:color="auto" w:fill="CCCCCC"/>
            <w:vAlign w:val="center"/>
          </w:tcPr>
          <w:p w:rsidR="0073005C" w:rsidRDefault="0073005C" w:rsidP="005230B7">
            <w:pPr>
              <w:jc w:val="center"/>
              <w:rPr>
                <w:rFonts w:cs="Lucida Sans Unicode"/>
                <w:b/>
                <w:bCs/>
                <w:szCs w:val="20"/>
              </w:rPr>
            </w:pPr>
            <w:r>
              <w:rPr>
                <w:rFonts w:cs="Lucida Sans Unicode"/>
                <w:b/>
                <w:bCs/>
                <w:szCs w:val="20"/>
              </w:rPr>
              <w:t>Mio. €</w:t>
            </w:r>
          </w:p>
        </w:tc>
        <w:tc>
          <w:tcPr>
            <w:tcW w:w="1125" w:type="dxa"/>
            <w:gridSpan w:val="2"/>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Mio. €</w:t>
            </w:r>
          </w:p>
        </w:tc>
        <w:tc>
          <w:tcPr>
            <w:tcW w:w="1077" w:type="dxa"/>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in %</w:t>
            </w:r>
          </w:p>
        </w:tc>
      </w:tr>
      <w:tr w:rsidR="0073005C" w:rsidTr="005230B7">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1.066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1.240</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-14</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239</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382</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-37</w:t>
            </w:r>
          </w:p>
        </w:tc>
      </w:tr>
      <w:tr w:rsidR="0073005C" w:rsidTr="005230B7">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1.117</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1.044</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262</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216</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21</w:t>
            </w:r>
          </w:p>
        </w:tc>
      </w:tr>
      <w:tr w:rsidR="0073005C" w:rsidTr="005230B7">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797</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858</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-7</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104</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94</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11</w:t>
            </w:r>
          </w:p>
        </w:tc>
      </w:tr>
      <w:tr w:rsidR="0073005C" w:rsidTr="005230B7">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173</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207</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-16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50</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46</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9</w:t>
            </w:r>
          </w:p>
        </w:tc>
      </w:tr>
      <w:tr w:rsidR="0073005C" w:rsidTr="005230B7">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Sonstige Aktivitäten</w:t>
            </w:r>
            <w:r w:rsidR="005652ED">
              <w:rPr>
                <w:rFonts w:cs="Lucida Sans Unicode"/>
                <w:szCs w:val="20"/>
              </w:rPr>
              <w:t>, Corporate, Konsolidierung</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Pr="00A03972" w:rsidRDefault="0073005C" w:rsidP="005230B7">
            <w:pPr>
              <w:jc w:val="right"/>
              <w:rPr>
                <w:rFonts w:cs="Lucida Sans Unicode"/>
                <w:szCs w:val="20"/>
              </w:rPr>
            </w:pPr>
            <w:r>
              <w:rPr>
                <w:rFonts w:cs="Lucida Sans Unicode"/>
                <w:szCs w:val="20"/>
              </w:rPr>
              <w:t>11</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16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652ED">
            <w:pPr>
              <w:jc w:val="right"/>
              <w:rPr>
                <w:rFonts w:cs="Lucida Sans Unicode"/>
                <w:szCs w:val="20"/>
              </w:rPr>
            </w:pPr>
            <w:r>
              <w:rPr>
                <w:rFonts w:cs="Lucida Sans Unicode"/>
                <w:szCs w:val="20"/>
              </w:rPr>
              <w:t>-</w:t>
            </w:r>
            <w:r w:rsidR="005652ED">
              <w:rPr>
                <w:rFonts w:cs="Lucida Sans Unicode"/>
                <w:szCs w:val="20"/>
              </w:rPr>
              <w:t>8</w:t>
            </w:r>
            <w:r>
              <w:rPr>
                <w:rFonts w:cs="Lucida Sans Unicode"/>
                <w:szCs w:val="20"/>
              </w:rPr>
              <w:t>2</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652ED">
            <w:pPr>
              <w:jc w:val="right"/>
              <w:rPr>
                <w:rFonts w:cs="Lucida Sans Unicode"/>
                <w:szCs w:val="20"/>
              </w:rPr>
            </w:pPr>
            <w:r>
              <w:rPr>
                <w:rFonts w:cs="Lucida Sans Unicode"/>
                <w:szCs w:val="20"/>
              </w:rPr>
              <w:t>-</w:t>
            </w:r>
            <w:r w:rsidR="005652ED">
              <w:rPr>
                <w:rFonts w:cs="Lucida Sans Unicode"/>
                <w:szCs w:val="20"/>
              </w:rPr>
              <w:t>85</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p>
        </w:tc>
      </w:tr>
      <w:tr w:rsidR="0073005C" w:rsidRPr="00DA2E4E" w:rsidTr="005230B7">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Pr="00DA2E4E" w:rsidRDefault="0073005C" w:rsidP="005230B7">
            <w:pPr>
              <w:rPr>
                <w:rFonts w:cs="Lucida Sans Unicode"/>
                <w:b/>
                <w:bCs/>
                <w:szCs w:val="20"/>
              </w:rPr>
            </w:pPr>
            <w:r w:rsidRPr="00DA2E4E">
              <w:rPr>
                <w:rFonts w:cs="Lucida Sans Unicode"/>
                <w:b/>
                <w:bCs/>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Pr="00AB1DB9" w:rsidRDefault="0073005C" w:rsidP="005230B7">
            <w:pPr>
              <w:jc w:val="right"/>
              <w:rPr>
                <w:rFonts w:cs="Lucida Sans Unicode"/>
                <w:bCs/>
                <w:szCs w:val="20"/>
              </w:rPr>
            </w:pPr>
            <w:r>
              <w:rPr>
                <w:rFonts w:cs="Lucida Sans Unicode"/>
                <w:bCs/>
                <w:szCs w:val="20"/>
              </w:rPr>
              <w:t>3.164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Pr="00AB1DB9" w:rsidRDefault="0073005C" w:rsidP="005230B7">
            <w:pPr>
              <w:jc w:val="right"/>
              <w:rPr>
                <w:rFonts w:cs="Lucida Sans Unicode"/>
                <w:bCs/>
                <w:szCs w:val="20"/>
              </w:rPr>
            </w:pPr>
            <w:r>
              <w:rPr>
                <w:rFonts w:cs="Lucida Sans Unicode"/>
                <w:bCs/>
                <w:szCs w:val="20"/>
              </w:rPr>
              <w:t>3.365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AB1DB9" w:rsidRDefault="005652ED" w:rsidP="005230B7">
            <w:pPr>
              <w:jc w:val="right"/>
              <w:rPr>
                <w:rFonts w:cs="Lucida Sans Unicode"/>
                <w:bCs/>
                <w:szCs w:val="20"/>
              </w:rPr>
            </w:pPr>
            <w:r>
              <w:rPr>
                <w:rFonts w:cs="Lucida Sans Unicode"/>
                <w:bCs/>
                <w:szCs w:val="20"/>
              </w:rPr>
              <w:t>-6</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Pr="00AB1DB9" w:rsidRDefault="0073005C" w:rsidP="005230B7">
            <w:pPr>
              <w:jc w:val="right"/>
              <w:rPr>
                <w:rFonts w:cs="Lucida Sans Unicode"/>
                <w:bCs/>
                <w:szCs w:val="20"/>
              </w:rPr>
            </w:pPr>
            <w:r>
              <w:rPr>
                <w:rFonts w:cs="Lucida Sans Unicode"/>
                <w:bCs/>
                <w:szCs w:val="20"/>
              </w:rPr>
              <w:t>578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Pr="00AB1DB9" w:rsidRDefault="0073005C" w:rsidP="005230B7">
            <w:pPr>
              <w:jc w:val="right"/>
              <w:rPr>
                <w:rFonts w:cs="Lucida Sans Unicode"/>
                <w:bCs/>
                <w:szCs w:val="20"/>
              </w:rPr>
            </w:pPr>
            <w:r>
              <w:rPr>
                <w:rFonts w:cs="Lucida Sans Unicode"/>
                <w:bCs/>
                <w:szCs w:val="20"/>
              </w:rPr>
              <w:t>653</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AB1DB9" w:rsidRDefault="0073005C" w:rsidP="005230B7">
            <w:pPr>
              <w:jc w:val="right"/>
              <w:rPr>
                <w:rFonts w:cs="Lucida Sans Unicode"/>
                <w:bCs/>
                <w:szCs w:val="20"/>
              </w:rPr>
            </w:pPr>
            <w:r>
              <w:rPr>
                <w:rFonts w:cs="Lucida Sans Unicode"/>
                <w:bCs/>
                <w:szCs w:val="20"/>
              </w:rPr>
              <w:t>-11</w:t>
            </w:r>
          </w:p>
        </w:tc>
      </w:tr>
      <w:tr w:rsidR="0073005C" w:rsidTr="005230B7">
        <w:trPr>
          <w:trHeight w:val="255"/>
        </w:trPr>
        <w:tc>
          <w:tcPr>
            <w:tcW w:w="3193" w:type="dxa"/>
            <w:tcBorders>
              <w:top w:val="single" w:sz="4" w:space="0" w:color="auto"/>
              <w:left w:val="single" w:sz="4" w:space="0" w:color="auto"/>
              <w:bottom w:val="nil"/>
              <w:right w:val="single" w:sz="4" w:space="0" w:color="auto"/>
            </w:tcBorders>
            <w:shd w:val="clear" w:color="auto" w:fill="auto"/>
            <w:noWrap/>
            <w:vAlign w:val="center"/>
          </w:tcPr>
          <w:p w:rsidR="0073005C" w:rsidRDefault="0073005C" w:rsidP="005230B7">
            <w:pPr>
              <w:jc w:val="right"/>
              <w:rPr>
                <w:rFonts w:cs="Lucida Sans Unicode"/>
                <w:b/>
                <w:bCs/>
                <w:szCs w:val="20"/>
              </w:rPr>
            </w:pPr>
            <w:r>
              <w:rPr>
                <w:rFonts w:cs="Lucida Sans Unicode"/>
                <w:b/>
                <w:bCs/>
                <w:szCs w:val="20"/>
              </w:rPr>
              <w:t> </w:t>
            </w:r>
          </w:p>
        </w:tc>
        <w:tc>
          <w:tcPr>
            <w:tcW w:w="3375" w:type="dxa"/>
            <w:gridSpan w:val="3"/>
            <w:tcBorders>
              <w:top w:val="single" w:sz="4" w:space="0" w:color="auto"/>
              <w:left w:val="nil"/>
              <w:bottom w:val="single" w:sz="4" w:space="0" w:color="auto"/>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Umsatz Dreivierteljahr</w:t>
            </w:r>
          </w:p>
        </w:tc>
        <w:tc>
          <w:tcPr>
            <w:tcW w:w="3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Bereinigtes EBITDA Dreivierteljahr</w:t>
            </w:r>
          </w:p>
        </w:tc>
      </w:tr>
      <w:tr w:rsidR="0073005C" w:rsidTr="005230B7">
        <w:trPr>
          <w:trHeight w:val="255"/>
        </w:trPr>
        <w:tc>
          <w:tcPr>
            <w:tcW w:w="3193" w:type="dxa"/>
            <w:tcBorders>
              <w:top w:val="nil"/>
              <w:left w:val="single" w:sz="4" w:space="0" w:color="auto"/>
              <w:bottom w:val="nil"/>
              <w:right w:val="single" w:sz="4" w:space="0" w:color="auto"/>
            </w:tcBorders>
            <w:shd w:val="clear" w:color="auto" w:fill="auto"/>
            <w:noWrap/>
            <w:vAlign w:val="center"/>
          </w:tcPr>
          <w:p w:rsidR="0073005C" w:rsidRDefault="0073005C" w:rsidP="005230B7">
            <w:pPr>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73005C" w:rsidRDefault="0073005C" w:rsidP="005230B7">
            <w:pPr>
              <w:jc w:val="center"/>
              <w:rPr>
                <w:rFonts w:cs="Lucida Sans Unicode"/>
                <w:b/>
                <w:bCs/>
                <w:szCs w:val="20"/>
              </w:rPr>
            </w:pPr>
            <w:r>
              <w:rPr>
                <w:rFonts w:cs="Lucida Sans Unicode"/>
                <w:b/>
                <w:bCs/>
                <w:szCs w:val="20"/>
              </w:rPr>
              <w:t>2016</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2015</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Veränd.</w:t>
            </w:r>
          </w:p>
        </w:tc>
        <w:tc>
          <w:tcPr>
            <w:tcW w:w="1114" w:type="dxa"/>
            <w:tcBorders>
              <w:top w:val="single" w:sz="4" w:space="0" w:color="auto"/>
              <w:left w:val="nil"/>
              <w:right w:val="single" w:sz="4" w:space="0" w:color="auto"/>
            </w:tcBorders>
            <w:shd w:val="clear" w:color="auto" w:fill="CCCCCC"/>
            <w:noWrap/>
            <w:vAlign w:val="bottom"/>
          </w:tcPr>
          <w:p w:rsidR="0073005C" w:rsidRDefault="0073005C" w:rsidP="005230B7">
            <w:pPr>
              <w:jc w:val="center"/>
              <w:rPr>
                <w:rFonts w:cs="Lucida Sans Unicode"/>
                <w:b/>
                <w:bCs/>
                <w:szCs w:val="20"/>
              </w:rPr>
            </w:pPr>
            <w:r>
              <w:rPr>
                <w:rFonts w:cs="Lucida Sans Unicode"/>
                <w:b/>
                <w:bCs/>
                <w:szCs w:val="20"/>
              </w:rPr>
              <w:t xml:space="preserve"> 2016</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 xml:space="preserve"> 2015</w:t>
            </w:r>
          </w:p>
        </w:tc>
        <w:tc>
          <w:tcPr>
            <w:tcW w:w="1122" w:type="dxa"/>
            <w:gridSpan w:val="2"/>
            <w:tcBorders>
              <w:top w:val="single" w:sz="4" w:space="0" w:color="auto"/>
              <w:left w:val="single" w:sz="4" w:space="0" w:color="auto"/>
              <w:bottom w:val="nil"/>
              <w:right w:val="single" w:sz="4" w:space="0" w:color="auto"/>
            </w:tcBorders>
            <w:shd w:val="clear" w:color="auto" w:fill="auto"/>
            <w:noWrap/>
            <w:vAlign w:val="bottom"/>
          </w:tcPr>
          <w:p w:rsidR="0073005C" w:rsidRDefault="0073005C" w:rsidP="005230B7">
            <w:pPr>
              <w:jc w:val="center"/>
              <w:rPr>
                <w:rFonts w:cs="Lucida Sans Unicode"/>
                <w:b/>
                <w:bCs/>
                <w:szCs w:val="20"/>
              </w:rPr>
            </w:pPr>
            <w:r>
              <w:rPr>
                <w:rFonts w:cs="Lucida Sans Unicode"/>
                <w:b/>
                <w:bCs/>
                <w:szCs w:val="20"/>
              </w:rPr>
              <w:t>Veränd.</w:t>
            </w:r>
          </w:p>
        </w:tc>
      </w:tr>
      <w:tr w:rsidR="0073005C" w:rsidTr="005230B7">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b/>
                <w:bCs/>
                <w:szCs w:val="20"/>
              </w:rPr>
            </w:pPr>
            <w:r>
              <w:rPr>
                <w:rFonts w:cs="Lucida Sans Unicode"/>
                <w:b/>
                <w:bCs/>
                <w:szCs w:val="20"/>
              </w:rPr>
              <w:t> </w:t>
            </w:r>
          </w:p>
        </w:tc>
        <w:tc>
          <w:tcPr>
            <w:tcW w:w="1125" w:type="dxa"/>
            <w:tcBorders>
              <w:left w:val="nil"/>
              <w:bottom w:val="single" w:sz="4" w:space="0" w:color="auto"/>
              <w:right w:val="single" w:sz="4" w:space="0" w:color="auto"/>
            </w:tcBorders>
            <w:shd w:val="clear" w:color="auto" w:fill="CCCCCC"/>
            <w:vAlign w:val="center"/>
          </w:tcPr>
          <w:p w:rsidR="0073005C" w:rsidRDefault="0073005C" w:rsidP="005230B7">
            <w:pPr>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in %</w:t>
            </w:r>
          </w:p>
        </w:tc>
        <w:tc>
          <w:tcPr>
            <w:tcW w:w="1114" w:type="dxa"/>
            <w:tcBorders>
              <w:left w:val="nil"/>
              <w:bottom w:val="single" w:sz="4" w:space="0" w:color="auto"/>
              <w:right w:val="single" w:sz="4" w:space="0" w:color="auto"/>
            </w:tcBorders>
            <w:shd w:val="clear" w:color="auto" w:fill="CCCCCC"/>
            <w:vAlign w:val="center"/>
          </w:tcPr>
          <w:p w:rsidR="0073005C" w:rsidRDefault="0073005C" w:rsidP="005230B7">
            <w:pPr>
              <w:jc w:val="center"/>
              <w:rPr>
                <w:rFonts w:cs="Lucida Sans Unicode"/>
                <w:b/>
                <w:bCs/>
                <w:szCs w:val="20"/>
              </w:rPr>
            </w:pPr>
            <w:r>
              <w:rPr>
                <w:rFonts w:cs="Lucida Sans Unicode"/>
                <w:b/>
                <w:bCs/>
                <w:szCs w:val="20"/>
              </w:rPr>
              <w:t>Mio. €</w:t>
            </w:r>
          </w:p>
        </w:tc>
        <w:tc>
          <w:tcPr>
            <w:tcW w:w="1080" w:type="dxa"/>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Mio. €</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73005C" w:rsidRDefault="0073005C" w:rsidP="005230B7">
            <w:pPr>
              <w:jc w:val="center"/>
              <w:rPr>
                <w:rFonts w:cs="Lucida Sans Unicode"/>
                <w:b/>
                <w:bCs/>
                <w:szCs w:val="20"/>
              </w:rPr>
            </w:pPr>
            <w:r>
              <w:rPr>
                <w:rFonts w:cs="Lucida Sans Unicode"/>
                <w:b/>
                <w:bCs/>
                <w:szCs w:val="20"/>
              </w:rPr>
              <w:t>in %</w:t>
            </w:r>
          </w:p>
        </w:tc>
      </w:tr>
      <w:tr w:rsidR="0073005C" w:rsidTr="005230B7">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Nutrition &amp; Care</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3.223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3.716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-13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796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1.116</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-29</w:t>
            </w:r>
          </w:p>
        </w:tc>
      </w:tr>
      <w:tr w:rsidR="0073005C" w:rsidTr="005230B7">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3.392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3.278</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788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714</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10</w:t>
            </w:r>
          </w:p>
        </w:tc>
      </w:tr>
      <w:tr w:rsidR="0073005C" w:rsidTr="005230B7">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Performance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2.399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2.646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-9</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273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247</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11</w:t>
            </w:r>
          </w:p>
        </w:tc>
      </w:tr>
      <w:tr w:rsidR="0073005C" w:rsidTr="005230B7">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503</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626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-20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119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119</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r>
              <w:rPr>
                <w:rFonts w:cs="Lucida Sans Unicode"/>
                <w:szCs w:val="20"/>
              </w:rPr>
              <w:t>-</w:t>
            </w:r>
          </w:p>
        </w:tc>
      </w:tr>
      <w:tr w:rsidR="0073005C" w:rsidTr="005230B7">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rPr>
                <w:rFonts w:cs="Lucida Sans Unicode"/>
                <w:szCs w:val="20"/>
              </w:rPr>
            </w:pPr>
            <w:r>
              <w:rPr>
                <w:rFonts w:cs="Lucida Sans Unicode"/>
                <w:szCs w:val="20"/>
              </w:rPr>
              <w:t>Sonstige Aktivitäten</w:t>
            </w:r>
            <w:r w:rsidR="005652ED">
              <w:rPr>
                <w:rFonts w:cs="Lucida Sans Unicode"/>
                <w:szCs w:val="20"/>
              </w:rPr>
              <w:t>, Corporate, Konsolidierung</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230B7">
            <w:pPr>
              <w:jc w:val="right"/>
              <w:rPr>
                <w:rFonts w:cs="Lucida Sans Unicode"/>
                <w:szCs w:val="20"/>
              </w:rPr>
            </w:pPr>
            <w:r>
              <w:rPr>
                <w:rFonts w:cs="Lucida Sans Unicode"/>
                <w:szCs w:val="20"/>
              </w:rPr>
              <w:t>10</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230B7">
            <w:pPr>
              <w:jc w:val="right"/>
              <w:rPr>
                <w:rFonts w:cs="Lucida Sans Unicode"/>
                <w:szCs w:val="20"/>
              </w:rPr>
            </w:pPr>
            <w:r>
              <w:rPr>
                <w:rFonts w:cs="Lucida Sans Unicode"/>
                <w:szCs w:val="20"/>
              </w:rPr>
              <w:t>54</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Default="0073005C" w:rsidP="005652ED">
            <w:pPr>
              <w:jc w:val="right"/>
              <w:rPr>
                <w:rFonts w:cs="Lucida Sans Unicode"/>
                <w:szCs w:val="20"/>
              </w:rPr>
            </w:pPr>
            <w:r>
              <w:rPr>
                <w:rFonts w:cs="Lucida Sans Unicode"/>
                <w:szCs w:val="20"/>
              </w:rPr>
              <w:t>-</w:t>
            </w:r>
            <w:r w:rsidR="005652ED">
              <w:rPr>
                <w:rFonts w:cs="Lucida Sans Unicode"/>
                <w:szCs w:val="20"/>
              </w:rPr>
              <w:t>24</w:t>
            </w:r>
            <w:r>
              <w:rPr>
                <w:rFonts w:cs="Lucida Sans Unicode"/>
                <w:szCs w:val="20"/>
              </w:rPr>
              <w:t>8</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3005C" w:rsidRDefault="0073005C" w:rsidP="005652ED">
            <w:pPr>
              <w:jc w:val="right"/>
              <w:rPr>
                <w:rFonts w:cs="Lucida Sans Unicode"/>
                <w:szCs w:val="20"/>
              </w:rPr>
            </w:pPr>
            <w:r>
              <w:rPr>
                <w:rFonts w:cs="Lucida Sans Unicode"/>
                <w:szCs w:val="20"/>
              </w:rPr>
              <w:t>-</w:t>
            </w:r>
            <w:r w:rsidR="005652ED">
              <w:rPr>
                <w:rFonts w:cs="Lucida Sans Unicode"/>
                <w:szCs w:val="20"/>
              </w:rPr>
              <w:t>232</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73005C" w:rsidRDefault="0073005C" w:rsidP="005230B7">
            <w:pPr>
              <w:jc w:val="right"/>
              <w:rPr>
                <w:rFonts w:cs="Lucida Sans Unicode"/>
                <w:szCs w:val="20"/>
              </w:rPr>
            </w:pPr>
          </w:p>
        </w:tc>
      </w:tr>
      <w:tr w:rsidR="0073005C" w:rsidRPr="00DA2E4E" w:rsidTr="005230B7">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Pr="00DA2E4E" w:rsidRDefault="0073005C" w:rsidP="005230B7">
            <w:pPr>
              <w:rPr>
                <w:rFonts w:cs="Lucida Sans Unicode"/>
                <w:b/>
                <w:bCs/>
                <w:szCs w:val="20"/>
              </w:rPr>
            </w:pPr>
            <w:r w:rsidRPr="00DA2E4E">
              <w:rPr>
                <w:rFonts w:cs="Lucida Sans Unicode"/>
                <w:b/>
                <w:bCs/>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3005C" w:rsidRPr="00AB1DB9" w:rsidRDefault="0073005C" w:rsidP="005230B7">
            <w:pPr>
              <w:jc w:val="right"/>
              <w:rPr>
                <w:rFonts w:cs="Lucida Sans Unicode"/>
                <w:bCs/>
                <w:szCs w:val="20"/>
              </w:rPr>
            </w:pPr>
            <w:r>
              <w:rPr>
                <w:rFonts w:cs="Lucida Sans Unicode"/>
                <w:bCs/>
                <w:szCs w:val="20"/>
              </w:rPr>
              <w:t>9.527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Pr="00AB1DB9" w:rsidRDefault="0073005C" w:rsidP="005230B7">
            <w:pPr>
              <w:jc w:val="right"/>
              <w:rPr>
                <w:rFonts w:cs="Lucida Sans Unicode"/>
                <w:bCs/>
                <w:szCs w:val="20"/>
              </w:rPr>
            </w:pPr>
            <w:r>
              <w:rPr>
                <w:rFonts w:cs="Lucida Sans Unicode"/>
                <w:bCs/>
                <w:szCs w:val="20"/>
              </w:rPr>
              <w:t>10.309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AB1DB9" w:rsidRDefault="005652ED" w:rsidP="005230B7">
            <w:pPr>
              <w:jc w:val="right"/>
              <w:rPr>
                <w:rFonts w:cs="Lucida Sans Unicode"/>
                <w:bCs/>
                <w:szCs w:val="20"/>
              </w:rPr>
            </w:pPr>
            <w:r>
              <w:rPr>
                <w:rFonts w:cs="Lucida Sans Unicode"/>
                <w:bCs/>
                <w:szCs w:val="20"/>
              </w:rPr>
              <w:t>-8</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3005C" w:rsidRPr="00AB1DB9" w:rsidRDefault="0073005C" w:rsidP="005230B7">
            <w:pPr>
              <w:jc w:val="right"/>
              <w:rPr>
                <w:rFonts w:cs="Lucida Sans Unicode"/>
                <w:bCs/>
                <w:szCs w:val="20"/>
              </w:rPr>
            </w:pPr>
            <w:r>
              <w:rPr>
                <w:rFonts w:cs="Lucida Sans Unicode"/>
                <w:bCs/>
                <w:szCs w:val="20"/>
              </w:rPr>
              <w:t>1.728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05C" w:rsidRPr="00AB1DB9" w:rsidRDefault="0073005C" w:rsidP="005230B7">
            <w:pPr>
              <w:jc w:val="right"/>
              <w:rPr>
                <w:rFonts w:cs="Lucida Sans Unicode"/>
                <w:bCs/>
                <w:szCs w:val="20"/>
              </w:rPr>
            </w:pPr>
            <w:r>
              <w:rPr>
                <w:rFonts w:cs="Lucida Sans Unicode"/>
                <w:bCs/>
                <w:szCs w:val="20"/>
              </w:rPr>
              <w:t>1.964</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3005C" w:rsidRPr="00AB1DB9" w:rsidRDefault="0073005C" w:rsidP="005230B7">
            <w:pPr>
              <w:jc w:val="right"/>
              <w:rPr>
                <w:rFonts w:cs="Lucida Sans Unicode"/>
                <w:bCs/>
                <w:szCs w:val="20"/>
              </w:rPr>
            </w:pPr>
            <w:r>
              <w:rPr>
                <w:rFonts w:cs="Lucida Sans Unicode"/>
                <w:bCs/>
                <w:szCs w:val="20"/>
              </w:rPr>
              <w:t>-12</w:t>
            </w:r>
          </w:p>
        </w:tc>
      </w:tr>
    </w:tbl>
    <w:p w:rsidR="0073005C" w:rsidRPr="00A03972" w:rsidRDefault="0073005C" w:rsidP="0073005C">
      <w:pPr>
        <w:spacing w:line="240" w:lineRule="auto"/>
        <w:rPr>
          <w:bCs/>
          <w:sz w:val="16"/>
          <w:szCs w:val="16"/>
        </w:rPr>
      </w:pPr>
      <w:r>
        <w:rPr>
          <w:bCs/>
          <w:sz w:val="16"/>
          <w:szCs w:val="16"/>
        </w:rPr>
        <w:t>Vorjahreszahlen angepasst</w:t>
      </w:r>
    </w:p>
    <w:p w:rsidR="0073005C" w:rsidRPr="00A03972" w:rsidRDefault="0073005C" w:rsidP="0073005C">
      <w:pPr>
        <w:spacing w:after="160" w:line="259" w:lineRule="auto"/>
        <w:rPr>
          <w:bCs/>
          <w:sz w:val="16"/>
          <w:szCs w:val="16"/>
        </w:rPr>
      </w:pPr>
    </w:p>
    <w:p w:rsidR="0073005C" w:rsidRDefault="0073005C" w:rsidP="0073005C">
      <w:pPr>
        <w:spacing w:after="120"/>
        <w:rPr>
          <w:b/>
          <w:bCs/>
        </w:rPr>
      </w:pPr>
    </w:p>
    <w:p w:rsidR="0073005C" w:rsidRPr="009511D1" w:rsidRDefault="0073005C" w:rsidP="0073005C">
      <w:pPr>
        <w:spacing w:after="120" w:line="300" w:lineRule="atLeast"/>
        <w:rPr>
          <w:rFonts w:cs="Lucida Sans Unicode"/>
          <w:b/>
          <w:bCs/>
          <w:sz w:val="20"/>
          <w:szCs w:val="20"/>
        </w:rPr>
      </w:pPr>
      <w:r w:rsidRPr="009511D1">
        <w:rPr>
          <w:rFonts w:cs="Lucida Sans Unicode"/>
          <w:b/>
          <w:bCs/>
          <w:sz w:val="20"/>
          <w:szCs w:val="20"/>
        </w:rPr>
        <w:t>Mitarbeiter nach Segmenten</w:t>
      </w:r>
    </w:p>
    <w:tbl>
      <w:tblPr>
        <w:tblW w:w="8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73005C" w:rsidRPr="00BE5DBC" w:rsidTr="005230B7">
        <w:tc>
          <w:tcPr>
            <w:tcW w:w="4122" w:type="dxa"/>
            <w:shd w:val="clear" w:color="auto" w:fill="auto"/>
          </w:tcPr>
          <w:p w:rsidR="0073005C" w:rsidRPr="00B13E9A" w:rsidRDefault="0073005C" w:rsidP="005230B7">
            <w:pPr>
              <w:rPr>
                <w:bCs/>
              </w:rPr>
            </w:pPr>
          </w:p>
        </w:tc>
        <w:tc>
          <w:tcPr>
            <w:tcW w:w="2172" w:type="dxa"/>
            <w:shd w:val="clear" w:color="auto" w:fill="auto"/>
          </w:tcPr>
          <w:p w:rsidR="0073005C" w:rsidRPr="00BE5DBC" w:rsidRDefault="0073005C" w:rsidP="005230B7">
            <w:pPr>
              <w:jc w:val="center"/>
              <w:rPr>
                <w:b/>
                <w:bCs/>
              </w:rPr>
            </w:pPr>
            <w:r>
              <w:rPr>
                <w:b/>
                <w:bCs/>
              </w:rPr>
              <w:t>30.09.2016</w:t>
            </w:r>
          </w:p>
        </w:tc>
        <w:tc>
          <w:tcPr>
            <w:tcW w:w="2173" w:type="dxa"/>
            <w:shd w:val="clear" w:color="auto" w:fill="auto"/>
          </w:tcPr>
          <w:p w:rsidR="0073005C" w:rsidRPr="00BE5DBC" w:rsidRDefault="0073005C" w:rsidP="005230B7">
            <w:pPr>
              <w:jc w:val="center"/>
              <w:rPr>
                <w:b/>
                <w:bCs/>
              </w:rPr>
            </w:pPr>
            <w:r w:rsidRPr="00BE5DBC">
              <w:rPr>
                <w:b/>
                <w:bCs/>
              </w:rPr>
              <w:t>31.12.201</w:t>
            </w:r>
            <w:r>
              <w:rPr>
                <w:b/>
                <w:bCs/>
              </w:rPr>
              <w:t>5</w:t>
            </w:r>
          </w:p>
        </w:tc>
      </w:tr>
      <w:tr w:rsidR="0073005C" w:rsidRPr="00A14C8B" w:rsidTr="005230B7">
        <w:tc>
          <w:tcPr>
            <w:tcW w:w="4122" w:type="dxa"/>
            <w:shd w:val="clear" w:color="auto" w:fill="auto"/>
          </w:tcPr>
          <w:p w:rsidR="0073005C" w:rsidRPr="00B13E9A" w:rsidRDefault="0073005C" w:rsidP="005230B7">
            <w:pPr>
              <w:rPr>
                <w:bCs/>
              </w:rPr>
            </w:pPr>
            <w:r w:rsidRPr="00B13E9A">
              <w:rPr>
                <w:bCs/>
              </w:rPr>
              <w:t>Nutrition</w:t>
            </w:r>
            <w:r>
              <w:rPr>
                <w:bCs/>
              </w:rPr>
              <w:t xml:space="preserve"> &amp; Care</w:t>
            </w:r>
          </w:p>
        </w:tc>
        <w:tc>
          <w:tcPr>
            <w:tcW w:w="2172" w:type="dxa"/>
            <w:shd w:val="clear" w:color="auto" w:fill="auto"/>
          </w:tcPr>
          <w:p w:rsidR="0073005C" w:rsidRPr="00A14C8B" w:rsidRDefault="0073005C" w:rsidP="005230B7">
            <w:pPr>
              <w:jc w:val="right"/>
              <w:rPr>
                <w:bCs/>
                <w:lang w:val="en-US"/>
              </w:rPr>
            </w:pPr>
            <w:r>
              <w:rPr>
                <w:bCs/>
                <w:lang w:val="en-US"/>
              </w:rPr>
              <w:t>7.550</w:t>
            </w:r>
          </w:p>
        </w:tc>
        <w:tc>
          <w:tcPr>
            <w:tcW w:w="2173" w:type="dxa"/>
            <w:shd w:val="clear" w:color="auto" w:fill="auto"/>
          </w:tcPr>
          <w:p w:rsidR="0073005C" w:rsidRPr="00A14C8B" w:rsidRDefault="0073005C" w:rsidP="005230B7">
            <w:pPr>
              <w:jc w:val="right"/>
              <w:rPr>
                <w:bCs/>
                <w:lang w:val="en-US"/>
              </w:rPr>
            </w:pPr>
            <w:r>
              <w:rPr>
                <w:bCs/>
                <w:lang w:val="en-US"/>
              </w:rPr>
              <w:t>7.165</w:t>
            </w:r>
          </w:p>
        </w:tc>
      </w:tr>
      <w:tr w:rsidR="0073005C" w:rsidRPr="00A14C8B" w:rsidTr="005230B7">
        <w:tc>
          <w:tcPr>
            <w:tcW w:w="4122" w:type="dxa"/>
            <w:shd w:val="clear" w:color="auto" w:fill="auto"/>
          </w:tcPr>
          <w:p w:rsidR="0073005C" w:rsidRPr="00A14C8B" w:rsidRDefault="0073005C" w:rsidP="005230B7">
            <w:pPr>
              <w:rPr>
                <w:bCs/>
                <w:lang w:val="en-US"/>
              </w:rPr>
            </w:pPr>
            <w:r w:rsidRPr="00A14C8B">
              <w:rPr>
                <w:bCs/>
                <w:lang w:val="en-US"/>
              </w:rPr>
              <w:t>Resource Efficiency</w:t>
            </w:r>
          </w:p>
        </w:tc>
        <w:tc>
          <w:tcPr>
            <w:tcW w:w="2172" w:type="dxa"/>
            <w:shd w:val="clear" w:color="auto" w:fill="auto"/>
          </w:tcPr>
          <w:p w:rsidR="0073005C" w:rsidRPr="00A14C8B" w:rsidRDefault="0073005C" w:rsidP="005230B7">
            <w:pPr>
              <w:jc w:val="right"/>
              <w:rPr>
                <w:bCs/>
                <w:lang w:val="en-US"/>
              </w:rPr>
            </w:pPr>
            <w:r>
              <w:rPr>
                <w:bCs/>
                <w:lang w:val="en-US"/>
              </w:rPr>
              <w:t>8.879</w:t>
            </w:r>
          </w:p>
        </w:tc>
        <w:tc>
          <w:tcPr>
            <w:tcW w:w="2173" w:type="dxa"/>
            <w:shd w:val="clear" w:color="auto" w:fill="auto"/>
          </w:tcPr>
          <w:p w:rsidR="0073005C" w:rsidRPr="00A14C8B" w:rsidRDefault="0073005C" w:rsidP="005230B7">
            <w:pPr>
              <w:jc w:val="right"/>
              <w:rPr>
                <w:bCs/>
                <w:lang w:val="en-US"/>
              </w:rPr>
            </w:pPr>
            <w:r>
              <w:rPr>
                <w:bCs/>
                <w:lang w:val="en-US"/>
              </w:rPr>
              <w:t>8.662</w:t>
            </w:r>
          </w:p>
        </w:tc>
      </w:tr>
      <w:tr w:rsidR="0073005C" w:rsidRPr="00A14C8B" w:rsidTr="005230B7">
        <w:tc>
          <w:tcPr>
            <w:tcW w:w="4122" w:type="dxa"/>
            <w:shd w:val="clear" w:color="auto" w:fill="auto"/>
          </w:tcPr>
          <w:p w:rsidR="0073005C" w:rsidRPr="00A14C8B" w:rsidRDefault="0073005C" w:rsidP="005230B7">
            <w:pPr>
              <w:rPr>
                <w:bCs/>
                <w:lang w:val="en-US"/>
              </w:rPr>
            </w:pPr>
            <w:r>
              <w:rPr>
                <w:bCs/>
                <w:lang w:val="en-US"/>
              </w:rPr>
              <w:t>Performance</w:t>
            </w:r>
            <w:r w:rsidRPr="00A14C8B">
              <w:rPr>
                <w:bCs/>
                <w:lang w:val="en-US"/>
              </w:rPr>
              <w:t xml:space="preserve"> Materials</w:t>
            </w:r>
          </w:p>
        </w:tc>
        <w:tc>
          <w:tcPr>
            <w:tcW w:w="2172" w:type="dxa"/>
            <w:shd w:val="clear" w:color="auto" w:fill="auto"/>
          </w:tcPr>
          <w:p w:rsidR="0073005C" w:rsidRPr="00A14C8B" w:rsidRDefault="0073005C" w:rsidP="005230B7">
            <w:pPr>
              <w:jc w:val="right"/>
              <w:rPr>
                <w:bCs/>
                <w:lang w:val="en-US"/>
              </w:rPr>
            </w:pPr>
            <w:r>
              <w:rPr>
                <w:bCs/>
                <w:lang w:val="en-US"/>
              </w:rPr>
              <w:t>4.421</w:t>
            </w:r>
          </w:p>
        </w:tc>
        <w:tc>
          <w:tcPr>
            <w:tcW w:w="2173" w:type="dxa"/>
            <w:shd w:val="clear" w:color="auto" w:fill="auto"/>
          </w:tcPr>
          <w:p w:rsidR="0073005C" w:rsidRPr="00A14C8B" w:rsidRDefault="0073005C" w:rsidP="005230B7">
            <w:pPr>
              <w:jc w:val="right"/>
              <w:rPr>
                <w:bCs/>
                <w:lang w:val="en-US"/>
              </w:rPr>
            </w:pPr>
            <w:r>
              <w:rPr>
                <w:bCs/>
                <w:lang w:val="en-US"/>
              </w:rPr>
              <w:t>4.380</w:t>
            </w:r>
          </w:p>
        </w:tc>
      </w:tr>
      <w:tr w:rsidR="0073005C" w:rsidRPr="00A14C8B" w:rsidTr="005230B7">
        <w:tc>
          <w:tcPr>
            <w:tcW w:w="4122" w:type="dxa"/>
            <w:shd w:val="clear" w:color="auto" w:fill="auto"/>
          </w:tcPr>
          <w:p w:rsidR="0073005C" w:rsidRPr="00A14C8B" w:rsidRDefault="0073005C" w:rsidP="005230B7">
            <w:pPr>
              <w:rPr>
                <w:bCs/>
                <w:lang w:val="en-US"/>
              </w:rPr>
            </w:pPr>
            <w:r w:rsidRPr="00A14C8B">
              <w:rPr>
                <w:bCs/>
                <w:lang w:val="en-US"/>
              </w:rPr>
              <w:t>Services</w:t>
            </w:r>
          </w:p>
        </w:tc>
        <w:tc>
          <w:tcPr>
            <w:tcW w:w="2172" w:type="dxa"/>
            <w:shd w:val="clear" w:color="auto" w:fill="auto"/>
          </w:tcPr>
          <w:p w:rsidR="0073005C" w:rsidRPr="00A14C8B" w:rsidRDefault="0073005C" w:rsidP="005230B7">
            <w:pPr>
              <w:jc w:val="right"/>
              <w:rPr>
                <w:bCs/>
                <w:lang w:val="en-US"/>
              </w:rPr>
            </w:pPr>
            <w:r>
              <w:rPr>
                <w:bCs/>
                <w:lang w:val="en-US"/>
              </w:rPr>
              <w:t>12.896</w:t>
            </w:r>
          </w:p>
        </w:tc>
        <w:tc>
          <w:tcPr>
            <w:tcW w:w="2173" w:type="dxa"/>
            <w:shd w:val="clear" w:color="auto" w:fill="auto"/>
          </w:tcPr>
          <w:p w:rsidR="0073005C" w:rsidRPr="00A14C8B" w:rsidRDefault="0073005C" w:rsidP="005230B7">
            <w:pPr>
              <w:jc w:val="right"/>
              <w:rPr>
                <w:bCs/>
                <w:lang w:val="en-US"/>
              </w:rPr>
            </w:pPr>
            <w:r>
              <w:rPr>
                <w:bCs/>
                <w:lang w:val="en-US"/>
              </w:rPr>
              <w:t>12.668</w:t>
            </w:r>
          </w:p>
        </w:tc>
      </w:tr>
      <w:tr w:rsidR="0073005C" w:rsidRPr="00B13E9A" w:rsidTr="005230B7">
        <w:tc>
          <w:tcPr>
            <w:tcW w:w="4122" w:type="dxa"/>
            <w:shd w:val="clear" w:color="auto" w:fill="auto"/>
          </w:tcPr>
          <w:p w:rsidR="0073005C" w:rsidRPr="00A14C8B" w:rsidRDefault="0073005C" w:rsidP="005230B7">
            <w:pPr>
              <w:rPr>
                <w:bCs/>
                <w:lang w:val="en-US"/>
              </w:rPr>
            </w:pPr>
            <w:r>
              <w:rPr>
                <w:bCs/>
                <w:lang w:val="en-US"/>
              </w:rPr>
              <w:t xml:space="preserve">Sonstige Aktivitäten </w:t>
            </w:r>
          </w:p>
        </w:tc>
        <w:tc>
          <w:tcPr>
            <w:tcW w:w="2172" w:type="dxa"/>
            <w:shd w:val="clear" w:color="auto" w:fill="auto"/>
          </w:tcPr>
          <w:p w:rsidR="0073005C" w:rsidRPr="00A14C8B" w:rsidRDefault="0073005C" w:rsidP="005230B7">
            <w:pPr>
              <w:jc w:val="right"/>
              <w:rPr>
                <w:bCs/>
                <w:lang w:val="en-US"/>
              </w:rPr>
            </w:pPr>
            <w:r>
              <w:rPr>
                <w:bCs/>
                <w:lang w:val="en-US"/>
              </w:rPr>
              <w:t>531</w:t>
            </w:r>
          </w:p>
        </w:tc>
        <w:tc>
          <w:tcPr>
            <w:tcW w:w="2173" w:type="dxa"/>
            <w:shd w:val="clear" w:color="auto" w:fill="auto"/>
          </w:tcPr>
          <w:p w:rsidR="0073005C" w:rsidRPr="00B13E9A" w:rsidRDefault="0073005C" w:rsidP="005230B7">
            <w:pPr>
              <w:jc w:val="right"/>
              <w:rPr>
                <w:bCs/>
              </w:rPr>
            </w:pPr>
            <w:r>
              <w:rPr>
                <w:bCs/>
              </w:rPr>
              <w:t>701</w:t>
            </w:r>
          </w:p>
        </w:tc>
      </w:tr>
      <w:tr w:rsidR="0073005C" w:rsidRPr="00B13E9A" w:rsidTr="005230B7">
        <w:tc>
          <w:tcPr>
            <w:tcW w:w="4122" w:type="dxa"/>
            <w:shd w:val="clear" w:color="auto" w:fill="auto"/>
          </w:tcPr>
          <w:p w:rsidR="0073005C" w:rsidRPr="001E6A70" w:rsidRDefault="0073005C" w:rsidP="005230B7">
            <w:pPr>
              <w:rPr>
                <w:b/>
                <w:bCs/>
              </w:rPr>
            </w:pPr>
            <w:r>
              <w:rPr>
                <w:b/>
                <w:bCs/>
              </w:rPr>
              <w:t>Evonik</w:t>
            </w:r>
          </w:p>
        </w:tc>
        <w:tc>
          <w:tcPr>
            <w:tcW w:w="2172" w:type="dxa"/>
            <w:shd w:val="clear" w:color="auto" w:fill="auto"/>
          </w:tcPr>
          <w:p w:rsidR="0073005C" w:rsidRPr="001E6A70" w:rsidRDefault="0073005C" w:rsidP="005230B7">
            <w:pPr>
              <w:jc w:val="right"/>
              <w:rPr>
                <w:b/>
                <w:bCs/>
              </w:rPr>
            </w:pPr>
            <w:r>
              <w:rPr>
                <w:b/>
                <w:bCs/>
              </w:rPr>
              <w:t>34.277</w:t>
            </w:r>
          </w:p>
        </w:tc>
        <w:tc>
          <w:tcPr>
            <w:tcW w:w="2173" w:type="dxa"/>
            <w:shd w:val="clear" w:color="auto" w:fill="auto"/>
          </w:tcPr>
          <w:p w:rsidR="0073005C" w:rsidRPr="001E6A70" w:rsidRDefault="0073005C" w:rsidP="005230B7">
            <w:pPr>
              <w:jc w:val="right"/>
              <w:rPr>
                <w:b/>
                <w:bCs/>
              </w:rPr>
            </w:pPr>
            <w:r>
              <w:rPr>
                <w:b/>
                <w:bCs/>
              </w:rPr>
              <w:t>33.576</w:t>
            </w:r>
          </w:p>
        </w:tc>
      </w:tr>
    </w:tbl>
    <w:p w:rsidR="0073005C" w:rsidRPr="00A03972" w:rsidRDefault="0073005C" w:rsidP="0073005C">
      <w:pPr>
        <w:spacing w:line="240" w:lineRule="auto"/>
        <w:rPr>
          <w:bCs/>
          <w:sz w:val="16"/>
          <w:szCs w:val="16"/>
        </w:rPr>
      </w:pPr>
      <w:r>
        <w:rPr>
          <w:bCs/>
          <w:sz w:val="16"/>
          <w:szCs w:val="16"/>
        </w:rPr>
        <w:t>Vorjahreszahlen angepasst</w:t>
      </w:r>
    </w:p>
    <w:p w:rsidR="0073005C" w:rsidRDefault="0073005C" w:rsidP="0073005C"/>
    <w:p w:rsidR="0073005C" w:rsidRDefault="0073005C">
      <w:pPr>
        <w:spacing w:line="240" w:lineRule="auto"/>
      </w:pPr>
      <w:r>
        <w:br w:type="page"/>
      </w:r>
    </w:p>
    <w:p w:rsidR="000B1B97" w:rsidRDefault="000B1B97" w:rsidP="0006177F"/>
    <w:p w:rsidR="000B1B97" w:rsidRDefault="000B1B97" w:rsidP="0006177F"/>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0B1B97" w:rsidRPr="000B1B97" w:rsidRDefault="000B1B97" w:rsidP="000B1B97">
      <w:pPr>
        <w:spacing w:line="220" w:lineRule="exact"/>
        <w:rPr>
          <w:sz w:val="18"/>
          <w:szCs w:val="18"/>
        </w:rPr>
      </w:pP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E7FB0">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E7FB0">
      <w:rPr>
        <w:rStyle w:val="Seitenzahl"/>
        <w:noProof/>
      </w:rPr>
      <w:t>7</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E7FB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E7FB0">
      <w:rPr>
        <w:rStyle w:val="Seitenzahl"/>
        <w:noProof/>
        <w:szCs w:val="18"/>
      </w:rPr>
      <w:t>7</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403EF8"/>
    <w:multiLevelType w:val="hybridMultilevel"/>
    <w:tmpl w:val="FB72EA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791B"/>
    <w:rsid w:val="00035360"/>
    <w:rsid w:val="00044EB8"/>
    <w:rsid w:val="00046D8D"/>
    <w:rsid w:val="00047E57"/>
    <w:rsid w:val="00052FB1"/>
    <w:rsid w:val="0006177F"/>
    <w:rsid w:val="00084555"/>
    <w:rsid w:val="000846DA"/>
    <w:rsid w:val="00086556"/>
    <w:rsid w:val="000902FA"/>
    <w:rsid w:val="00091BE6"/>
    <w:rsid w:val="00092F83"/>
    <w:rsid w:val="000A0DDB"/>
    <w:rsid w:val="000A7091"/>
    <w:rsid w:val="000B1B97"/>
    <w:rsid w:val="000B4D73"/>
    <w:rsid w:val="000D1DD8"/>
    <w:rsid w:val="000E06AB"/>
    <w:rsid w:val="000F30F7"/>
    <w:rsid w:val="000F70A3"/>
    <w:rsid w:val="00101A1C"/>
    <w:rsid w:val="001175D3"/>
    <w:rsid w:val="00124443"/>
    <w:rsid w:val="00130512"/>
    <w:rsid w:val="00130B40"/>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17CF4"/>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E7FB0"/>
    <w:rsid w:val="004F0709"/>
    <w:rsid w:val="004F0B24"/>
    <w:rsid w:val="004F1444"/>
    <w:rsid w:val="005020EF"/>
    <w:rsid w:val="005126C5"/>
    <w:rsid w:val="005225EC"/>
    <w:rsid w:val="00527085"/>
    <w:rsid w:val="005337DD"/>
    <w:rsid w:val="00552ADA"/>
    <w:rsid w:val="00554C5A"/>
    <w:rsid w:val="005652ED"/>
    <w:rsid w:val="0057548A"/>
    <w:rsid w:val="00582643"/>
    <w:rsid w:val="00582C0E"/>
    <w:rsid w:val="00587C52"/>
    <w:rsid w:val="005A119C"/>
    <w:rsid w:val="005A73EC"/>
    <w:rsid w:val="005B3BD7"/>
    <w:rsid w:val="005E0397"/>
    <w:rsid w:val="005E799F"/>
    <w:rsid w:val="005F234C"/>
    <w:rsid w:val="005F50D9"/>
    <w:rsid w:val="00603D2C"/>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005C"/>
    <w:rsid w:val="00731495"/>
    <w:rsid w:val="00744FA6"/>
    <w:rsid w:val="00751E3D"/>
    <w:rsid w:val="00763004"/>
    <w:rsid w:val="00770879"/>
    <w:rsid w:val="00775D2E"/>
    <w:rsid w:val="00784360"/>
    <w:rsid w:val="007A2C47"/>
    <w:rsid w:val="007B2030"/>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AC0"/>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94DA6"/>
    <w:rsid w:val="00BA41A7"/>
    <w:rsid w:val="00BA4EB5"/>
    <w:rsid w:val="00BA584D"/>
    <w:rsid w:val="00BA5CD2"/>
    <w:rsid w:val="00BA6649"/>
    <w:rsid w:val="00BC1D7E"/>
    <w:rsid w:val="00BD10E1"/>
    <w:rsid w:val="00BD71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03A20"/>
    <w:rsid w:val="00D129CF"/>
    <w:rsid w:val="00D333AA"/>
    <w:rsid w:val="00D35567"/>
    <w:rsid w:val="00D37EAD"/>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B09BD"/>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4F0709"/>
    <w:pPr>
      <w:spacing w:after="160" w:line="259" w:lineRule="auto"/>
      <w:ind w:left="720"/>
      <w:contextualSpacing/>
    </w:pPr>
    <w:rPr>
      <w:rFonts w:asciiTheme="minorHAnsi" w:eastAsiaTheme="minorHAnsi" w:hAnsiTheme="minorHAnsi" w:cstheme="minorBidi"/>
      <w:szCs w:val="22"/>
      <w:lang w:eastAsia="en-US"/>
    </w:rPr>
  </w:style>
  <w:style w:type="paragraph" w:customStyle="1" w:styleId="SNErsteZeile">
    <w:name w:val="_SN_Erste Zeile"/>
    <w:basedOn w:val="Standard"/>
    <w:next w:val="Standard"/>
    <w:autoRedefine/>
    <w:qFormat/>
    <w:rsid w:val="004F0709"/>
    <w:pPr>
      <w:spacing w:line="300" w:lineRule="atLeast"/>
    </w:pPr>
    <w:rPr>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9B5B-6927-4C15-A5B3-2780DEFD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3D723AFD</Template>
  <TotalTime>0</TotalTime>
  <Pages>7</Pages>
  <Words>1493</Words>
  <Characters>9709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11180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12</cp:revision>
  <cp:lastPrinted>2016-11-03T15:54:00Z</cp:lastPrinted>
  <dcterms:created xsi:type="dcterms:W3CDTF">2016-11-03T10:13:00Z</dcterms:created>
  <dcterms:modified xsi:type="dcterms:W3CDTF">2016-11-03T15:56:00Z</dcterms:modified>
</cp:coreProperties>
</file>