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71FA3949" w14:textId="77777777" w:rsidTr="002159BA">
        <w:trPr>
          <w:trHeight w:val="851"/>
        </w:trPr>
        <w:tc>
          <w:tcPr>
            <w:tcW w:w="2552" w:type="dxa"/>
            <w:shd w:val="clear" w:color="auto" w:fill="auto"/>
          </w:tcPr>
          <w:p w14:paraId="3492A0AE" w14:textId="77777777" w:rsidR="005B3BD7" w:rsidRPr="00344D49" w:rsidRDefault="00B07A7A" w:rsidP="002159BA">
            <w:pPr>
              <w:spacing w:line="220" w:lineRule="exact"/>
              <w:rPr>
                <w:noProof/>
                <w:sz w:val="18"/>
                <w:szCs w:val="13"/>
              </w:rPr>
            </w:pPr>
            <w:r>
              <w:rPr>
                <w:noProof/>
                <w:sz w:val="18"/>
                <w:szCs w:val="13"/>
              </w:rPr>
              <w:t>02. März 2017</w:t>
            </w:r>
          </w:p>
          <w:p w14:paraId="782B0A33" w14:textId="77777777" w:rsidR="005B3BD7" w:rsidRPr="00344D49" w:rsidRDefault="005B3BD7" w:rsidP="002159BA">
            <w:pPr>
              <w:spacing w:line="180" w:lineRule="exact"/>
              <w:rPr>
                <w:noProof/>
                <w:sz w:val="13"/>
                <w:szCs w:val="13"/>
              </w:rPr>
            </w:pPr>
          </w:p>
          <w:p w14:paraId="26334250" w14:textId="77777777" w:rsidR="005B3BD7" w:rsidRDefault="005B3BD7" w:rsidP="002159BA">
            <w:pPr>
              <w:spacing w:line="180" w:lineRule="exact"/>
              <w:rPr>
                <w:noProof/>
                <w:sz w:val="13"/>
                <w:szCs w:val="13"/>
              </w:rPr>
            </w:pPr>
          </w:p>
          <w:p w14:paraId="1783AD3D" w14:textId="77777777" w:rsidR="008B4D0E" w:rsidRPr="008F3FEA" w:rsidRDefault="008B4D0E" w:rsidP="008B4D0E">
            <w:pPr>
              <w:pStyle w:val="M8"/>
              <w:framePr w:wrap="auto" w:vAnchor="margin" w:hAnchor="text" w:xAlign="left" w:yAlign="inline"/>
              <w:suppressOverlap w:val="0"/>
            </w:pPr>
            <w:r w:rsidRPr="008F3FEA">
              <w:rPr>
                <w:b/>
                <w:bCs/>
              </w:rPr>
              <w:t>Matthias Ruch</w:t>
            </w:r>
            <w:r w:rsidRPr="008F3FEA">
              <w:br/>
              <w:t>Leiter Externe Kommunikation</w:t>
            </w:r>
            <w:r w:rsidRPr="008F3FEA">
              <w:br/>
              <w:t>Telefon +49 201 177-3348</w:t>
            </w:r>
            <w:r w:rsidRPr="008F3FEA">
              <w:br/>
              <w:t>Mobil +49 174 325 9942</w:t>
            </w:r>
            <w:r w:rsidRPr="008F3FEA">
              <w:br/>
            </w:r>
            <w:hyperlink r:id="rId7" w:history="1">
              <w:r w:rsidRPr="008F3FEA">
                <w:rPr>
                  <w:rStyle w:val="Hyperlink"/>
                </w:rPr>
                <w:t>matthias.ruch@evonik.com</w:t>
              </w:r>
            </w:hyperlink>
          </w:p>
          <w:p w14:paraId="3199BD26" w14:textId="77777777" w:rsidR="005B3BD7" w:rsidRPr="00FF3C44" w:rsidRDefault="005B3BD7" w:rsidP="00176FF9">
            <w:pPr>
              <w:pStyle w:val="M1"/>
              <w:framePr w:wrap="auto" w:vAnchor="margin" w:hAnchor="text" w:xAlign="left" w:yAlign="inline"/>
              <w:ind w:right="0"/>
              <w:suppressOverlap w:val="0"/>
              <w:rPr>
                <w:b w:val="0"/>
                <w:noProof/>
                <w:szCs w:val="13"/>
              </w:rPr>
            </w:pPr>
          </w:p>
        </w:tc>
      </w:tr>
    </w:tbl>
    <w:p w14:paraId="2774A799" w14:textId="77777777" w:rsidR="00FF3C44" w:rsidRDefault="00FF3C44" w:rsidP="00F708E8">
      <w:pPr>
        <w:framePr w:w="2659" w:wrap="around" w:hAnchor="page" w:x="8971" w:yAlign="bottom" w:anchorLock="1"/>
        <w:spacing w:line="180" w:lineRule="exact"/>
        <w:rPr>
          <w:noProof/>
          <w:sz w:val="13"/>
          <w:szCs w:val="13"/>
        </w:rPr>
      </w:pPr>
      <w:r>
        <w:rPr>
          <w:b/>
          <w:noProof/>
          <w:sz w:val="13"/>
          <w:szCs w:val="13"/>
        </w:rPr>
        <w:t>Evonik Industries AG</w:t>
      </w:r>
    </w:p>
    <w:p w14:paraId="414E58A5"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Rellinghauser Straße 1-11</w:t>
      </w:r>
    </w:p>
    <w:p w14:paraId="75AB9764"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45128 Essen</w:t>
      </w:r>
    </w:p>
    <w:p w14:paraId="52DBD548"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Telefon +49 201 177-01</w:t>
      </w:r>
    </w:p>
    <w:p w14:paraId="56921208"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Telefax +49 201 177-3475</w:t>
      </w:r>
    </w:p>
    <w:p w14:paraId="3CCAA5CE"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www.evonik.de</w:t>
      </w:r>
    </w:p>
    <w:p w14:paraId="4547B510" w14:textId="77777777" w:rsidR="00FF3C44" w:rsidRDefault="00FF3C44" w:rsidP="00F708E8">
      <w:pPr>
        <w:framePr w:w="2659" w:wrap="around" w:hAnchor="page" w:x="8971" w:yAlign="bottom" w:anchorLock="1"/>
        <w:spacing w:line="180" w:lineRule="exact"/>
        <w:rPr>
          <w:noProof/>
          <w:sz w:val="13"/>
          <w:szCs w:val="13"/>
        </w:rPr>
      </w:pPr>
    </w:p>
    <w:p w14:paraId="6AFA0FDC" w14:textId="77777777" w:rsidR="00FF3C44" w:rsidRDefault="00FF3C44" w:rsidP="00F708E8">
      <w:pPr>
        <w:framePr w:w="2659" w:wrap="around" w:hAnchor="page" w:x="8971" w:yAlign="bottom" w:anchorLock="1"/>
        <w:spacing w:line="180" w:lineRule="exact"/>
        <w:rPr>
          <w:noProof/>
          <w:sz w:val="13"/>
          <w:szCs w:val="13"/>
        </w:rPr>
      </w:pPr>
      <w:r>
        <w:rPr>
          <w:b/>
          <w:noProof/>
          <w:sz w:val="13"/>
          <w:szCs w:val="13"/>
        </w:rPr>
        <w:t>Aufsichtsrat</w:t>
      </w:r>
    </w:p>
    <w:p w14:paraId="163F5E17"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Dr. Werner Müller, Vorsitzender</w:t>
      </w:r>
    </w:p>
    <w:p w14:paraId="180952E1" w14:textId="77777777" w:rsidR="00FF3C44" w:rsidRDefault="00FF3C44" w:rsidP="00F708E8">
      <w:pPr>
        <w:framePr w:w="2659" w:wrap="around" w:hAnchor="page" w:x="8971" w:yAlign="bottom" w:anchorLock="1"/>
        <w:spacing w:line="180" w:lineRule="exact"/>
        <w:rPr>
          <w:noProof/>
          <w:sz w:val="13"/>
          <w:szCs w:val="13"/>
        </w:rPr>
      </w:pPr>
      <w:r>
        <w:rPr>
          <w:b/>
          <w:noProof/>
          <w:sz w:val="13"/>
          <w:szCs w:val="13"/>
        </w:rPr>
        <w:t>Vorstand</w:t>
      </w:r>
    </w:p>
    <w:p w14:paraId="38BD2FE5"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Dr. Klaus Engel, Vorsitzender</w:t>
      </w:r>
    </w:p>
    <w:p w14:paraId="4CE339D5"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Christian Kullmann, Stellv. Vorsitzender</w:t>
      </w:r>
    </w:p>
    <w:p w14:paraId="442E91D2"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Dr. Ralph Sven Kaufmann</w:t>
      </w:r>
    </w:p>
    <w:p w14:paraId="499CFF47"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Thomas Wessel</w:t>
      </w:r>
    </w:p>
    <w:p w14:paraId="26FA2667"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Ute Wolf</w:t>
      </w:r>
    </w:p>
    <w:p w14:paraId="65A00E90" w14:textId="77777777" w:rsidR="00FF3C44" w:rsidRDefault="00FF3C44" w:rsidP="00F708E8">
      <w:pPr>
        <w:framePr w:w="2659" w:wrap="around" w:hAnchor="page" w:x="8971" w:yAlign="bottom" w:anchorLock="1"/>
        <w:spacing w:line="180" w:lineRule="exact"/>
        <w:rPr>
          <w:noProof/>
          <w:sz w:val="13"/>
          <w:szCs w:val="13"/>
        </w:rPr>
      </w:pPr>
    </w:p>
    <w:p w14:paraId="485B9FA6"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Sitz der Gesellschaft ist Essen</w:t>
      </w:r>
    </w:p>
    <w:p w14:paraId="7E088E60" w14:textId="77777777" w:rsidR="00FF3C44" w:rsidRDefault="00FF3C44" w:rsidP="00F708E8">
      <w:pPr>
        <w:framePr w:w="2659" w:wrap="around" w:hAnchor="page" w:x="8971" w:yAlign="bottom" w:anchorLock="1"/>
        <w:spacing w:line="180" w:lineRule="exact"/>
        <w:rPr>
          <w:noProof/>
          <w:sz w:val="13"/>
          <w:szCs w:val="13"/>
        </w:rPr>
      </w:pPr>
      <w:r>
        <w:rPr>
          <w:noProof/>
          <w:sz w:val="13"/>
          <w:szCs w:val="13"/>
        </w:rPr>
        <w:t>Registergericht Amtsgericht Essen</w:t>
      </w:r>
    </w:p>
    <w:p w14:paraId="294AE85F" w14:textId="77777777" w:rsidR="009A2F60" w:rsidRPr="00FF3C44" w:rsidRDefault="00FF3C44" w:rsidP="00F708E8">
      <w:pPr>
        <w:framePr w:w="2659" w:wrap="around" w:hAnchor="page" w:x="8971" w:yAlign="bottom" w:anchorLock="1"/>
        <w:spacing w:line="180" w:lineRule="exact"/>
        <w:rPr>
          <w:noProof/>
          <w:sz w:val="13"/>
          <w:szCs w:val="13"/>
        </w:rPr>
      </w:pPr>
      <w:r>
        <w:rPr>
          <w:noProof/>
          <w:sz w:val="13"/>
          <w:szCs w:val="13"/>
        </w:rPr>
        <w:t>Handelsregister B 19474</w:t>
      </w:r>
    </w:p>
    <w:p w14:paraId="03D56375" w14:textId="001BCEE6" w:rsidR="00BE17F7" w:rsidRDefault="00BE17F7" w:rsidP="00BE17F7">
      <w:pPr>
        <w:rPr>
          <w:szCs w:val="18"/>
          <w:u w:val="single"/>
        </w:rPr>
      </w:pPr>
      <w:r w:rsidRPr="00407B10">
        <w:rPr>
          <w:szCs w:val="18"/>
          <w:u w:val="single"/>
        </w:rPr>
        <w:t xml:space="preserve">Sendesperrfrist: </w:t>
      </w:r>
      <w:r>
        <w:rPr>
          <w:szCs w:val="18"/>
          <w:u w:val="single"/>
        </w:rPr>
        <w:t>2</w:t>
      </w:r>
      <w:r w:rsidRPr="00407B10">
        <w:rPr>
          <w:szCs w:val="18"/>
          <w:u w:val="single"/>
        </w:rPr>
        <w:t>. März 201</w:t>
      </w:r>
      <w:r>
        <w:rPr>
          <w:szCs w:val="18"/>
          <w:u w:val="single"/>
        </w:rPr>
        <w:t>7</w:t>
      </w:r>
      <w:r w:rsidRPr="00407B10">
        <w:rPr>
          <w:szCs w:val="18"/>
          <w:u w:val="single"/>
        </w:rPr>
        <w:t xml:space="preserve">, </w:t>
      </w:r>
      <w:r>
        <w:rPr>
          <w:szCs w:val="18"/>
          <w:u w:val="single"/>
        </w:rPr>
        <w:t>7</w:t>
      </w:r>
      <w:r w:rsidRPr="00407B10">
        <w:rPr>
          <w:szCs w:val="18"/>
          <w:u w:val="single"/>
        </w:rPr>
        <w:t>.</w:t>
      </w:r>
      <w:r>
        <w:rPr>
          <w:szCs w:val="18"/>
          <w:u w:val="single"/>
        </w:rPr>
        <w:t>0</w:t>
      </w:r>
      <w:r w:rsidRPr="00407B10">
        <w:rPr>
          <w:szCs w:val="18"/>
          <w:u w:val="single"/>
        </w:rPr>
        <w:t>0 Uhr</w:t>
      </w:r>
    </w:p>
    <w:p w14:paraId="384E445A" w14:textId="77777777" w:rsidR="00BE17F7" w:rsidRPr="00407B10" w:rsidRDefault="00BE17F7" w:rsidP="00BE17F7">
      <w:pPr>
        <w:rPr>
          <w:szCs w:val="18"/>
          <w:u w:val="single"/>
        </w:rPr>
      </w:pPr>
    </w:p>
    <w:p w14:paraId="0749758D" w14:textId="77777777" w:rsidR="00BE17F7" w:rsidRPr="00080CD7" w:rsidRDefault="00BE17F7" w:rsidP="00BE17F7">
      <w:pPr>
        <w:rPr>
          <w:u w:val="single"/>
        </w:rPr>
      </w:pPr>
      <w:r w:rsidRPr="00080CD7">
        <w:rPr>
          <w:u w:val="single"/>
        </w:rPr>
        <w:t>Wirtschaftliche Eckdaten:</w:t>
      </w:r>
    </w:p>
    <w:p w14:paraId="50F60843" w14:textId="07BA0F94" w:rsidR="00BE17F7" w:rsidRDefault="00BE17F7" w:rsidP="00BE17F7">
      <w:pPr>
        <w:rPr>
          <w:b/>
          <w:bCs/>
          <w:sz w:val="24"/>
        </w:rPr>
      </w:pPr>
      <w:r w:rsidRPr="00080CD7">
        <w:rPr>
          <w:u w:val="single"/>
        </w:rPr>
        <w:t>1. Januar – 31. Dezember 201</w:t>
      </w:r>
      <w:r>
        <w:rPr>
          <w:u w:val="single"/>
        </w:rPr>
        <w:t>6</w:t>
      </w:r>
      <w:r w:rsidRPr="00080CD7">
        <w:rPr>
          <w:u w:val="single"/>
        </w:rPr>
        <w:t xml:space="preserve"> / </w:t>
      </w:r>
      <w:r>
        <w:rPr>
          <w:u w:val="single"/>
        </w:rPr>
        <w:t>Ausblick</w:t>
      </w:r>
      <w:r w:rsidRPr="00080CD7">
        <w:rPr>
          <w:u w:val="single"/>
        </w:rPr>
        <w:t xml:space="preserve"> 201</w:t>
      </w:r>
      <w:r>
        <w:rPr>
          <w:u w:val="single"/>
        </w:rPr>
        <w:t>7</w:t>
      </w:r>
    </w:p>
    <w:p w14:paraId="09A7C24B" w14:textId="77777777" w:rsidR="00BE17F7" w:rsidRDefault="00BE17F7" w:rsidP="008B4D0E">
      <w:pPr>
        <w:rPr>
          <w:b/>
          <w:bCs/>
          <w:sz w:val="24"/>
        </w:rPr>
      </w:pPr>
    </w:p>
    <w:p w14:paraId="07F45ECF" w14:textId="77777777" w:rsidR="00BE17F7" w:rsidRDefault="00BE17F7" w:rsidP="008B4D0E">
      <w:pPr>
        <w:rPr>
          <w:b/>
          <w:bCs/>
          <w:sz w:val="24"/>
        </w:rPr>
      </w:pPr>
    </w:p>
    <w:p w14:paraId="39C142C7" w14:textId="77777777" w:rsidR="008B4D0E" w:rsidRPr="00F711E1" w:rsidRDefault="008B4D0E" w:rsidP="008B4D0E">
      <w:pPr>
        <w:rPr>
          <w:rFonts w:ascii="Calibri" w:hAnsi="Calibri"/>
          <w:b/>
          <w:bCs/>
          <w:sz w:val="24"/>
        </w:rPr>
      </w:pPr>
      <w:r w:rsidRPr="00F711E1">
        <w:rPr>
          <w:b/>
          <w:bCs/>
          <w:sz w:val="24"/>
        </w:rPr>
        <w:t>Gutes Geschäftsjahr 2016</w:t>
      </w:r>
    </w:p>
    <w:p w14:paraId="462BA3F6" w14:textId="77777777" w:rsidR="008B4D0E" w:rsidRPr="00F711E1" w:rsidRDefault="008B4D0E" w:rsidP="008B4D0E">
      <w:pPr>
        <w:rPr>
          <w:b/>
          <w:bCs/>
          <w:sz w:val="24"/>
        </w:rPr>
      </w:pPr>
      <w:r w:rsidRPr="00F711E1">
        <w:rPr>
          <w:b/>
          <w:bCs/>
          <w:sz w:val="24"/>
        </w:rPr>
        <w:t>Akquisitionen stärken Wachstumssegmente</w:t>
      </w:r>
    </w:p>
    <w:p w14:paraId="133DDBC7" w14:textId="77777777" w:rsidR="008B4D0E" w:rsidRPr="004B0552" w:rsidRDefault="008B4D0E" w:rsidP="008B4D0E">
      <w:pPr>
        <w:rPr>
          <w:b/>
          <w:bCs/>
          <w:sz w:val="24"/>
        </w:rPr>
      </w:pPr>
    </w:p>
    <w:p w14:paraId="472518BD" w14:textId="77777777" w:rsidR="008B4D0E" w:rsidRPr="00714DDE" w:rsidRDefault="008B4D0E" w:rsidP="00AB0E5B">
      <w:pPr>
        <w:pStyle w:val="berschrift1"/>
        <w:rPr>
          <w:rFonts w:ascii="Calibri" w:hAnsi="Calibri"/>
          <w:sz w:val="22"/>
          <w:szCs w:val="22"/>
        </w:rPr>
      </w:pPr>
      <w:r w:rsidRPr="00714DDE">
        <w:rPr>
          <w:sz w:val="22"/>
          <w:szCs w:val="22"/>
        </w:rPr>
        <w:t xml:space="preserve">Prognose voll erfüllt: </w:t>
      </w:r>
      <w:r w:rsidR="00AB0E5B" w:rsidRPr="00714DDE">
        <w:rPr>
          <w:sz w:val="22"/>
          <w:szCs w:val="22"/>
        </w:rPr>
        <w:t>Bereinigtes EBITDA liegt mit</w:t>
      </w:r>
      <w:r w:rsidR="00AB0E5B" w:rsidRPr="00714DDE">
        <w:rPr>
          <w:rFonts w:ascii="Calibri" w:hAnsi="Calibri"/>
          <w:sz w:val="22"/>
          <w:szCs w:val="22"/>
        </w:rPr>
        <w:br/>
      </w:r>
      <w:r w:rsidRPr="00714DDE">
        <w:rPr>
          <w:sz w:val="22"/>
          <w:szCs w:val="22"/>
        </w:rPr>
        <w:t xml:space="preserve">2,165 </w:t>
      </w:r>
      <w:r w:rsidR="00AB0E5B" w:rsidRPr="00714DDE">
        <w:rPr>
          <w:sz w:val="22"/>
          <w:szCs w:val="22"/>
        </w:rPr>
        <w:t>Mrd. Euro</w:t>
      </w:r>
      <w:r w:rsidRPr="00714DDE">
        <w:rPr>
          <w:sz w:val="22"/>
          <w:szCs w:val="22"/>
        </w:rPr>
        <w:t xml:space="preserve"> am oberen Ende der Bandbreite</w:t>
      </w:r>
    </w:p>
    <w:p w14:paraId="7532F462" w14:textId="77777777" w:rsidR="008B4D0E" w:rsidRPr="00714DDE" w:rsidRDefault="008B4D0E" w:rsidP="008B4D0E">
      <w:pPr>
        <w:pStyle w:val="berschrift1"/>
        <w:rPr>
          <w:sz w:val="22"/>
          <w:szCs w:val="22"/>
        </w:rPr>
      </w:pPr>
      <w:r w:rsidRPr="00714DDE">
        <w:rPr>
          <w:sz w:val="22"/>
          <w:szCs w:val="22"/>
        </w:rPr>
        <w:t xml:space="preserve">Dividendenvorschlag: </w:t>
      </w:r>
      <w:r w:rsidR="00AB0E5B" w:rsidRPr="00714DDE">
        <w:rPr>
          <w:sz w:val="22"/>
          <w:szCs w:val="22"/>
        </w:rPr>
        <w:t>Konstant auf attraktivem Niveau</w:t>
      </w:r>
      <w:r w:rsidR="00AB0E5B" w:rsidRPr="00714DDE">
        <w:rPr>
          <w:sz w:val="22"/>
          <w:szCs w:val="22"/>
        </w:rPr>
        <w:br/>
      </w:r>
      <w:r w:rsidRPr="00714DDE">
        <w:rPr>
          <w:sz w:val="22"/>
          <w:szCs w:val="22"/>
        </w:rPr>
        <w:t xml:space="preserve">von 1,15 </w:t>
      </w:r>
      <w:r w:rsidR="00AB0E5B" w:rsidRPr="00714DDE">
        <w:rPr>
          <w:sz w:val="22"/>
          <w:szCs w:val="22"/>
        </w:rPr>
        <w:t>Euro</w:t>
      </w:r>
      <w:r w:rsidRPr="00714DDE">
        <w:rPr>
          <w:sz w:val="22"/>
          <w:szCs w:val="22"/>
        </w:rPr>
        <w:t xml:space="preserve"> pro Aktie</w:t>
      </w:r>
    </w:p>
    <w:p w14:paraId="3ED638C1" w14:textId="4B9C76A6" w:rsidR="008B4D0E" w:rsidRPr="00714DDE" w:rsidRDefault="008B4D0E" w:rsidP="008B4D0E">
      <w:pPr>
        <w:pStyle w:val="berschrift1"/>
        <w:rPr>
          <w:sz w:val="22"/>
          <w:szCs w:val="22"/>
        </w:rPr>
      </w:pPr>
      <w:r w:rsidRPr="00714DDE">
        <w:rPr>
          <w:sz w:val="22"/>
          <w:szCs w:val="22"/>
        </w:rPr>
        <w:t xml:space="preserve">Ausblick für 2017: </w:t>
      </w:r>
      <w:r w:rsidR="00E50A08" w:rsidRPr="00714DDE">
        <w:rPr>
          <w:sz w:val="22"/>
          <w:szCs w:val="22"/>
        </w:rPr>
        <w:t xml:space="preserve">Umsatz und </w:t>
      </w:r>
      <w:r w:rsidRPr="00714DDE">
        <w:rPr>
          <w:sz w:val="22"/>
          <w:szCs w:val="22"/>
        </w:rPr>
        <w:t>Ergebnis</w:t>
      </w:r>
      <w:r w:rsidR="00E50A08" w:rsidRPr="00714DDE">
        <w:rPr>
          <w:sz w:val="22"/>
          <w:szCs w:val="22"/>
        </w:rPr>
        <w:t xml:space="preserve"> steigen</w:t>
      </w:r>
      <w:r w:rsidRPr="00714DDE">
        <w:rPr>
          <w:sz w:val="22"/>
          <w:szCs w:val="22"/>
        </w:rPr>
        <w:t xml:space="preserve">, bereinigtes EBITDA zwischen </w:t>
      </w:r>
      <w:r w:rsidR="006A06CA" w:rsidRPr="00714DDE">
        <w:rPr>
          <w:sz w:val="22"/>
          <w:szCs w:val="22"/>
        </w:rPr>
        <w:t xml:space="preserve">2,2 </w:t>
      </w:r>
      <w:r w:rsidRPr="00714DDE">
        <w:rPr>
          <w:sz w:val="22"/>
          <w:szCs w:val="22"/>
        </w:rPr>
        <w:t xml:space="preserve">und 2,4 </w:t>
      </w:r>
      <w:r w:rsidR="0057579A" w:rsidRPr="00714DDE">
        <w:rPr>
          <w:sz w:val="22"/>
          <w:szCs w:val="22"/>
        </w:rPr>
        <w:t>Mrd. Euro</w:t>
      </w:r>
    </w:p>
    <w:p w14:paraId="7367DCD3" w14:textId="77777777" w:rsidR="00282910" w:rsidRPr="00420FBD" w:rsidRDefault="00282910" w:rsidP="008B4D0E">
      <w:pPr>
        <w:pStyle w:val="berschrift1"/>
        <w:numPr>
          <w:ilvl w:val="0"/>
          <w:numId w:val="0"/>
        </w:numPr>
      </w:pPr>
    </w:p>
    <w:p w14:paraId="078F8828" w14:textId="34A8AD2C" w:rsidR="008B4D0E" w:rsidRDefault="008B4D0E" w:rsidP="00300F48">
      <w:r>
        <w:rPr>
          <w:b/>
          <w:bCs/>
        </w:rPr>
        <w:t>Essen</w:t>
      </w:r>
      <w:r>
        <w:t xml:space="preserve">. Evonik hat im vergangenen Jahr </w:t>
      </w:r>
      <w:r w:rsidR="00DD3AFB">
        <w:t xml:space="preserve">seine </w:t>
      </w:r>
      <w:r>
        <w:t xml:space="preserve">Ergebnisprognose voll erreicht. Mit einem bereinigten EBITDA von 2,165 </w:t>
      </w:r>
      <w:r w:rsidR="0057579A">
        <w:t>Mrd. Euro</w:t>
      </w:r>
      <w:r>
        <w:t xml:space="preserve"> lag das Ergebnis am oberen Rand der Bandbreite von 2,0 bis 2,2 </w:t>
      </w:r>
      <w:r w:rsidR="0057579A">
        <w:t>Mrd. Euro</w:t>
      </w:r>
      <w:r>
        <w:t xml:space="preserve">. Die </w:t>
      </w:r>
      <w:r w:rsidR="000F5E2E">
        <w:t>Absatzmenge konnte</w:t>
      </w:r>
      <w:r>
        <w:t xml:space="preserve"> mit 3 Prozent ein solides Wachstum verzeichnen, wegen rückläufiger Preise ging der Umsatz gleichwohl um sechs Prozent auf 12,7 </w:t>
      </w:r>
      <w:r w:rsidR="0057579A">
        <w:t>Mrd. Euro</w:t>
      </w:r>
      <w:r>
        <w:t xml:space="preserve"> zurück.</w:t>
      </w:r>
    </w:p>
    <w:p w14:paraId="2867082D" w14:textId="77777777" w:rsidR="008B4D0E" w:rsidRDefault="008B4D0E" w:rsidP="008B4D0E">
      <w:pPr>
        <w:rPr>
          <w:rFonts w:ascii="Calibri" w:hAnsi="Calibri"/>
          <w:szCs w:val="22"/>
        </w:rPr>
      </w:pPr>
    </w:p>
    <w:p w14:paraId="13B16F2E" w14:textId="77777777" w:rsidR="008B4D0E" w:rsidRDefault="008B4D0E" w:rsidP="008B4D0E">
      <w:r>
        <w:t>„Mit einer bereinigten EBITDA-Marge von 17 Prozent liegen wir weiter auf einem guten Niveau“, sag</w:t>
      </w:r>
      <w:r w:rsidR="00793129">
        <w:t>te Vorstandschef Klaus Engel. „D</w:t>
      </w:r>
      <w:r>
        <w:t>ie erfolgreiche Übernahme des Spezialadditiv</w:t>
      </w:r>
      <w:r w:rsidR="009C4061">
        <w:t>-G</w:t>
      </w:r>
      <w:r>
        <w:t>e</w:t>
      </w:r>
      <w:r w:rsidR="00793129">
        <w:t>schäfts von Air Products und der geplante</w:t>
      </w:r>
      <w:r>
        <w:t xml:space="preserve"> Erwerb des Silica-Geschäfts von Huber </w:t>
      </w:r>
      <w:r w:rsidR="00727192">
        <w:t>geben</w:t>
      </w:r>
      <w:r w:rsidR="00793129">
        <w:t xml:space="preserve"> unserem Wachstumskurs zusätzlichen </w:t>
      </w:r>
      <w:r>
        <w:t>Schub</w:t>
      </w:r>
      <w:r w:rsidR="006C295E">
        <w:t xml:space="preserve"> und eröffnen</w:t>
      </w:r>
      <w:r w:rsidR="00793129">
        <w:t xml:space="preserve"> unserem attraktiven Portfolio weitere Perspektiven</w:t>
      </w:r>
      <w:r>
        <w:t>.“</w:t>
      </w:r>
    </w:p>
    <w:p w14:paraId="19030078" w14:textId="77777777" w:rsidR="008B4D0E" w:rsidRDefault="008B4D0E" w:rsidP="008B4D0E"/>
    <w:p w14:paraId="2335BD62" w14:textId="77777777" w:rsidR="00DA5C12" w:rsidRDefault="008B4D0E" w:rsidP="008B4D0E">
      <w:r>
        <w:t xml:space="preserve">Vorstand und Aufsichtsrat werden der </w:t>
      </w:r>
      <w:r w:rsidR="00EB0D7A">
        <w:t xml:space="preserve">Hauptversammlung am </w:t>
      </w:r>
    </w:p>
    <w:p w14:paraId="6FCD8D50" w14:textId="588895EF" w:rsidR="00E50A08" w:rsidRDefault="00EB0D7A" w:rsidP="008B4D0E">
      <w:r>
        <w:t xml:space="preserve">23. Mai </w:t>
      </w:r>
      <w:r w:rsidR="00793129">
        <w:t xml:space="preserve">eine </w:t>
      </w:r>
      <w:r w:rsidR="008B4D0E">
        <w:t xml:space="preserve">Dividende </w:t>
      </w:r>
      <w:r w:rsidR="00793129">
        <w:t xml:space="preserve">von </w:t>
      </w:r>
      <w:r w:rsidR="008B4D0E">
        <w:t xml:space="preserve">1,15 </w:t>
      </w:r>
      <w:r w:rsidR="00AB0E5B">
        <w:t>Euro</w:t>
      </w:r>
      <w:r w:rsidR="008B4D0E">
        <w:t xml:space="preserve"> je Aktie</w:t>
      </w:r>
      <w:r w:rsidR="00793129">
        <w:t xml:space="preserve"> vorschlagen</w:t>
      </w:r>
      <w:r w:rsidR="008A1840">
        <w:t>. Gemessen am Schluss</w:t>
      </w:r>
      <w:r w:rsidR="008B4D0E">
        <w:t>kurs zum Jahresende 2016 entspricht das e</w:t>
      </w:r>
      <w:r w:rsidR="00DA5C12">
        <w:t>iner Dividendenrendite von 4,1 Prozent</w:t>
      </w:r>
      <w:r w:rsidR="008B4D0E">
        <w:t>, womit Evonik in der Spitzengruppe der Chemie-Unternehmen liegt.</w:t>
      </w:r>
      <w:r w:rsidR="00E50A08">
        <w:t xml:space="preserve"> </w:t>
      </w:r>
      <w:r w:rsidR="008B4D0E">
        <w:t xml:space="preserve">„Der hohe </w:t>
      </w:r>
      <w:r w:rsidR="00430B91">
        <w:t xml:space="preserve">Free </w:t>
      </w:r>
      <w:r w:rsidR="008B4D0E">
        <w:t xml:space="preserve">Cashflow von 810 </w:t>
      </w:r>
      <w:r w:rsidR="00EF6FE8">
        <w:t>Mio.</w:t>
      </w:r>
      <w:r w:rsidR="008B4D0E">
        <w:t xml:space="preserve"> </w:t>
      </w:r>
      <w:r w:rsidR="00AB0E5B">
        <w:t>Euro</w:t>
      </w:r>
      <w:r w:rsidR="008B4D0E">
        <w:t xml:space="preserve"> ermöglicht dieses Niveau, ohne </w:t>
      </w:r>
      <w:r w:rsidR="008B4D0E">
        <w:lastRenderedPageBreak/>
        <w:t>unsere ehrgeizigen Wachstumsziele zu beeinträchtigen“, sagte Engel.</w:t>
      </w:r>
    </w:p>
    <w:p w14:paraId="4B5A5363" w14:textId="77777777" w:rsidR="00E50A08" w:rsidRDefault="00E50A08" w:rsidP="008B4D0E"/>
    <w:p w14:paraId="05D929E0" w14:textId="661B961A" w:rsidR="008B4D0E" w:rsidRDefault="008B4D0E" w:rsidP="008B4D0E">
      <w:pPr>
        <w:rPr>
          <w:color w:val="000000"/>
        </w:rPr>
      </w:pPr>
      <w:r>
        <w:t>Nach dem außergewöhnlich starken Vorjahr hat sich die Ertragslage 2016 normalisiert. Evonik konnte die</w:t>
      </w:r>
      <w:r w:rsidR="00DD3AFB">
        <w:t xml:space="preserve"> Effekte aus der</w:t>
      </w:r>
      <w:r>
        <w:t xml:space="preserve"> geringe</w:t>
      </w:r>
      <w:r w:rsidR="00DD3AFB">
        <w:t>ren</w:t>
      </w:r>
      <w:r>
        <w:t xml:space="preserve"> weltwirtschaftliche</w:t>
      </w:r>
      <w:r w:rsidR="00DD3AFB">
        <w:t>n</w:t>
      </w:r>
      <w:r>
        <w:t xml:space="preserve"> Dynamik und </w:t>
      </w:r>
      <w:r w:rsidR="00DD3AFB">
        <w:t xml:space="preserve">der </w:t>
      </w:r>
      <w:r>
        <w:t>Preisnormalisierung bei Produkten für Tierernährung nur zum Teil kompensieren. So lag das bereinigte EBITDA 12 Prozent unter dem herausragenden Vorjahreswert. Auch das bereini</w:t>
      </w:r>
      <w:r w:rsidR="00430B91">
        <w:t>gte Konzernergebnis fiel mit 930</w:t>
      </w:r>
      <w:r>
        <w:t xml:space="preserve"> </w:t>
      </w:r>
      <w:r w:rsidR="00EF6FE8">
        <w:rPr>
          <w:color w:val="000000"/>
        </w:rPr>
        <w:t>Mio.</w:t>
      </w:r>
      <w:r>
        <w:rPr>
          <w:color w:val="000000"/>
        </w:rPr>
        <w:t xml:space="preserve"> </w:t>
      </w:r>
      <w:r w:rsidR="00AB0E5B">
        <w:t>Euro</w:t>
      </w:r>
      <w:r>
        <w:rPr>
          <w:color w:val="000000"/>
        </w:rPr>
        <w:t xml:space="preserve"> niedriger aus als im Vorjahr.</w:t>
      </w:r>
    </w:p>
    <w:p w14:paraId="77282BCC" w14:textId="77777777" w:rsidR="008B4D0E" w:rsidRDefault="008B4D0E" w:rsidP="008B4D0E">
      <w:pPr>
        <w:rPr>
          <w:color w:val="000000"/>
        </w:rPr>
      </w:pPr>
    </w:p>
    <w:p w14:paraId="5B251E81" w14:textId="77777777" w:rsidR="008B4D0E" w:rsidRDefault="008B4D0E" w:rsidP="008B4D0E">
      <w:pPr>
        <w:rPr>
          <w:color w:val="000000"/>
        </w:rPr>
      </w:pPr>
      <w:r>
        <w:rPr>
          <w:color w:val="000000"/>
        </w:rPr>
        <w:t>Die Finanzlage von Evonik bleibt</w:t>
      </w:r>
      <w:r w:rsidR="006A06CA">
        <w:rPr>
          <w:color w:val="000000"/>
        </w:rPr>
        <w:t xml:space="preserve"> </w:t>
      </w:r>
      <w:r w:rsidR="00793129">
        <w:rPr>
          <w:color w:val="000000"/>
        </w:rPr>
        <w:t xml:space="preserve">weiterhin sehr </w:t>
      </w:r>
      <w:r w:rsidR="006A06CA">
        <w:rPr>
          <w:color w:val="000000"/>
        </w:rPr>
        <w:t>solide</w:t>
      </w:r>
      <w:r>
        <w:rPr>
          <w:color w:val="000000"/>
        </w:rPr>
        <w:t xml:space="preserve">. „Auch nach dem Zukauf </w:t>
      </w:r>
      <w:r>
        <w:t>des Spezialadditiv</w:t>
      </w:r>
      <w:r w:rsidR="009C4061">
        <w:t>-G</w:t>
      </w:r>
      <w:r>
        <w:t xml:space="preserve">eschäfts von Air Products </w:t>
      </w:r>
      <w:r>
        <w:rPr>
          <w:color w:val="000000"/>
        </w:rPr>
        <w:t>haben wir eine gesunde Bilanzstruktur“, sagte Finanzvorstand Ute Wolf. Das zeigten auch die Ratings im soliden Investmentgrade-Bereich. „Kapitaleffizienz und Cashflow werden auch weiterhin eine zentrale Rolle in der Steuerung des Konzerns spielen“, sagte Wolf.</w:t>
      </w:r>
    </w:p>
    <w:p w14:paraId="3A101C32" w14:textId="77777777" w:rsidR="008B4D0E" w:rsidRDefault="008B4D0E" w:rsidP="008B4D0E">
      <w:pPr>
        <w:rPr>
          <w:color w:val="000000"/>
        </w:rPr>
      </w:pPr>
      <w:r>
        <w:rPr>
          <w:color w:val="000000"/>
        </w:rPr>
        <w:t>Die Kapitalrendite (ROCE) lag im Jahr 2016 mit 14 Prozent erneut deutlich über den Kapitalkosten.</w:t>
      </w:r>
    </w:p>
    <w:p w14:paraId="17168222" w14:textId="77777777" w:rsidR="008B4D0E" w:rsidRDefault="008B4D0E" w:rsidP="008B4D0E">
      <w:pPr>
        <w:rPr>
          <w:color w:val="000000"/>
        </w:rPr>
      </w:pPr>
    </w:p>
    <w:p w14:paraId="558B0F44" w14:textId="77777777" w:rsidR="00430B91" w:rsidRDefault="008B4D0E" w:rsidP="008B4D0E">
      <w:r>
        <w:t>Für das laufende</w:t>
      </w:r>
      <w:r w:rsidR="00430B91">
        <w:t xml:space="preserve"> Jahr erwartet Evonik in seinen </w:t>
      </w:r>
      <w:r>
        <w:t xml:space="preserve">Wachstumssegmenten </w:t>
      </w:r>
      <w:r w:rsidR="00430B91">
        <w:t>Nutrition &amp; Care sowie Re</w:t>
      </w:r>
      <w:r>
        <w:t xml:space="preserve">source Efficiency positive </w:t>
      </w:r>
      <w:r w:rsidR="00430B91">
        <w:t>Ergebnisbeiträge</w:t>
      </w:r>
      <w:r>
        <w:t xml:space="preserve"> durch die erfolgreiche </w:t>
      </w:r>
      <w:r w:rsidR="00C46C6A">
        <w:t>Integration des Spezialadditiv</w:t>
      </w:r>
      <w:r w:rsidR="009C4061">
        <w:t>-G</w:t>
      </w:r>
      <w:r>
        <w:t>eschäfts von Air Products. Zudem werden die starken Marktpositionen, das ausgewogene Portfolio und die Konzentration</w:t>
      </w:r>
      <w:r w:rsidR="00430B91">
        <w:t xml:space="preserve"> auf wachstumsstarke Geschäfte </w:t>
      </w:r>
      <w:r>
        <w:t xml:space="preserve">weiterhin zum Erfolg beitragen. </w:t>
      </w:r>
    </w:p>
    <w:p w14:paraId="52D59764" w14:textId="77777777" w:rsidR="00430B91" w:rsidRDefault="00430B91" w:rsidP="008B4D0E"/>
    <w:p w14:paraId="671DC28C" w14:textId="0AECE1D8" w:rsidR="008B4D0E" w:rsidRDefault="008B4D0E" w:rsidP="008B4D0E">
      <w:r>
        <w:t xml:space="preserve">Trotz zunehmender Unsicherheiten in der geopolitischen Lage und hoher Volatilität an den Märkten erwartet der Konzern eine Steigerung des </w:t>
      </w:r>
      <w:r w:rsidR="00E50A08">
        <w:t xml:space="preserve">Umsatzes und des </w:t>
      </w:r>
      <w:r>
        <w:t>operativen Ergebnisses im Jahr 2017 und rechnet mit einem bereinigten EBITDA zwisch</w:t>
      </w:r>
      <w:r w:rsidR="006A06CA">
        <w:t>en 2,2</w:t>
      </w:r>
      <w:r>
        <w:t xml:space="preserve"> und 2,4 </w:t>
      </w:r>
      <w:r w:rsidR="0057579A">
        <w:t>Mrd. Euro</w:t>
      </w:r>
      <w:r>
        <w:t>.</w:t>
      </w:r>
    </w:p>
    <w:p w14:paraId="7BBD7249" w14:textId="77777777" w:rsidR="00B35464" w:rsidRDefault="00B35464" w:rsidP="00430B91">
      <w:pPr>
        <w:spacing w:line="240" w:lineRule="auto"/>
      </w:pPr>
    </w:p>
    <w:p w14:paraId="2DD65D45" w14:textId="77777777" w:rsidR="00584651" w:rsidRDefault="00430B91" w:rsidP="00282910">
      <w:pPr>
        <w:rPr>
          <w:b/>
          <w:sz w:val="20"/>
        </w:rPr>
      </w:pPr>
      <w:r>
        <w:rPr>
          <w:rFonts w:cs="Lucida Sans Unicode"/>
          <w:b/>
          <w:bCs/>
          <w:sz w:val="18"/>
          <w:szCs w:val="18"/>
        </w:rPr>
        <w:br w:type="page"/>
      </w:r>
      <w:r w:rsidR="00584651">
        <w:rPr>
          <w:b/>
          <w:sz w:val="20"/>
        </w:rPr>
        <w:lastRenderedPageBreak/>
        <w:t>Evonik-Konzern: Ergebnisrechnung im Überblick</w:t>
      </w:r>
    </w:p>
    <w:p w14:paraId="13C4F88F" w14:textId="77777777" w:rsidR="00282910" w:rsidRPr="00B84029" w:rsidRDefault="00282910" w:rsidP="00282910">
      <w:pPr>
        <w:spacing w:line="80" w:lineRule="exact"/>
        <w:rPr>
          <w:rFonts w:cs="Lucida Sans Unicode"/>
          <w:b/>
          <w:bCs/>
          <w:sz w:val="18"/>
          <w:szCs w:val="18"/>
        </w:rPr>
      </w:pPr>
    </w:p>
    <w:tbl>
      <w:tblPr>
        <w:tblW w:w="1005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21"/>
        <w:gridCol w:w="1021"/>
        <w:gridCol w:w="1021"/>
        <w:gridCol w:w="1032"/>
        <w:gridCol w:w="1021"/>
        <w:gridCol w:w="1021"/>
        <w:gridCol w:w="1021"/>
      </w:tblGrid>
      <w:tr w:rsidR="00584651" w14:paraId="7BA6BAC5" w14:textId="77777777" w:rsidTr="003374E5">
        <w:trPr>
          <w:trHeight w:val="529"/>
        </w:trPr>
        <w:tc>
          <w:tcPr>
            <w:tcW w:w="3768" w:type="dxa"/>
            <w:tcBorders>
              <w:top w:val="single" w:sz="4" w:space="0" w:color="auto"/>
              <w:left w:val="single" w:sz="4" w:space="0" w:color="auto"/>
              <w:bottom w:val="single" w:sz="4" w:space="0" w:color="auto"/>
              <w:right w:val="single" w:sz="4" w:space="0" w:color="auto"/>
            </w:tcBorders>
            <w:noWrap/>
            <w:vAlign w:val="center"/>
            <w:hideMark/>
          </w:tcPr>
          <w:p w14:paraId="06804D49" w14:textId="77777777" w:rsidR="00282910" w:rsidRDefault="00282910">
            <w:pPr>
              <w:ind w:left="-55"/>
              <w:rPr>
                <w:b/>
                <w:sz w:val="18"/>
                <w:szCs w:val="18"/>
                <w:lang w:val="en-US"/>
              </w:rPr>
            </w:pPr>
          </w:p>
          <w:p w14:paraId="03219A01" w14:textId="77777777" w:rsidR="00584651" w:rsidRDefault="00584651">
            <w:pPr>
              <w:ind w:left="-55"/>
              <w:rPr>
                <w:rFonts w:cs="Lucida Sans Unicode"/>
                <w:b/>
                <w:bCs/>
                <w:sz w:val="18"/>
                <w:szCs w:val="18"/>
                <w:lang w:val="en-US"/>
              </w:rPr>
            </w:pPr>
            <w:r>
              <w:rPr>
                <w:b/>
                <w:sz w:val="18"/>
                <w:szCs w:val="18"/>
                <w:lang w:val="en-US"/>
              </w:rPr>
              <w:t>(in Mio. €)</w:t>
            </w:r>
          </w:p>
        </w:tc>
        <w:tc>
          <w:tcPr>
            <w:tcW w:w="981"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B1DB97B" w14:textId="77777777" w:rsidR="00584651" w:rsidRDefault="00584651">
            <w:pPr>
              <w:jc w:val="center"/>
              <w:rPr>
                <w:rFonts w:cs="Lucida Sans Unicode"/>
                <w:b/>
                <w:bCs/>
                <w:sz w:val="18"/>
                <w:szCs w:val="18"/>
                <w:lang w:val="en-US"/>
              </w:rPr>
            </w:pPr>
            <w:r>
              <w:rPr>
                <w:b/>
                <w:sz w:val="18"/>
                <w:szCs w:val="18"/>
                <w:lang w:val="en-US"/>
              </w:rPr>
              <w:t>Q4 2016</w:t>
            </w:r>
          </w:p>
        </w:tc>
        <w:tc>
          <w:tcPr>
            <w:tcW w:w="981" w:type="dxa"/>
            <w:tcBorders>
              <w:top w:val="single" w:sz="4" w:space="0" w:color="auto"/>
              <w:left w:val="single" w:sz="4" w:space="0" w:color="auto"/>
              <w:bottom w:val="single" w:sz="4" w:space="0" w:color="auto"/>
              <w:right w:val="single" w:sz="4" w:space="0" w:color="auto"/>
            </w:tcBorders>
            <w:vAlign w:val="center"/>
            <w:hideMark/>
          </w:tcPr>
          <w:p w14:paraId="7E618876" w14:textId="77777777" w:rsidR="00584651" w:rsidRDefault="00584651">
            <w:pPr>
              <w:jc w:val="center"/>
              <w:rPr>
                <w:rFonts w:cs="Lucida Sans Unicode"/>
                <w:b/>
                <w:bCs/>
                <w:sz w:val="18"/>
                <w:szCs w:val="18"/>
                <w:lang w:val="en-US"/>
              </w:rPr>
            </w:pPr>
            <w:r>
              <w:rPr>
                <w:b/>
                <w:sz w:val="18"/>
                <w:szCs w:val="18"/>
                <w:lang w:val="en-US"/>
              </w:rPr>
              <w:t>Q4 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BD1378" w14:textId="77777777" w:rsidR="00584651" w:rsidRDefault="00584651">
            <w:pPr>
              <w:jc w:val="center"/>
              <w:rPr>
                <w:rFonts w:cs="Lucida Sans Unicode"/>
                <w:b/>
                <w:bCs/>
                <w:spacing w:val="-6"/>
                <w:sz w:val="18"/>
                <w:szCs w:val="18"/>
                <w:lang w:val="en-US"/>
              </w:rPr>
            </w:pPr>
            <w:r>
              <w:rPr>
                <w:b/>
                <w:spacing w:val="-6"/>
                <w:sz w:val="18"/>
                <w:szCs w:val="18"/>
                <w:lang w:val="en-US"/>
              </w:rPr>
              <w:t xml:space="preserve">Veränd. </w:t>
            </w:r>
            <w:r>
              <w:rPr>
                <w:rFonts w:cs="Lucida Sans Unicode"/>
                <w:b/>
                <w:bCs/>
                <w:spacing w:val="-6"/>
                <w:sz w:val="18"/>
                <w:szCs w:val="18"/>
                <w:lang w:val="en-US"/>
              </w:rPr>
              <w:br/>
            </w:r>
            <w:r>
              <w:rPr>
                <w:b/>
                <w:spacing w:val="-6"/>
                <w:sz w:val="18"/>
                <w:szCs w:val="18"/>
                <w:lang w:val="en-US"/>
              </w:rPr>
              <w:t>in %</w:t>
            </w:r>
          </w:p>
        </w:tc>
        <w:tc>
          <w:tcPr>
            <w:tcW w:w="981"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6A0E57F" w14:textId="77777777" w:rsidR="00584651" w:rsidRDefault="00584651">
            <w:pPr>
              <w:jc w:val="center"/>
              <w:rPr>
                <w:rFonts w:cs="Lucida Sans Unicode"/>
                <w:b/>
                <w:bCs/>
                <w:sz w:val="18"/>
                <w:szCs w:val="18"/>
                <w:lang w:val="en-US"/>
              </w:rPr>
            </w:pPr>
            <w:r>
              <w:rPr>
                <w:b/>
                <w:sz w:val="18"/>
                <w:szCs w:val="18"/>
                <w:lang w:val="en-US"/>
              </w:rPr>
              <w:t>2016</w:t>
            </w:r>
          </w:p>
        </w:tc>
        <w:tc>
          <w:tcPr>
            <w:tcW w:w="981" w:type="dxa"/>
            <w:tcBorders>
              <w:top w:val="single" w:sz="4" w:space="0" w:color="auto"/>
              <w:left w:val="single" w:sz="4" w:space="0" w:color="auto"/>
              <w:bottom w:val="single" w:sz="4" w:space="0" w:color="auto"/>
              <w:right w:val="single" w:sz="4" w:space="0" w:color="auto"/>
            </w:tcBorders>
            <w:vAlign w:val="center"/>
            <w:hideMark/>
          </w:tcPr>
          <w:p w14:paraId="5590F933" w14:textId="77777777" w:rsidR="00584651" w:rsidRDefault="00584651">
            <w:pPr>
              <w:jc w:val="center"/>
              <w:rPr>
                <w:rFonts w:cs="Lucida Sans Unicode"/>
                <w:b/>
                <w:bCs/>
                <w:sz w:val="18"/>
                <w:szCs w:val="18"/>
                <w:lang w:val="en-US"/>
              </w:rPr>
            </w:pPr>
            <w:r>
              <w:rPr>
                <w:b/>
                <w:sz w:val="18"/>
                <w:szCs w:val="18"/>
                <w:lang w:val="en-US"/>
              </w:rPr>
              <w:t>2015</w:t>
            </w:r>
          </w:p>
        </w:tc>
        <w:tc>
          <w:tcPr>
            <w:tcW w:w="981" w:type="dxa"/>
            <w:tcBorders>
              <w:top w:val="single" w:sz="4" w:space="0" w:color="auto"/>
              <w:left w:val="single" w:sz="4" w:space="0" w:color="auto"/>
              <w:bottom w:val="single" w:sz="4" w:space="0" w:color="auto"/>
              <w:right w:val="single" w:sz="4" w:space="0" w:color="auto"/>
            </w:tcBorders>
            <w:vAlign w:val="center"/>
            <w:hideMark/>
          </w:tcPr>
          <w:p w14:paraId="35B4FEFB" w14:textId="77777777" w:rsidR="00584651" w:rsidRDefault="00584651">
            <w:pPr>
              <w:jc w:val="center"/>
              <w:rPr>
                <w:rFonts w:cs="Lucida Sans Unicode"/>
                <w:b/>
                <w:bCs/>
                <w:spacing w:val="-6"/>
                <w:sz w:val="18"/>
                <w:szCs w:val="18"/>
                <w:lang w:val="en-US"/>
              </w:rPr>
            </w:pPr>
            <w:r>
              <w:rPr>
                <w:b/>
                <w:spacing w:val="-6"/>
                <w:sz w:val="18"/>
                <w:szCs w:val="18"/>
                <w:lang w:val="en-US"/>
              </w:rPr>
              <w:t xml:space="preserve">Veränd. </w:t>
            </w:r>
            <w:r>
              <w:rPr>
                <w:rFonts w:cs="Lucida Sans Unicode"/>
                <w:b/>
                <w:bCs/>
                <w:spacing w:val="-6"/>
                <w:sz w:val="18"/>
                <w:szCs w:val="18"/>
                <w:lang w:val="en-US"/>
              </w:rPr>
              <w:br/>
            </w:r>
            <w:r>
              <w:rPr>
                <w:b/>
                <w:spacing w:val="-6"/>
                <w:sz w:val="18"/>
                <w:szCs w:val="18"/>
                <w:lang w:val="en-US"/>
              </w:rPr>
              <w:t>in %</w:t>
            </w:r>
          </w:p>
        </w:tc>
      </w:tr>
      <w:tr w:rsidR="00584651" w14:paraId="7797C743" w14:textId="77777777" w:rsidTr="003374E5">
        <w:trPr>
          <w:trHeight w:val="310"/>
        </w:trPr>
        <w:tc>
          <w:tcPr>
            <w:tcW w:w="3768" w:type="dxa"/>
            <w:tcBorders>
              <w:top w:val="single" w:sz="4" w:space="0" w:color="auto"/>
              <w:left w:val="single" w:sz="4" w:space="0" w:color="auto"/>
              <w:bottom w:val="single" w:sz="4" w:space="0" w:color="auto"/>
              <w:right w:val="single" w:sz="4" w:space="0" w:color="auto"/>
            </w:tcBorders>
            <w:noWrap/>
            <w:vAlign w:val="bottom"/>
            <w:hideMark/>
          </w:tcPr>
          <w:p w14:paraId="465824BB" w14:textId="77777777" w:rsidR="00584651" w:rsidRDefault="00584651">
            <w:pPr>
              <w:ind w:left="-55"/>
              <w:rPr>
                <w:rFonts w:cs="Lucida Sans Unicode"/>
                <w:sz w:val="18"/>
                <w:szCs w:val="18"/>
                <w:lang w:val="en-US"/>
              </w:rPr>
            </w:pPr>
            <w:r>
              <w:rPr>
                <w:sz w:val="18"/>
                <w:szCs w:val="18"/>
                <w:lang w:val="en-US"/>
              </w:rPr>
              <w:t>Umsatz</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3E85FBDE" w14:textId="77777777" w:rsidR="00584651" w:rsidRDefault="00584651">
            <w:pPr>
              <w:jc w:val="right"/>
              <w:rPr>
                <w:rFonts w:cs="Lucida Sans Unicode"/>
                <w:sz w:val="18"/>
                <w:szCs w:val="18"/>
                <w:lang w:val="en-US"/>
              </w:rPr>
            </w:pPr>
            <w:r>
              <w:rPr>
                <w:rFonts w:cs="Lucida Sans Unicode"/>
                <w:sz w:val="18"/>
                <w:szCs w:val="18"/>
                <w:lang w:val="en-US"/>
              </w:rPr>
              <w:t>3.205</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351C36A3" w14:textId="77777777" w:rsidR="00584651" w:rsidRDefault="00584651">
            <w:pPr>
              <w:jc w:val="right"/>
              <w:rPr>
                <w:rFonts w:cs="Lucida Sans Unicode"/>
                <w:sz w:val="18"/>
                <w:szCs w:val="18"/>
                <w:lang w:val="en-US"/>
              </w:rPr>
            </w:pPr>
            <w:r>
              <w:rPr>
                <w:rFonts w:cs="Lucida Sans Unicode"/>
                <w:sz w:val="18"/>
                <w:szCs w:val="18"/>
                <w:lang w:val="en-US"/>
              </w:rPr>
              <w:t>3.198</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668CD87" w14:textId="77777777" w:rsidR="00584651" w:rsidRDefault="00584651">
            <w:pPr>
              <w:jc w:val="right"/>
              <w:rPr>
                <w:rFonts w:cs="Lucida Sans Unicode"/>
                <w:sz w:val="18"/>
                <w:szCs w:val="18"/>
                <w:lang w:val="en-US"/>
              </w:rPr>
            </w:pPr>
            <w:r>
              <w:rPr>
                <w:rFonts w:cs="Lucida Sans Unicode"/>
                <w:sz w:val="18"/>
                <w:szCs w:val="18"/>
                <w:lang w:val="en-US"/>
              </w:rPr>
              <w:t>0</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4DA1845E" w14:textId="77777777" w:rsidR="00584651" w:rsidRDefault="00584651">
            <w:pPr>
              <w:jc w:val="right"/>
              <w:rPr>
                <w:rFonts w:cs="Lucida Sans Unicode"/>
                <w:sz w:val="18"/>
                <w:szCs w:val="18"/>
                <w:lang w:val="en-US"/>
              </w:rPr>
            </w:pPr>
            <w:r>
              <w:rPr>
                <w:rFonts w:cs="Lucida Sans Unicode"/>
                <w:sz w:val="18"/>
                <w:szCs w:val="18"/>
                <w:lang w:val="en-US"/>
              </w:rPr>
              <w:t>12.732</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485FD933" w14:textId="77777777" w:rsidR="00584651" w:rsidRDefault="00584651">
            <w:pPr>
              <w:jc w:val="right"/>
              <w:rPr>
                <w:rFonts w:cs="Lucida Sans Unicode"/>
                <w:sz w:val="18"/>
                <w:szCs w:val="18"/>
                <w:lang w:val="en-US"/>
              </w:rPr>
            </w:pPr>
            <w:r>
              <w:rPr>
                <w:rFonts w:cs="Lucida Sans Unicode"/>
                <w:sz w:val="18"/>
                <w:szCs w:val="18"/>
                <w:lang w:val="en-US"/>
              </w:rPr>
              <w:t>13.507</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201C4535" w14:textId="77777777" w:rsidR="00584651" w:rsidRDefault="00584651">
            <w:pPr>
              <w:jc w:val="right"/>
              <w:rPr>
                <w:rFonts w:cs="Lucida Sans Unicode"/>
                <w:sz w:val="18"/>
                <w:szCs w:val="18"/>
                <w:lang w:val="en-US"/>
              </w:rPr>
            </w:pPr>
            <w:r>
              <w:rPr>
                <w:rFonts w:cs="Lucida Sans Unicode"/>
                <w:sz w:val="18"/>
                <w:szCs w:val="18"/>
                <w:lang w:val="en-US"/>
              </w:rPr>
              <w:t>-6</w:t>
            </w:r>
          </w:p>
        </w:tc>
      </w:tr>
      <w:tr w:rsidR="00584651" w14:paraId="3DB6E3B9" w14:textId="77777777" w:rsidTr="003374E5">
        <w:trPr>
          <w:trHeight w:val="310"/>
        </w:trPr>
        <w:tc>
          <w:tcPr>
            <w:tcW w:w="3768" w:type="dxa"/>
            <w:tcBorders>
              <w:top w:val="single" w:sz="4" w:space="0" w:color="auto"/>
              <w:left w:val="single" w:sz="4" w:space="0" w:color="auto"/>
              <w:bottom w:val="single" w:sz="4" w:space="0" w:color="auto"/>
              <w:right w:val="single" w:sz="4" w:space="0" w:color="auto"/>
            </w:tcBorders>
            <w:noWrap/>
            <w:vAlign w:val="bottom"/>
            <w:hideMark/>
          </w:tcPr>
          <w:p w14:paraId="14C43A59" w14:textId="77777777" w:rsidR="00584651" w:rsidRDefault="00584651">
            <w:pPr>
              <w:ind w:left="-55"/>
              <w:rPr>
                <w:rFonts w:cs="Lucida Sans Unicode"/>
                <w:sz w:val="18"/>
                <w:szCs w:val="18"/>
                <w:lang w:val="en-US"/>
              </w:rPr>
            </w:pPr>
            <w:r>
              <w:rPr>
                <w:sz w:val="18"/>
                <w:szCs w:val="18"/>
                <w:lang w:val="en-US"/>
              </w:rPr>
              <w:t>Bereinigtes EBITDA</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46FF161D" w14:textId="77777777" w:rsidR="00584651" w:rsidRDefault="00584651">
            <w:pPr>
              <w:jc w:val="right"/>
              <w:rPr>
                <w:rFonts w:cs="Lucida Sans Unicode"/>
                <w:sz w:val="18"/>
                <w:szCs w:val="18"/>
                <w:lang w:val="en-US"/>
              </w:rPr>
            </w:pPr>
            <w:r>
              <w:rPr>
                <w:rFonts w:cs="Lucida Sans Unicode"/>
                <w:sz w:val="18"/>
                <w:szCs w:val="18"/>
                <w:lang w:val="en-US"/>
              </w:rPr>
              <w:t>437</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43002FB3" w14:textId="77777777" w:rsidR="00584651" w:rsidRDefault="00584651">
            <w:pPr>
              <w:jc w:val="right"/>
              <w:rPr>
                <w:rFonts w:cs="Lucida Sans Unicode"/>
                <w:sz w:val="18"/>
                <w:szCs w:val="18"/>
                <w:lang w:val="en-US"/>
              </w:rPr>
            </w:pPr>
            <w:r>
              <w:rPr>
                <w:rFonts w:cs="Lucida Sans Unicode"/>
                <w:sz w:val="18"/>
                <w:szCs w:val="18"/>
                <w:lang w:val="en-US"/>
              </w:rPr>
              <w:t>501</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932C5B5" w14:textId="77777777" w:rsidR="00584651" w:rsidRDefault="00584651">
            <w:pPr>
              <w:jc w:val="right"/>
              <w:rPr>
                <w:rFonts w:cs="Lucida Sans Unicode"/>
                <w:sz w:val="18"/>
                <w:szCs w:val="18"/>
                <w:lang w:val="en-US"/>
              </w:rPr>
            </w:pPr>
            <w:r>
              <w:rPr>
                <w:rFonts w:cs="Lucida Sans Unicode"/>
                <w:sz w:val="18"/>
                <w:szCs w:val="18"/>
                <w:lang w:val="en-US"/>
              </w:rPr>
              <w:t>-13</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2BD7AF3C" w14:textId="77777777" w:rsidR="00584651" w:rsidRDefault="00584651">
            <w:pPr>
              <w:jc w:val="right"/>
              <w:rPr>
                <w:rFonts w:cs="Lucida Sans Unicode"/>
                <w:sz w:val="18"/>
                <w:szCs w:val="18"/>
                <w:lang w:val="en-US"/>
              </w:rPr>
            </w:pPr>
            <w:r>
              <w:rPr>
                <w:rFonts w:cs="Lucida Sans Unicode"/>
                <w:sz w:val="18"/>
                <w:szCs w:val="18"/>
                <w:lang w:val="en-US"/>
              </w:rPr>
              <w:t>2.165</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0C6A5BA7" w14:textId="77777777" w:rsidR="00584651" w:rsidRDefault="00584651">
            <w:pPr>
              <w:jc w:val="right"/>
              <w:rPr>
                <w:rFonts w:cs="Lucida Sans Unicode"/>
                <w:sz w:val="18"/>
                <w:szCs w:val="18"/>
                <w:lang w:val="en-US"/>
              </w:rPr>
            </w:pPr>
            <w:r>
              <w:rPr>
                <w:rFonts w:cs="Lucida Sans Unicode"/>
                <w:sz w:val="18"/>
                <w:szCs w:val="18"/>
                <w:lang w:val="en-US"/>
              </w:rPr>
              <w:t>2.465</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674ADAC0" w14:textId="77777777" w:rsidR="00584651" w:rsidRDefault="00584651">
            <w:pPr>
              <w:jc w:val="right"/>
              <w:rPr>
                <w:rFonts w:cs="Lucida Sans Unicode"/>
                <w:sz w:val="18"/>
                <w:szCs w:val="18"/>
                <w:lang w:val="en-US"/>
              </w:rPr>
            </w:pPr>
            <w:r>
              <w:rPr>
                <w:rFonts w:cs="Lucida Sans Unicode"/>
                <w:sz w:val="18"/>
                <w:szCs w:val="18"/>
                <w:lang w:val="en-US"/>
              </w:rPr>
              <w:t>-12</w:t>
            </w:r>
          </w:p>
        </w:tc>
      </w:tr>
      <w:tr w:rsidR="00584651" w14:paraId="2D2F1756" w14:textId="77777777" w:rsidTr="003374E5">
        <w:trPr>
          <w:trHeight w:val="310"/>
        </w:trPr>
        <w:tc>
          <w:tcPr>
            <w:tcW w:w="3768" w:type="dxa"/>
            <w:tcBorders>
              <w:top w:val="single" w:sz="4" w:space="0" w:color="auto"/>
              <w:left w:val="single" w:sz="4" w:space="0" w:color="auto"/>
              <w:bottom w:val="single" w:sz="4" w:space="0" w:color="auto"/>
              <w:right w:val="single" w:sz="4" w:space="0" w:color="auto"/>
            </w:tcBorders>
            <w:noWrap/>
            <w:vAlign w:val="bottom"/>
            <w:hideMark/>
          </w:tcPr>
          <w:p w14:paraId="2C4B003B" w14:textId="77777777" w:rsidR="00584651" w:rsidRDefault="00584651">
            <w:pPr>
              <w:ind w:left="-55"/>
              <w:rPr>
                <w:rFonts w:cs="Lucida Sans Unicode"/>
                <w:sz w:val="18"/>
                <w:szCs w:val="18"/>
                <w:lang w:val="en-US"/>
              </w:rPr>
            </w:pPr>
            <w:r>
              <w:rPr>
                <w:sz w:val="18"/>
                <w:szCs w:val="18"/>
                <w:lang w:val="en-US"/>
              </w:rPr>
              <w:t>Bereinigtes EBIT</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5454B0F9" w14:textId="77777777" w:rsidR="00584651" w:rsidRDefault="00584651">
            <w:pPr>
              <w:jc w:val="right"/>
              <w:rPr>
                <w:rFonts w:cs="Lucida Sans Unicode"/>
                <w:sz w:val="18"/>
                <w:szCs w:val="18"/>
                <w:lang w:val="en-US"/>
              </w:rPr>
            </w:pPr>
            <w:r>
              <w:rPr>
                <w:rFonts w:cs="Lucida Sans Unicode"/>
                <w:sz w:val="18"/>
                <w:szCs w:val="18"/>
                <w:lang w:val="en-US"/>
              </w:rPr>
              <w:t>258</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50161C9E" w14:textId="77777777" w:rsidR="00584651" w:rsidRDefault="00584651">
            <w:pPr>
              <w:jc w:val="right"/>
              <w:rPr>
                <w:rFonts w:cs="Lucida Sans Unicode"/>
                <w:sz w:val="18"/>
                <w:szCs w:val="18"/>
                <w:lang w:val="en-US"/>
              </w:rPr>
            </w:pPr>
            <w:r>
              <w:rPr>
                <w:rFonts w:cs="Lucida Sans Unicode"/>
                <w:sz w:val="18"/>
                <w:szCs w:val="18"/>
                <w:lang w:val="en-US"/>
              </w:rPr>
              <w:t>308</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B54C345" w14:textId="77777777" w:rsidR="00584651" w:rsidRDefault="00584651">
            <w:pPr>
              <w:jc w:val="right"/>
              <w:rPr>
                <w:rFonts w:cs="Lucida Sans Unicode"/>
                <w:sz w:val="18"/>
                <w:szCs w:val="18"/>
                <w:lang w:val="en-US"/>
              </w:rPr>
            </w:pPr>
            <w:r>
              <w:rPr>
                <w:rFonts w:cs="Lucida Sans Unicode"/>
                <w:sz w:val="18"/>
                <w:szCs w:val="18"/>
                <w:lang w:val="en-US"/>
              </w:rPr>
              <w:t>-16</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7DD42127" w14:textId="77777777" w:rsidR="00584651" w:rsidRDefault="00584651">
            <w:pPr>
              <w:jc w:val="right"/>
              <w:rPr>
                <w:rFonts w:cs="Lucida Sans Unicode"/>
                <w:sz w:val="18"/>
                <w:szCs w:val="18"/>
                <w:lang w:val="en-US"/>
              </w:rPr>
            </w:pPr>
            <w:r>
              <w:rPr>
                <w:rFonts w:cs="Lucida Sans Unicode"/>
                <w:sz w:val="18"/>
                <w:szCs w:val="18"/>
                <w:lang w:val="en-US"/>
              </w:rPr>
              <w:t>1.448</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4E08D55F" w14:textId="77777777" w:rsidR="00584651" w:rsidRDefault="00584651">
            <w:pPr>
              <w:jc w:val="right"/>
              <w:rPr>
                <w:rFonts w:cs="Lucida Sans Unicode"/>
                <w:sz w:val="18"/>
                <w:szCs w:val="18"/>
                <w:lang w:val="en-US"/>
              </w:rPr>
            </w:pPr>
            <w:r>
              <w:rPr>
                <w:rFonts w:cs="Lucida Sans Unicode"/>
                <w:sz w:val="18"/>
                <w:szCs w:val="18"/>
                <w:lang w:val="en-US"/>
              </w:rPr>
              <w:t>1.752</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43EE6F42" w14:textId="77777777" w:rsidR="00584651" w:rsidRDefault="00584651">
            <w:pPr>
              <w:jc w:val="right"/>
              <w:rPr>
                <w:rFonts w:cs="Lucida Sans Unicode"/>
                <w:sz w:val="18"/>
                <w:szCs w:val="18"/>
                <w:lang w:val="en-US"/>
              </w:rPr>
            </w:pPr>
            <w:r>
              <w:rPr>
                <w:rFonts w:cs="Lucida Sans Unicode"/>
                <w:sz w:val="18"/>
                <w:szCs w:val="18"/>
                <w:lang w:val="en-US"/>
              </w:rPr>
              <w:t>-17</w:t>
            </w:r>
          </w:p>
        </w:tc>
      </w:tr>
      <w:tr w:rsidR="00584651" w14:paraId="70F20E8E" w14:textId="77777777" w:rsidTr="003374E5">
        <w:trPr>
          <w:trHeight w:val="310"/>
        </w:trPr>
        <w:tc>
          <w:tcPr>
            <w:tcW w:w="3768" w:type="dxa"/>
            <w:tcBorders>
              <w:top w:val="single" w:sz="4" w:space="0" w:color="auto"/>
              <w:left w:val="single" w:sz="4" w:space="0" w:color="auto"/>
              <w:bottom w:val="single" w:sz="4" w:space="0" w:color="auto"/>
              <w:right w:val="single" w:sz="4" w:space="0" w:color="auto"/>
            </w:tcBorders>
            <w:noWrap/>
            <w:vAlign w:val="bottom"/>
            <w:hideMark/>
          </w:tcPr>
          <w:p w14:paraId="029F085A" w14:textId="77777777" w:rsidR="00584651" w:rsidRDefault="00584651">
            <w:pPr>
              <w:ind w:left="-55"/>
              <w:rPr>
                <w:rFonts w:cs="Lucida Sans Unicode"/>
                <w:sz w:val="18"/>
                <w:szCs w:val="18"/>
                <w:lang w:val="en-US"/>
              </w:rPr>
            </w:pPr>
            <w:r>
              <w:rPr>
                <w:sz w:val="18"/>
                <w:szCs w:val="18"/>
                <w:lang w:val="en-US"/>
              </w:rPr>
              <w:t>Bereinigungen</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2A100A76" w14:textId="77777777" w:rsidR="00584651" w:rsidRDefault="00584651">
            <w:pPr>
              <w:jc w:val="right"/>
              <w:rPr>
                <w:rFonts w:cs="Lucida Sans Unicode"/>
                <w:sz w:val="18"/>
                <w:szCs w:val="18"/>
                <w:lang w:val="en-US"/>
              </w:rPr>
            </w:pPr>
            <w:r>
              <w:rPr>
                <w:rFonts w:cs="Lucida Sans Unicode"/>
                <w:sz w:val="18"/>
                <w:szCs w:val="18"/>
                <w:lang w:val="en-US"/>
              </w:rPr>
              <w:t>-76</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446E1953" w14:textId="77777777" w:rsidR="00584651" w:rsidRDefault="00584651">
            <w:pPr>
              <w:jc w:val="right"/>
              <w:rPr>
                <w:rFonts w:cs="Lucida Sans Unicode"/>
                <w:sz w:val="18"/>
                <w:szCs w:val="18"/>
                <w:lang w:val="en-US"/>
              </w:rPr>
            </w:pPr>
            <w:r>
              <w:rPr>
                <w:rFonts w:cs="Lucida Sans Unicode"/>
                <w:sz w:val="18"/>
                <w:szCs w:val="18"/>
                <w:lang w:val="en-US"/>
              </w:rPr>
              <w:t>-82</w:t>
            </w:r>
          </w:p>
        </w:tc>
        <w:tc>
          <w:tcPr>
            <w:tcW w:w="992" w:type="dxa"/>
            <w:tcBorders>
              <w:top w:val="single" w:sz="4" w:space="0" w:color="auto"/>
              <w:left w:val="single" w:sz="4" w:space="0" w:color="auto"/>
              <w:bottom w:val="single" w:sz="4" w:space="0" w:color="auto"/>
              <w:right w:val="single" w:sz="4" w:space="0" w:color="auto"/>
            </w:tcBorders>
            <w:noWrap/>
            <w:vAlign w:val="bottom"/>
          </w:tcPr>
          <w:p w14:paraId="4ECE686F" w14:textId="77777777" w:rsidR="00584651" w:rsidRDefault="00584651">
            <w:pPr>
              <w:ind w:left="-55"/>
              <w:jc w:val="right"/>
              <w:rPr>
                <w:rFonts w:cs="Lucida Sans Unicode"/>
                <w:sz w:val="18"/>
                <w:szCs w:val="1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5F8937A6" w14:textId="77777777" w:rsidR="00584651" w:rsidRDefault="00584651">
            <w:pPr>
              <w:jc w:val="right"/>
              <w:rPr>
                <w:rFonts w:cs="Lucida Sans Unicode"/>
                <w:sz w:val="18"/>
                <w:szCs w:val="18"/>
                <w:lang w:val="en-US"/>
              </w:rPr>
            </w:pPr>
            <w:r>
              <w:rPr>
                <w:rFonts w:cs="Lucida Sans Unicode"/>
                <w:sz w:val="18"/>
                <w:szCs w:val="18"/>
                <w:lang w:val="en-US"/>
              </w:rPr>
              <w:t>-150</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2E28C687" w14:textId="77777777" w:rsidR="00584651" w:rsidRDefault="00584651">
            <w:pPr>
              <w:jc w:val="right"/>
              <w:rPr>
                <w:rFonts w:cs="Lucida Sans Unicode"/>
                <w:sz w:val="18"/>
                <w:szCs w:val="18"/>
                <w:lang w:val="en-US"/>
              </w:rPr>
            </w:pPr>
            <w:r>
              <w:rPr>
                <w:rFonts w:cs="Lucida Sans Unicode"/>
                <w:sz w:val="18"/>
                <w:szCs w:val="18"/>
                <w:lang w:val="en-US"/>
              </w:rPr>
              <w:t>-88</w:t>
            </w:r>
          </w:p>
        </w:tc>
        <w:tc>
          <w:tcPr>
            <w:tcW w:w="981" w:type="dxa"/>
            <w:tcBorders>
              <w:top w:val="single" w:sz="4" w:space="0" w:color="auto"/>
              <w:left w:val="single" w:sz="4" w:space="0" w:color="auto"/>
              <w:bottom w:val="single" w:sz="4" w:space="0" w:color="auto"/>
              <w:right w:val="single" w:sz="4" w:space="0" w:color="auto"/>
            </w:tcBorders>
            <w:noWrap/>
            <w:vAlign w:val="bottom"/>
          </w:tcPr>
          <w:p w14:paraId="6D55001B" w14:textId="77777777" w:rsidR="00584651" w:rsidRDefault="00584651">
            <w:pPr>
              <w:ind w:left="-55"/>
              <w:jc w:val="right"/>
              <w:rPr>
                <w:rFonts w:cs="Lucida Sans Unicode"/>
                <w:bCs/>
                <w:spacing w:val="-6"/>
                <w:sz w:val="18"/>
                <w:szCs w:val="18"/>
                <w:lang w:val="en-US"/>
              </w:rPr>
            </w:pPr>
          </w:p>
        </w:tc>
      </w:tr>
      <w:tr w:rsidR="00584651" w14:paraId="3CECCC84" w14:textId="77777777" w:rsidTr="003374E5">
        <w:trPr>
          <w:trHeight w:val="310"/>
        </w:trPr>
        <w:tc>
          <w:tcPr>
            <w:tcW w:w="3768" w:type="dxa"/>
            <w:tcBorders>
              <w:top w:val="single" w:sz="4" w:space="0" w:color="auto"/>
              <w:left w:val="single" w:sz="4" w:space="0" w:color="auto"/>
              <w:bottom w:val="single" w:sz="4" w:space="0" w:color="auto"/>
              <w:right w:val="single" w:sz="4" w:space="0" w:color="auto"/>
            </w:tcBorders>
            <w:noWrap/>
            <w:vAlign w:val="bottom"/>
            <w:hideMark/>
          </w:tcPr>
          <w:p w14:paraId="11255C71" w14:textId="77777777" w:rsidR="00584651" w:rsidRDefault="00584651">
            <w:pPr>
              <w:ind w:left="-55"/>
              <w:rPr>
                <w:rFonts w:cs="Lucida Sans Unicode"/>
                <w:sz w:val="18"/>
                <w:szCs w:val="18"/>
                <w:lang w:val="en-US"/>
              </w:rPr>
            </w:pPr>
            <w:r>
              <w:rPr>
                <w:sz w:val="18"/>
                <w:szCs w:val="18"/>
                <w:lang w:val="en-US"/>
              </w:rPr>
              <w:t>Finanzergebnis</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61582275" w14:textId="77777777" w:rsidR="00584651" w:rsidRDefault="00584651">
            <w:pPr>
              <w:jc w:val="right"/>
              <w:rPr>
                <w:rFonts w:cs="Lucida Sans Unicode"/>
                <w:sz w:val="18"/>
                <w:szCs w:val="18"/>
                <w:lang w:val="en-US"/>
              </w:rPr>
            </w:pPr>
            <w:r>
              <w:rPr>
                <w:rFonts w:cs="Lucida Sans Unicode"/>
                <w:sz w:val="18"/>
                <w:szCs w:val="18"/>
                <w:lang w:val="en-US"/>
              </w:rPr>
              <w:t>8</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0D2EC051" w14:textId="77777777" w:rsidR="00584651" w:rsidRDefault="00584651">
            <w:pPr>
              <w:jc w:val="right"/>
              <w:rPr>
                <w:rFonts w:cs="Lucida Sans Unicode"/>
                <w:sz w:val="18"/>
                <w:szCs w:val="18"/>
                <w:lang w:val="en-US"/>
              </w:rPr>
            </w:pPr>
            <w:r>
              <w:rPr>
                <w:rFonts w:cs="Lucida Sans Unicode"/>
                <w:sz w:val="18"/>
                <w:szCs w:val="18"/>
                <w:lang w:val="en-US"/>
              </w:rPr>
              <w:t>-22</w:t>
            </w:r>
          </w:p>
        </w:tc>
        <w:tc>
          <w:tcPr>
            <w:tcW w:w="992" w:type="dxa"/>
            <w:tcBorders>
              <w:top w:val="single" w:sz="4" w:space="0" w:color="auto"/>
              <w:left w:val="single" w:sz="4" w:space="0" w:color="auto"/>
              <w:bottom w:val="single" w:sz="4" w:space="0" w:color="auto"/>
              <w:right w:val="single" w:sz="4" w:space="0" w:color="auto"/>
            </w:tcBorders>
            <w:noWrap/>
            <w:vAlign w:val="bottom"/>
          </w:tcPr>
          <w:p w14:paraId="5594A6C9" w14:textId="77777777" w:rsidR="00584651" w:rsidRDefault="00584651">
            <w:pPr>
              <w:jc w:val="right"/>
              <w:rPr>
                <w:rFonts w:cs="Lucida Sans Unicode"/>
                <w:sz w:val="18"/>
                <w:szCs w:val="1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42CF522C" w14:textId="77777777" w:rsidR="00584651" w:rsidRDefault="00584651">
            <w:pPr>
              <w:jc w:val="right"/>
              <w:rPr>
                <w:rFonts w:cs="Lucida Sans Unicode"/>
                <w:sz w:val="18"/>
                <w:szCs w:val="18"/>
                <w:lang w:val="en-US"/>
              </w:rPr>
            </w:pPr>
            <w:r>
              <w:rPr>
                <w:rFonts w:cs="Lucida Sans Unicode"/>
                <w:sz w:val="18"/>
                <w:szCs w:val="18"/>
                <w:lang w:val="en-US"/>
              </w:rPr>
              <w:t>-174</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26904411" w14:textId="77777777" w:rsidR="00584651" w:rsidRDefault="00584651">
            <w:pPr>
              <w:jc w:val="right"/>
              <w:rPr>
                <w:rFonts w:cs="Lucida Sans Unicode"/>
                <w:sz w:val="18"/>
                <w:szCs w:val="18"/>
                <w:lang w:val="en-US"/>
              </w:rPr>
            </w:pPr>
            <w:r>
              <w:rPr>
                <w:rFonts w:cs="Lucida Sans Unicode"/>
                <w:sz w:val="18"/>
                <w:szCs w:val="18"/>
                <w:lang w:val="en-US"/>
              </w:rPr>
              <w:t>-223</w:t>
            </w:r>
          </w:p>
        </w:tc>
        <w:tc>
          <w:tcPr>
            <w:tcW w:w="981" w:type="dxa"/>
            <w:tcBorders>
              <w:top w:val="single" w:sz="4" w:space="0" w:color="auto"/>
              <w:left w:val="single" w:sz="4" w:space="0" w:color="auto"/>
              <w:bottom w:val="single" w:sz="4" w:space="0" w:color="auto"/>
              <w:right w:val="single" w:sz="4" w:space="0" w:color="auto"/>
            </w:tcBorders>
            <w:noWrap/>
            <w:vAlign w:val="bottom"/>
          </w:tcPr>
          <w:p w14:paraId="0790111A" w14:textId="77777777" w:rsidR="00584651" w:rsidRDefault="00584651">
            <w:pPr>
              <w:jc w:val="right"/>
              <w:rPr>
                <w:rFonts w:cs="Lucida Sans Unicode"/>
                <w:sz w:val="18"/>
                <w:szCs w:val="18"/>
                <w:lang w:val="en-US"/>
              </w:rPr>
            </w:pPr>
          </w:p>
        </w:tc>
      </w:tr>
      <w:tr w:rsidR="00584651" w14:paraId="48F03BED" w14:textId="77777777" w:rsidTr="003374E5">
        <w:trPr>
          <w:trHeight w:val="310"/>
        </w:trPr>
        <w:tc>
          <w:tcPr>
            <w:tcW w:w="3768" w:type="dxa"/>
            <w:tcBorders>
              <w:top w:val="single" w:sz="4" w:space="0" w:color="auto"/>
              <w:left w:val="single" w:sz="4" w:space="0" w:color="auto"/>
              <w:bottom w:val="single" w:sz="4" w:space="0" w:color="auto"/>
              <w:right w:val="single" w:sz="4" w:space="0" w:color="auto"/>
            </w:tcBorders>
            <w:noWrap/>
            <w:vAlign w:val="bottom"/>
            <w:hideMark/>
          </w:tcPr>
          <w:p w14:paraId="636EB506" w14:textId="77777777" w:rsidR="00584651" w:rsidRDefault="00584651">
            <w:pPr>
              <w:ind w:left="-55"/>
              <w:rPr>
                <w:rFonts w:cs="Lucida Sans Unicode"/>
                <w:bCs/>
                <w:sz w:val="18"/>
                <w:szCs w:val="18"/>
              </w:rPr>
            </w:pPr>
            <w:r>
              <w:rPr>
                <w:sz w:val="18"/>
                <w:szCs w:val="18"/>
              </w:rPr>
              <w:t>Ergebnis vor Ertragsteuern fortgeführter Aktivitäten</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2923958D" w14:textId="77777777" w:rsidR="00584651" w:rsidRDefault="00584651">
            <w:pPr>
              <w:jc w:val="right"/>
              <w:rPr>
                <w:rFonts w:cs="Lucida Sans Unicode"/>
                <w:bCs/>
                <w:sz w:val="18"/>
                <w:szCs w:val="18"/>
                <w:lang w:val="en-US"/>
              </w:rPr>
            </w:pPr>
            <w:r>
              <w:rPr>
                <w:rFonts w:cs="Lucida Sans Unicode"/>
                <w:bCs/>
                <w:sz w:val="18"/>
                <w:szCs w:val="18"/>
                <w:lang w:val="en-US"/>
              </w:rPr>
              <w:t>190</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552D0B0D" w14:textId="77777777" w:rsidR="00584651" w:rsidRDefault="00584651">
            <w:pPr>
              <w:jc w:val="right"/>
              <w:rPr>
                <w:rFonts w:cs="Lucida Sans Unicode"/>
                <w:bCs/>
                <w:sz w:val="18"/>
                <w:szCs w:val="18"/>
                <w:lang w:val="en-US"/>
              </w:rPr>
            </w:pPr>
            <w:r>
              <w:rPr>
                <w:rFonts w:cs="Lucida Sans Unicode"/>
                <w:bCs/>
                <w:sz w:val="18"/>
                <w:szCs w:val="18"/>
                <w:lang w:val="en-US"/>
              </w:rPr>
              <w:t>204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C0DE0D8" w14:textId="77777777" w:rsidR="00584651" w:rsidRDefault="00584651">
            <w:pPr>
              <w:jc w:val="right"/>
              <w:rPr>
                <w:rFonts w:cs="Lucida Sans Unicode"/>
                <w:bCs/>
                <w:sz w:val="18"/>
                <w:szCs w:val="18"/>
                <w:lang w:val="en-US"/>
              </w:rPr>
            </w:pPr>
            <w:r>
              <w:rPr>
                <w:rFonts w:cs="Lucida Sans Unicode"/>
                <w:bCs/>
                <w:sz w:val="18"/>
                <w:szCs w:val="18"/>
                <w:lang w:val="en-US"/>
              </w:rPr>
              <w:t>-7</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7B778041" w14:textId="77777777" w:rsidR="00584651" w:rsidRDefault="00584651">
            <w:pPr>
              <w:jc w:val="right"/>
              <w:rPr>
                <w:rFonts w:cs="Lucida Sans Unicode"/>
                <w:bCs/>
                <w:sz w:val="18"/>
                <w:szCs w:val="18"/>
                <w:lang w:val="en-US"/>
              </w:rPr>
            </w:pPr>
            <w:r>
              <w:rPr>
                <w:rFonts w:cs="Lucida Sans Unicode"/>
                <w:bCs/>
                <w:sz w:val="18"/>
                <w:szCs w:val="18"/>
                <w:lang w:val="en-US"/>
              </w:rPr>
              <w:t>1.124</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328029E3" w14:textId="77777777" w:rsidR="00584651" w:rsidRDefault="00584651">
            <w:pPr>
              <w:jc w:val="right"/>
              <w:rPr>
                <w:rFonts w:cs="Lucida Sans Unicode"/>
                <w:bCs/>
                <w:sz w:val="18"/>
                <w:szCs w:val="18"/>
                <w:lang w:val="en-US"/>
              </w:rPr>
            </w:pPr>
            <w:r>
              <w:rPr>
                <w:rFonts w:cs="Lucida Sans Unicode"/>
                <w:bCs/>
                <w:sz w:val="18"/>
                <w:szCs w:val="18"/>
                <w:lang w:val="en-US"/>
              </w:rPr>
              <w:t>1.441</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79D3AF12" w14:textId="77777777" w:rsidR="00584651" w:rsidRDefault="00584651">
            <w:pPr>
              <w:jc w:val="right"/>
              <w:rPr>
                <w:rFonts w:cs="Lucida Sans Unicode"/>
                <w:bCs/>
                <w:sz w:val="18"/>
                <w:szCs w:val="18"/>
                <w:lang w:val="en-US"/>
              </w:rPr>
            </w:pPr>
            <w:r>
              <w:rPr>
                <w:rFonts w:cs="Lucida Sans Unicode"/>
                <w:bCs/>
                <w:sz w:val="18"/>
                <w:szCs w:val="18"/>
                <w:lang w:val="en-US"/>
              </w:rPr>
              <w:t>-22</w:t>
            </w:r>
          </w:p>
        </w:tc>
      </w:tr>
      <w:tr w:rsidR="00584651" w14:paraId="51891924" w14:textId="77777777" w:rsidTr="003374E5">
        <w:trPr>
          <w:trHeight w:val="310"/>
        </w:trPr>
        <w:tc>
          <w:tcPr>
            <w:tcW w:w="3768" w:type="dxa"/>
            <w:tcBorders>
              <w:top w:val="single" w:sz="4" w:space="0" w:color="auto"/>
              <w:left w:val="single" w:sz="4" w:space="0" w:color="auto"/>
              <w:bottom w:val="single" w:sz="4" w:space="0" w:color="auto"/>
              <w:right w:val="single" w:sz="4" w:space="0" w:color="auto"/>
            </w:tcBorders>
            <w:noWrap/>
            <w:vAlign w:val="bottom"/>
            <w:hideMark/>
          </w:tcPr>
          <w:p w14:paraId="4337CCA3" w14:textId="77777777" w:rsidR="00584651" w:rsidRDefault="00584651">
            <w:pPr>
              <w:ind w:left="-55"/>
              <w:rPr>
                <w:rFonts w:cs="Lucida Sans Unicode"/>
                <w:sz w:val="18"/>
                <w:szCs w:val="18"/>
                <w:lang w:val="en-US"/>
              </w:rPr>
            </w:pPr>
            <w:r>
              <w:rPr>
                <w:sz w:val="18"/>
                <w:szCs w:val="18"/>
                <w:lang w:val="en-US"/>
              </w:rPr>
              <w:t>Ertragsteuern</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4EB26560" w14:textId="77777777" w:rsidR="00584651" w:rsidRDefault="00584651">
            <w:pPr>
              <w:jc w:val="right"/>
              <w:rPr>
                <w:rFonts w:cs="Lucida Sans Unicode"/>
                <w:sz w:val="18"/>
                <w:szCs w:val="18"/>
                <w:lang w:val="en-US"/>
              </w:rPr>
            </w:pPr>
            <w:r>
              <w:rPr>
                <w:rFonts w:cs="Lucida Sans Unicode"/>
                <w:sz w:val="18"/>
                <w:szCs w:val="18"/>
                <w:lang w:val="en-US"/>
              </w:rPr>
              <w:t>-66</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2CE7FDC0" w14:textId="77777777" w:rsidR="00584651" w:rsidRDefault="00584651">
            <w:pPr>
              <w:jc w:val="right"/>
              <w:rPr>
                <w:rFonts w:cs="Lucida Sans Unicode"/>
                <w:sz w:val="18"/>
                <w:szCs w:val="18"/>
                <w:lang w:val="en-US"/>
              </w:rPr>
            </w:pPr>
            <w:r>
              <w:rPr>
                <w:rFonts w:cs="Lucida Sans Unicode"/>
                <w:sz w:val="18"/>
                <w:szCs w:val="18"/>
                <w:lang w:val="en-US"/>
              </w:rPr>
              <w:t>-70</w:t>
            </w:r>
          </w:p>
        </w:tc>
        <w:tc>
          <w:tcPr>
            <w:tcW w:w="992" w:type="dxa"/>
            <w:tcBorders>
              <w:top w:val="single" w:sz="4" w:space="0" w:color="auto"/>
              <w:left w:val="single" w:sz="4" w:space="0" w:color="auto"/>
              <w:bottom w:val="single" w:sz="4" w:space="0" w:color="auto"/>
              <w:right w:val="single" w:sz="4" w:space="0" w:color="auto"/>
            </w:tcBorders>
            <w:noWrap/>
            <w:vAlign w:val="bottom"/>
          </w:tcPr>
          <w:p w14:paraId="5AFE7B7A" w14:textId="77777777" w:rsidR="00584651" w:rsidRDefault="00584651">
            <w:pPr>
              <w:jc w:val="right"/>
              <w:rPr>
                <w:rFonts w:cs="Lucida Sans Unicode"/>
                <w:sz w:val="18"/>
                <w:szCs w:val="1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6FD3D128" w14:textId="77777777" w:rsidR="00584651" w:rsidRDefault="00584651">
            <w:pPr>
              <w:jc w:val="right"/>
              <w:rPr>
                <w:rFonts w:cs="Lucida Sans Unicode"/>
                <w:sz w:val="18"/>
                <w:szCs w:val="18"/>
                <w:lang w:val="en-US"/>
              </w:rPr>
            </w:pPr>
            <w:r>
              <w:rPr>
                <w:rFonts w:cs="Lucida Sans Unicode"/>
                <w:sz w:val="18"/>
                <w:szCs w:val="18"/>
                <w:lang w:val="en-US"/>
              </w:rPr>
              <w:t>-362</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2C0BE391" w14:textId="77777777" w:rsidR="00584651" w:rsidRDefault="00584651">
            <w:pPr>
              <w:jc w:val="right"/>
              <w:rPr>
                <w:rFonts w:cs="Lucida Sans Unicode"/>
                <w:sz w:val="18"/>
                <w:szCs w:val="18"/>
                <w:lang w:val="en-US"/>
              </w:rPr>
            </w:pPr>
            <w:r>
              <w:rPr>
                <w:rFonts w:cs="Lucida Sans Unicode"/>
                <w:sz w:val="18"/>
                <w:szCs w:val="18"/>
                <w:lang w:val="en-US"/>
              </w:rPr>
              <w:t>-422</w:t>
            </w:r>
          </w:p>
        </w:tc>
        <w:tc>
          <w:tcPr>
            <w:tcW w:w="981" w:type="dxa"/>
            <w:tcBorders>
              <w:top w:val="single" w:sz="4" w:space="0" w:color="auto"/>
              <w:left w:val="single" w:sz="4" w:space="0" w:color="auto"/>
              <w:bottom w:val="single" w:sz="4" w:space="0" w:color="auto"/>
              <w:right w:val="single" w:sz="4" w:space="0" w:color="auto"/>
            </w:tcBorders>
            <w:noWrap/>
            <w:vAlign w:val="bottom"/>
          </w:tcPr>
          <w:p w14:paraId="5F260B37" w14:textId="77777777" w:rsidR="00584651" w:rsidRDefault="00584651">
            <w:pPr>
              <w:jc w:val="right"/>
              <w:rPr>
                <w:rFonts w:cs="Lucida Sans Unicode"/>
                <w:sz w:val="18"/>
                <w:szCs w:val="18"/>
                <w:lang w:val="en-US"/>
              </w:rPr>
            </w:pPr>
          </w:p>
        </w:tc>
      </w:tr>
      <w:tr w:rsidR="00584651" w14:paraId="15BEEC1B" w14:textId="77777777" w:rsidTr="003374E5">
        <w:trPr>
          <w:trHeight w:val="310"/>
        </w:trPr>
        <w:tc>
          <w:tcPr>
            <w:tcW w:w="3768" w:type="dxa"/>
            <w:tcBorders>
              <w:top w:val="single" w:sz="4" w:space="0" w:color="auto"/>
              <w:left w:val="single" w:sz="4" w:space="0" w:color="auto"/>
              <w:bottom w:val="single" w:sz="4" w:space="0" w:color="auto"/>
              <w:right w:val="single" w:sz="4" w:space="0" w:color="auto"/>
            </w:tcBorders>
            <w:noWrap/>
            <w:vAlign w:val="bottom"/>
            <w:hideMark/>
          </w:tcPr>
          <w:p w14:paraId="139663F4" w14:textId="77777777" w:rsidR="002125B8" w:rsidRDefault="00584651">
            <w:pPr>
              <w:ind w:left="-55"/>
              <w:rPr>
                <w:sz w:val="18"/>
                <w:szCs w:val="18"/>
              </w:rPr>
            </w:pPr>
            <w:r>
              <w:rPr>
                <w:sz w:val="18"/>
                <w:szCs w:val="18"/>
              </w:rPr>
              <w:t xml:space="preserve">Ergebnis nach Steuern </w:t>
            </w:r>
          </w:p>
          <w:p w14:paraId="0B85545F" w14:textId="77777777" w:rsidR="00584651" w:rsidRDefault="00584651">
            <w:pPr>
              <w:ind w:left="-55"/>
              <w:rPr>
                <w:rFonts w:cs="Lucida Sans Unicode"/>
                <w:bCs/>
                <w:sz w:val="18"/>
                <w:szCs w:val="18"/>
              </w:rPr>
            </w:pPr>
            <w:r>
              <w:rPr>
                <w:sz w:val="18"/>
                <w:szCs w:val="18"/>
              </w:rPr>
              <w:t>fortgeführter Aktivitäten</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150273FE" w14:textId="77777777" w:rsidR="00584651" w:rsidRDefault="00584651">
            <w:pPr>
              <w:jc w:val="right"/>
              <w:rPr>
                <w:rFonts w:cs="Lucida Sans Unicode"/>
                <w:bCs/>
                <w:sz w:val="18"/>
                <w:szCs w:val="18"/>
                <w:lang w:val="en-US"/>
              </w:rPr>
            </w:pPr>
            <w:r>
              <w:rPr>
                <w:rFonts w:cs="Lucida Sans Unicode"/>
                <w:bCs/>
                <w:sz w:val="18"/>
                <w:szCs w:val="18"/>
                <w:lang w:val="en-US"/>
              </w:rPr>
              <w:t>124</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1A288296" w14:textId="77777777" w:rsidR="00584651" w:rsidRDefault="00584651">
            <w:pPr>
              <w:jc w:val="right"/>
              <w:rPr>
                <w:rFonts w:cs="Lucida Sans Unicode"/>
                <w:bCs/>
                <w:sz w:val="18"/>
                <w:szCs w:val="18"/>
                <w:lang w:val="en-US"/>
              </w:rPr>
            </w:pPr>
            <w:r>
              <w:rPr>
                <w:rFonts w:cs="Lucida Sans Unicode"/>
                <w:bCs/>
                <w:sz w:val="18"/>
                <w:szCs w:val="18"/>
                <w:lang w:val="en-US"/>
              </w:rPr>
              <w:t>134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F266785" w14:textId="77777777" w:rsidR="00584651" w:rsidRDefault="00584651">
            <w:pPr>
              <w:jc w:val="right"/>
              <w:rPr>
                <w:rFonts w:cs="Lucida Sans Unicode"/>
                <w:bCs/>
                <w:sz w:val="18"/>
                <w:szCs w:val="18"/>
                <w:lang w:val="en-US"/>
              </w:rPr>
            </w:pPr>
            <w:r>
              <w:rPr>
                <w:rFonts w:cs="Lucida Sans Unicode"/>
                <w:bCs/>
                <w:sz w:val="18"/>
                <w:szCs w:val="18"/>
                <w:lang w:val="en-US"/>
              </w:rPr>
              <w:t>-7</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1F5E278B" w14:textId="77777777" w:rsidR="00584651" w:rsidRDefault="00584651">
            <w:pPr>
              <w:jc w:val="right"/>
              <w:rPr>
                <w:rFonts w:cs="Lucida Sans Unicode"/>
                <w:bCs/>
                <w:sz w:val="18"/>
                <w:szCs w:val="18"/>
                <w:lang w:val="en-US"/>
              </w:rPr>
            </w:pPr>
            <w:r>
              <w:rPr>
                <w:rFonts w:cs="Lucida Sans Unicode"/>
                <w:bCs/>
                <w:sz w:val="18"/>
                <w:szCs w:val="18"/>
                <w:lang w:val="en-US"/>
              </w:rPr>
              <w:t>762</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7A1FCB3F" w14:textId="77777777" w:rsidR="00584651" w:rsidRDefault="00584651">
            <w:pPr>
              <w:jc w:val="right"/>
              <w:rPr>
                <w:rFonts w:cs="Lucida Sans Unicode"/>
                <w:bCs/>
                <w:sz w:val="18"/>
                <w:szCs w:val="18"/>
                <w:lang w:val="en-US"/>
              </w:rPr>
            </w:pPr>
            <w:r>
              <w:rPr>
                <w:rFonts w:cs="Lucida Sans Unicode"/>
                <w:bCs/>
                <w:sz w:val="18"/>
                <w:szCs w:val="18"/>
                <w:lang w:val="en-US"/>
              </w:rPr>
              <w:t>1.019</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30C5223B" w14:textId="77777777" w:rsidR="00584651" w:rsidRDefault="00584651">
            <w:pPr>
              <w:jc w:val="right"/>
              <w:rPr>
                <w:rFonts w:cs="Lucida Sans Unicode"/>
                <w:bCs/>
                <w:sz w:val="18"/>
                <w:szCs w:val="18"/>
                <w:lang w:val="en-US"/>
              </w:rPr>
            </w:pPr>
            <w:r>
              <w:rPr>
                <w:rFonts w:cs="Lucida Sans Unicode"/>
                <w:bCs/>
                <w:sz w:val="18"/>
                <w:szCs w:val="18"/>
                <w:lang w:val="en-US"/>
              </w:rPr>
              <w:t>-25</w:t>
            </w:r>
          </w:p>
        </w:tc>
      </w:tr>
      <w:tr w:rsidR="00584651" w14:paraId="1B147F8E" w14:textId="77777777" w:rsidTr="003374E5">
        <w:trPr>
          <w:trHeight w:val="310"/>
        </w:trPr>
        <w:tc>
          <w:tcPr>
            <w:tcW w:w="3768" w:type="dxa"/>
            <w:tcBorders>
              <w:top w:val="single" w:sz="4" w:space="0" w:color="auto"/>
              <w:left w:val="single" w:sz="4" w:space="0" w:color="auto"/>
              <w:bottom w:val="single" w:sz="4" w:space="0" w:color="auto"/>
              <w:right w:val="single" w:sz="4" w:space="0" w:color="auto"/>
            </w:tcBorders>
            <w:noWrap/>
            <w:vAlign w:val="bottom"/>
            <w:hideMark/>
          </w:tcPr>
          <w:p w14:paraId="587483E6" w14:textId="77777777" w:rsidR="00584651" w:rsidRDefault="00584651">
            <w:pPr>
              <w:ind w:left="-55"/>
              <w:rPr>
                <w:rFonts w:cs="Lucida Sans Unicode"/>
                <w:sz w:val="18"/>
                <w:szCs w:val="18"/>
              </w:rPr>
            </w:pPr>
            <w:r>
              <w:rPr>
                <w:sz w:val="18"/>
                <w:szCs w:val="18"/>
              </w:rPr>
              <w:t>Ergebnis nach Steuern nicht fortgeführter Aktivitäten</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08F50253" w14:textId="77777777" w:rsidR="00584651" w:rsidRDefault="00584651">
            <w:pPr>
              <w:jc w:val="right"/>
              <w:rPr>
                <w:rFonts w:cs="Lucida Sans Unicode"/>
                <w:sz w:val="18"/>
                <w:szCs w:val="18"/>
                <w:lang w:val="en-US"/>
              </w:rPr>
            </w:pPr>
            <w:r>
              <w:rPr>
                <w:rFonts w:cs="Lucida Sans Unicode"/>
                <w:sz w:val="18"/>
                <w:szCs w:val="18"/>
                <w:lang w:val="en-US"/>
              </w:rPr>
              <w:t>95</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3A66CF9E" w14:textId="77777777" w:rsidR="00584651" w:rsidRDefault="00584651">
            <w:pPr>
              <w:jc w:val="right"/>
              <w:rPr>
                <w:rFonts w:cs="Lucida Sans Unicode"/>
                <w:sz w:val="18"/>
                <w:szCs w:val="18"/>
                <w:lang w:val="en-US"/>
              </w:rPr>
            </w:pPr>
            <w:r>
              <w:rPr>
                <w:rFonts w:cs="Lucida Sans Unicode"/>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noWrap/>
            <w:vAlign w:val="bottom"/>
          </w:tcPr>
          <w:p w14:paraId="1537B359" w14:textId="77777777" w:rsidR="00584651" w:rsidRDefault="00584651">
            <w:pPr>
              <w:rPr>
                <w:rFonts w:cs="Lucida Sans Unicode"/>
                <w:sz w:val="18"/>
                <w:szCs w:val="1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14E813BC" w14:textId="77777777" w:rsidR="00584651" w:rsidRDefault="00584651">
            <w:pPr>
              <w:jc w:val="right"/>
              <w:rPr>
                <w:rFonts w:cs="Lucida Sans Unicode"/>
                <w:sz w:val="18"/>
                <w:szCs w:val="18"/>
                <w:lang w:val="en-US"/>
              </w:rPr>
            </w:pPr>
            <w:r>
              <w:rPr>
                <w:rFonts w:cs="Lucida Sans Unicode"/>
                <w:sz w:val="18"/>
                <w:szCs w:val="18"/>
                <w:lang w:val="en-US"/>
              </w:rPr>
              <w:t>96</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2649C1D4" w14:textId="77777777" w:rsidR="00584651" w:rsidRDefault="00584651">
            <w:pPr>
              <w:jc w:val="right"/>
              <w:rPr>
                <w:rFonts w:cs="Lucida Sans Unicode"/>
                <w:sz w:val="18"/>
                <w:szCs w:val="18"/>
                <w:lang w:val="en-US"/>
              </w:rPr>
            </w:pPr>
            <w:r>
              <w:rPr>
                <w:rFonts w:cs="Lucida Sans Unicode"/>
                <w:sz w:val="18"/>
                <w:szCs w:val="18"/>
                <w:lang w:val="en-US"/>
              </w:rPr>
              <w:t>-17</w:t>
            </w:r>
          </w:p>
        </w:tc>
        <w:tc>
          <w:tcPr>
            <w:tcW w:w="981" w:type="dxa"/>
            <w:tcBorders>
              <w:top w:val="single" w:sz="4" w:space="0" w:color="auto"/>
              <w:left w:val="single" w:sz="4" w:space="0" w:color="auto"/>
              <w:bottom w:val="single" w:sz="4" w:space="0" w:color="auto"/>
              <w:right w:val="single" w:sz="4" w:space="0" w:color="auto"/>
            </w:tcBorders>
            <w:noWrap/>
            <w:vAlign w:val="bottom"/>
          </w:tcPr>
          <w:p w14:paraId="769DB422" w14:textId="77777777" w:rsidR="00584651" w:rsidRDefault="00584651">
            <w:pPr>
              <w:rPr>
                <w:rFonts w:cs="Lucida Sans Unicode"/>
                <w:sz w:val="18"/>
                <w:szCs w:val="18"/>
                <w:lang w:val="en-US"/>
              </w:rPr>
            </w:pPr>
          </w:p>
        </w:tc>
      </w:tr>
      <w:tr w:rsidR="00584651" w14:paraId="68C30460" w14:textId="77777777" w:rsidTr="003374E5">
        <w:trPr>
          <w:trHeight w:val="310"/>
        </w:trPr>
        <w:tc>
          <w:tcPr>
            <w:tcW w:w="3768" w:type="dxa"/>
            <w:tcBorders>
              <w:top w:val="single" w:sz="4" w:space="0" w:color="auto"/>
              <w:left w:val="single" w:sz="4" w:space="0" w:color="auto"/>
              <w:bottom w:val="single" w:sz="4" w:space="0" w:color="auto"/>
              <w:right w:val="single" w:sz="4" w:space="0" w:color="auto"/>
            </w:tcBorders>
            <w:noWrap/>
            <w:vAlign w:val="bottom"/>
            <w:hideMark/>
          </w:tcPr>
          <w:p w14:paraId="7C6E2028" w14:textId="77777777" w:rsidR="00584651" w:rsidRDefault="00584651">
            <w:pPr>
              <w:ind w:left="-55"/>
              <w:rPr>
                <w:rFonts w:cs="Lucida Sans Unicode"/>
                <w:bCs/>
                <w:sz w:val="18"/>
                <w:szCs w:val="18"/>
                <w:lang w:val="en-US"/>
              </w:rPr>
            </w:pPr>
            <w:r>
              <w:rPr>
                <w:sz w:val="18"/>
                <w:szCs w:val="18"/>
                <w:lang w:val="en-US"/>
              </w:rPr>
              <w:t>Ergebnis nach Steuern</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27D499DD" w14:textId="77777777" w:rsidR="00584651" w:rsidRDefault="00584651">
            <w:pPr>
              <w:jc w:val="right"/>
              <w:rPr>
                <w:rFonts w:cs="Lucida Sans Unicode"/>
                <w:bCs/>
                <w:sz w:val="18"/>
                <w:szCs w:val="18"/>
                <w:lang w:val="en-US"/>
              </w:rPr>
            </w:pPr>
            <w:r>
              <w:rPr>
                <w:rFonts w:cs="Lucida Sans Unicode"/>
                <w:bCs/>
                <w:sz w:val="18"/>
                <w:szCs w:val="18"/>
                <w:lang w:val="en-US"/>
              </w:rPr>
              <w:t>219</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221F8C87" w14:textId="77777777" w:rsidR="00584651" w:rsidRDefault="00584651">
            <w:pPr>
              <w:jc w:val="right"/>
              <w:rPr>
                <w:rFonts w:cs="Lucida Sans Unicode"/>
                <w:bCs/>
                <w:sz w:val="18"/>
                <w:szCs w:val="18"/>
                <w:lang w:val="en-US"/>
              </w:rPr>
            </w:pPr>
            <w:r>
              <w:rPr>
                <w:rFonts w:cs="Lucida Sans Unicode"/>
                <w:bCs/>
                <w:sz w:val="18"/>
                <w:szCs w:val="18"/>
                <w:lang w:val="en-US"/>
              </w:rPr>
              <w:t>132</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F5ED755" w14:textId="77777777" w:rsidR="00584651" w:rsidRDefault="00584651">
            <w:pPr>
              <w:jc w:val="right"/>
              <w:rPr>
                <w:rFonts w:cs="Lucida Sans Unicode"/>
                <w:bCs/>
                <w:sz w:val="18"/>
                <w:szCs w:val="18"/>
                <w:lang w:val="en-US"/>
              </w:rPr>
            </w:pPr>
            <w:r>
              <w:rPr>
                <w:rFonts w:cs="Lucida Sans Unicode"/>
                <w:bCs/>
                <w:sz w:val="18"/>
                <w:szCs w:val="18"/>
                <w:lang w:val="en-US"/>
              </w:rPr>
              <w:t>66</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6477ABDF" w14:textId="77777777" w:rsidR="00584651" w:rsidRDefault="00584651">
            <w:pPr>
              <w:jc w:val="right"/>
              <w:rPr>
                <w:rFonts w:cs="Lucida Sans Unicode"/>
                <w:sz w:val="18"/>
                <w:szCs w:val="18"/>
                <w:lang w:val="en-US"/>
              </w:rPr>
            </w:pPr>
            <w:r>
              <w:rPr>
                <w:rFonts w:cs="Lucida Sans Unicode"/>
                <w:sz w:val="18"/>
                <w:szCs w:val="18"/>
                <w:lang w:val="en-US"/>
              </w:rPr>
              <w:t>858</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5E097B9A" w14:textId="77777777" w:rsidR="00584651" w:rsidRDefault="00584651">
            <w:pPr>
              <w:jc w:val="right"/>
              <w:rPr>
                <w:rFonts w:cs="Lucida Sans Unicode"/>
                <w:sz w:val="18"/>
                <w:szCs w:val="18"/>
                <w:lang w:val="en-US"/>
              </w:rPr>
            </w:pPr>
            <w:r>
              <w:rPr>
                <w:rFonts w:cs="Lucida Sans Unicode"/>
                <w:sz w:val="18"/>
                <w:szCs w:val="18"/>
                <w:lang w:val="en-US"/>
              </w:rPr>
              <w:t>1,002</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2CD7AADF" w14:textId="77777777" w:rsidR="00584651" w:rsidRDefault="00584651">
            <w:pPr>
              <w:jc w:val="right"/>
              <w:rPr>
                <w:rFonts w:cs="Lucida Sans Unicode"/>
                <w:sz w:val="18"/>
                <w:szCs w:val="18"/>
                <w:lang w:val="en-US"/>
              </w:rPr>
            </w:pPr>
            <w:r>
              <w:rPr>
                <w:rFonts w:cs="Lucida Sans Unicode"/>
                <w:sz w:val="18"/>
                <w:szCs w:val="18"/>
                <w:lang w:val="en-US"/>
              </w:rPr>
              <w:t>-14</w:t>
            </w:r>
          </w:p>
        </w:tc>
      </w:tr>
      <w:tr w:rsidR="00584651" w14:paraId="7090CE16" w14:textId="77777777" w:rsidTr="003374E5">
        <w:trPr>
          <w:trHeight w:val="264"/>
        </w:trPr>
        <w:tc>
          <w:tcPr>
            <w:tcW w:w="3768" w:type="dxa"/>
            <w:tcBorders>
              <w:top w:val="single" w:sz="4" w:space="0" w:color="auto"/>
              <w:left w:val="single" w:sz="4" w:space="0" w:color="auto"/>
              <w:bottom w:val="single" w:sz="4" w:space="0" w:color="auto"/>
              <w:right w:val="single" w:sz="4" w:space="0" w:color="auto"/>
            </w:tcBorders>
            <w:noWrap/>
            <w:vAlign w:val="bottom"/>
            <w:hideMark/>
          </w:tcPr>
          <w:p w14:paraId="1C8BCF23" w14:textId="77777777" w:rsidR="00584651" w:rsidRDefault="00584651">
            <w:pPr>
              <w:ind w:left="-55"/>
              <w:rPr>
                <w:rFonts w:cs="Lucida Sans Unicode"/>
                <w:sz w:val="18"/>
                <w:szCs w:val="18"/>
                <w:lang w:val="en-US"/>
              </w:rPr>
            </w:pPr>
            <w:r>
              <w:rPr>
                <w:sz w:val="18"/>
                <w:szCs w:val="18"/>
                <w:lang w:val="en-US"/>
              </w:rPr>
              <w:t>Davon Ergebnis anderer Gesellschafter</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3A9639A6" w14:textId="77777777" w:rsidR="00584651" w:rsidRDefault="00584651">
            <w:pPr>
              <w:jc w:val="right"/>
              <w:rPr>
                <w:rFonts w:cs="Lucida Sans Unicode"/>
                <w:sz w:val="18"/>
                <w:szCs w:val="18"/>
                <w:lang w:val="en-US"/>
              </w:rPr>
            </w:pPr>
            <w:r>
              <w:rPr>
                <w:rFonts w:cs="Lucida Sans Unicode"/>
                <w:sz w:val="18"/>
                <w:szCs w:val="18"/>
                <w:lang w:val="en-US"/>
              </w:rPr>
              <w:t>3</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302E572B" w14:textId="77777777" w:rsidR="00584651" w:rsidRDefault="00584651">
            <w:pPr>
              <w:jc w:val="right"/>
              <w:rPr>
                <w:rFonts w:cs="Lucida Sans Unicode"/>
                <w:sz w:val="18"/>
                <w:szCs w:val="18"/>
                <w:lang w:val="en-US"/>
              </w:rPr>
            </w:pPr>
            <w:r>
              <w:rPr>
                <w:rFonts w:cs="Lucida Sans Unicode"/>
                <w:sz w:val="18"/>
                <w:szCs w:val="18"/>
                <w:lang w:val="en-US"/>
              </w:rPr>
              <w:t>3</w:t>
            </w:r>
          </w:p>
        </w:tc>
        <w:tc>
          <w:tcPr>
            <w:tcW w:w="992" w:type="dxa"/>
            <w:tcBorders>
              <w:top w:val="single" w:sz="4" w:space="0" w:color="auto"/>
              <w:left w:val="single" w:sz="4" w:space="0" w:color="auto"/>
              <w:bottom w:val="single" w:sz="4" w:space="0" w:color="auto"/>
              <w:right w:val="single" w:sz="4" w:space="0" w:color="auto"/>
            </w:tcBorders>
            <w:noWrap/>
            <w:vAlign w:val="bottom"/>
          </w:tcPr>
          <w:p w14:paraId="7CD2D97E" w14:textId="77777777" w:rsidR="00584651" w:rsidRDefault="00584651">
            <w:pPr>
              <w:rPr>
                <w:rFonts w:cs="Lucida Sans Unicode"/>
                <w:sz w:val="18"/>
                <w:szCs w:val="18"/>
                <w:lang w:val="en-US"/>
              </w:rPr>
            </w:pP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3FEEC4EA" w14:textId="77777777" w:rsidR="00584651" w:rsidRDefault="00584651">
            <w:pPr>
              <w:jc w:val="right"/>
              <w:rPr>
                <w:rFonts w:cs="Lucida Sans Unicode"/>
                <w:bCs/>
                <w:sz w:val="18"/>
                <w:szCs w:val="18"/>
                <w:lang w:val="en-US"/>
              </w:rPr>
            </w:pPr>
            <w:r>
              <w:rPr>
                <w:rFonts w:cs="Lucida Sans Unicode"/>
                <w:bCs/>
                <w:sz w:val="18"/>
                <w:szCs w:val="18"/>
                <w:lang w:val="en-US"/>
              </w:rPr>
              <w:t>14</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46050E83" w14:textId="77777777" w:rsidR="00584651" w:rsidRDefault="00584651">
            <w:pPr>
              <w:jc w:val="right"/>
              <w:rPr>
                <w:rFonts w:cs="Lucida Sans Unicode"/>
                <w:bCs/>
                <w:sz w:val="18"/>
                <w:szCs w:val="18"/>
                <w:lang w:val="en-US"/>
              </w:rPr>
            </w:pPr>
            <w:r>
              <w:rPr>
                <w:rFonts w:cs="Lucida Sans Unicode"/>
                <w:bCs/>
                <w:sz w:val="18"/>
                <w:szCs w:val="18"/>
                <w:lang w:val="en-US"/>
              </w:rPr>
              <w:t>11</w:t>
            </w:r>
          </w:p>
        </w:tc>
        <w:tc>
          <w:tcPr>
            <w:tcW w:w="981" w:type="dxa"/>
            <w:tcBorders>
              <w:top w:val="single" w:sz="4" w:space="0" w:color="auto"/>
              <w:left w:val="single" w:sz="4" w:space="0" w:color="auto"/>
              <w:bottom w:val="single" w:sz="4" w:space="0" w:color="auto"/>
              <w:right w:val="single" w:sz="4" w:space="0" w:color="auto"/>
            </w:tcBorders>
            <w:noWrap/>
            <w:vAlign w:val="bottom"/>
          </w:tcPr>
          <w:p w14:paraId="4B0A98B2" w14:textId="77777777" w:rsidR="00584651" w:rsidRDefault="00584651">
            <w:pPr>
              <w:jc w:val="right"/>
              <w:rPr>
                <w:rFonts w:cs="Lucida Sans Unicode"/>
                <w:b/>
                <w:bCs/>
                <w:sz w:val="18"/>
                <w:szCs w:val="18"/>
                <w:lang w:val="en-US"/>
              </w:rPr>
            </w:pPr>
          </w:p>
        </w:tc>
      </w:tr>
      <w:tr w:rsidR="00584651" w14:paraId="3DB2E4B8" w14:textId="77777777" w:rsidTr="003374E5">
        <w:trPr>
          <w:trHeight w:val="264"/>
        </w:trPr>
        <w:tc>
          <w:tcPr>
            <w:tcW w:w="3768" w:type="dxa"/>
            <w:tcBorders>
              <w:top w:val="single" w:sz="4" w:space="0" w:color="auto"/>
              <w:left w:val="single" w:sz="4" w:space="0" w:color="auto"/>
              <w:bottom w:val="single" w:sz="4" w:space="0" w:color="auto"/>
              <w:right w:val="single" w:sz="4" w:space="0" w:color="auto"/>
            </w:tcBorders>
            <w:noWrap/>
            <w:vAlign w:val="bottom"/>
            <w:hideMark/>
          </w:tcPr>
          <w:p w14:paraId="7E3F11A2" w14:textId="77777777" w:rsidR="00584651" w:rsidRDefault="00584651">
            <w:pPr>
              <w:ind w:left="-55"/>
              <w:rPr>
                <w:rFonts w:cs="Lucida Sans Unicode"/>
                <w:b/>
                <w:sz w:val="18"/>
                <w:szCs w:val="18"/>
                <w:lang w:val="en-US"/>
              </w:rPr>
            </w:pPr>
            <w:r>
              <w:rPr>
                <w:b/>
                <w:sz w:val="18"/>
                <w:szCs w:val="18"/>
                <w:lang w:val="en-US"/>
              </w:rPr>
              <w:t>Konzernergebnis</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54946691" w14:textId="77777777" w:rsidR="00584651" w:rsidRDefault="00584651">
            <w:pPr>
              <w:jc w:val="right"/>
              <w:rPr>
                <w:rFonts w:cs="Lucida Sans Unicode"/>
                <w:b/>
                <w:bCs/>
                <w:sz w:val="18"/>
                <w:szCs w:val="18"/>
                <w:lang w:val="en-US"/>
              </w:rPr>
            </w:pPr>
            <w:r>
              <w:rPr>
                <w:rFonts w:cs="Lucida Sans Unicode"/>
                <w:b/>
                <w:bCs/>
                <w:sz w:val="18"/>
                <w:szCs w:val="18"/>
                <w:lang w:val="en-US"/>
              </w:rPr>
              <w:t>216</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5C2FA61C" w14:textId="77777777" w:rsidR="00584651" w:rsidRDefault="00584651">
            <w:pPr>
              <w:jc w:val="right"/>
              <w:rPr>
                <w:rFonts w:cs="Lucida Sans Unicode"/>
                <w:b/>
                <w:bCs/>
                <w:sz w:val="18"/>
                <w:szCs w:val="18"/>
                <w:lang w:val="en-US"/>
              </w:rPr>
            </w:pPr>
            <w:r>
              <w:rPr>
                <w:rFonts w:cs="Lucida Sans Unicode"/>
                <w:b/>
                <w:bCs/>
                <w:sz w:val="18"/>
                <w:szCs w:val="18"/>
                <w:lang w:val="en-US"/>
              </w:rPr>
              <w:t>129</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B046D6B" w14:textId="77777777" w:rsidR="00584651" w:rsidRDefault="00584651">
            <w:pPr>
              <w:jc w:val="right"/>
              <w:rPr>
                <w:rFonts w:cs="Lucida Sans Unicode"/>
                <w:b/>
                <w:bCs/>
                <w:sz w:val="18"/>
                <w:szCs w:val="18"/>
                <w:lang w:val="en-US"/>
              </w:rPr>
            </w:pPr>
            <w:r>
              <w:rPr>
                <w:rFonts w:cs="Lucida Sans Unicode"/>
                <w:b/>
                <w:bCs/>
                <w:sz w:val="18"/>
                <w:szCs w:val="18"/>
                <w:lang w:val="en-US"/>
              </w:rPr>
              <w:t>67</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63E67544" w14:textId="77777777" w:rsidR="00584651" w:rsidRDefault="00584651">
            <w:pPr>
              <w:jc w:val="right"/>
              <w:rPr>
                <w:rFonts w:cs="Lucida Sans Unicode"/>
                <w:b/>
                <w:bCs/>
                <w:sz w:val="18"/>
                <w:szCs w:val="18"/>
                <w:lang w:val="en-US"/>
              </w:rPr>
            </w:pPr>
            <w:r>
              <w:rPr>
                <w:rFonts w:cs="Lucida Sans Unicode"/>
                <w:b/>
                <w:bCs/>
                <w:sz w:val="18"/>
                <w:szCs w:val="18"/>
                <w:lang w:val="en-US"/>
              </w:rPr>
              <w:t>844</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1B2D91EA" w14:textId="77777777" w:rsidR="00584651" w:rsidRDefault="00584651">
            <w:pPr>
              <w:jc w:val="right"/>
              <w:rPr>
                <w:rFonts w:cs="Lucida Sans Unicode"/>
                <w:b/>
                <w:bCs/>
                <w:sz w:val="18"/>
                <w:szCs w:val="18"/>
                <w:lang w:val="en-US"/>
              </w:rPr>
            </w:pPr>
            <w:r>
              <w:rPr>
                <w:rFonts w:cs="Lucida Sans Unicode"/>
                <w:b/>
                <w:bCs/>
                <w:sz w:val="18"/>
                <w:szCs w:val="18"/>
                <w:lang w:val="en-US"/>
              </w:rPr>
              <w:t>991</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3E437A2D" w14:textId="77777777" w:rsidR="00584651" w:rsidRDefault="00584651">
            <w:pPr>
              <w:jc w:val="right"/>
              <w:rPr>
                <w:rFonts w:cs="Lucida Sans Unicode"/>
                <w:b/>
                <w:bCs/>
                <w:sz w:val="18"/>
                <w:szCs w:val="18"/>
                <w:lang w:val="en-US"/>
              </w:rPr>
            </w:pPr>
            <w:r>
              <w:rPr>
                <w:rFonts w:cs="Lucida Sans Unicode"/>
                <w:b/>
                <w:bCs/>
                <w:sz w:val="18"/>
                <w:szCs w:val="18"/>
                <w:lang w:val="en-US"/>
              </w:rPr>
              <w:t>-15</w:t>
            </w:r>
          </w:p>
        </w:tc>
      </w:tr>
      <w:tr w:rsidR="00584651" w14:paraId="67A16F42" w14:textId="77777777" w:rsidTr="003374E5">
        <w:trPr>
          <w:trHeight w:val="264"/>
        </w:trPr>
        <w:tc>
          <w:tcPr>
            <w:tcW w:w="3768" w:type="dxa"/>
            <w:tcBorders>
              <w:top w:val="single" w:sz="4" w:space="0" w:color="auto"/>
              <w:left w:val="single" w:sz="4" w:space="0" w:color="auto"/>
              <w:bottom w:val="single" w:sz="4" w:space="0" w:color="auto"/>
              <w:right w:val="single" w:sz="4" w:space="0" w:color="auto"/>
            </w:tcBorders>
            <w:noWrap/>
            <w:vAlign w:val="bottom"/>
            <w:hideMark/>
          </w:tcPr>
          <w:p w14:paraId="12FD2E8E" w14:textId="77777777" w:rsidR="00584651" w:rsidRDefault="00584651">
            <w:pPr>
              <w:ind w:left="-55"/>
              <w:rPr>
                <w:rFonts w:cs="Lucida Sans Unicode"/>
                <w:b/>
                <w:sz w:val="18"/>
                <w:szCs w:val="18"/>
                <w:lang w:val="en-US"/>
              </w:rPr>
            </w:pPr>
            <w:r>
              <w:rPr>
                <w:b/>
                <w:sz w:val="18"/>
                <w:szCs w:val="18"/>
                <w:lang w:val="en-US"/>
              </w:rPr>
              <w:t>Bereinigtes Konzernergebnis</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15EFAA8C" w14:textId="77777777" w:rsidR="00584651" w:rsidRDefault="00584651">
            <w:pPr>
              <w:jc w:val="right"/>
              <w:rPr>
                <w:rFonts w:cs="Lucida Sans Unicode"/>
                <w:b/>
                <w:bCs/>
                <w:sz w:val="18"/>
                <w:szCs w:val="18"/>
                <w:lang w:val="en-US"/>
              </w:rPr>
            </w:pPr>
            <w:r>
              <w:rPr>
                <w:rFonts w:cs="Lucida Sans Unicode"/>
                <w:b/>
                <w:bCs/>
                <w:sz w:val="18"/>
                <w:szCs w:val="18"/>
                <w:lang w:val="en-US"/>
              </w:rPr>
              <w:t>182</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266E6FBD" w14:textId="77777777" w:rsidR="00584651" w:rsidRDefault="00584651">
            <w:pPr>
              <w:jc w:val="right"/>
              <w:rPr>
                <w:rFonts w:cs="Lucida Sans Unicode"/>
                <w:b/>
                <w:bCs/>
                <w:sz w:val="18"/>
                <w:szCs w:val="18"/>
                <w:lang w:val="en-US"/>
              </w:rPr>
            </w:pPr>
            <w:r>
              <w:rPr>
                <w:rFonts w:cs="Lucida Sans Unicode"/>
                <w:b/>
                <w:bCs/>
                <w:sz w:val="18"/>
                <w:szCs w:val="18"/>
                <w:lang w:val="en-US"/>
              </w:rPr>
              <w:t>205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5C165F2" w14:textId="77777777" w:rsidR="00584651" w:rsidRDefault="00584651">
            <w:pPr>
              <w:jc w:val="right"/>
              <w:rPr>
                <w:rFonts w:cs="Lucida Sans Unicode"/>
                <w:b/>
                <w:bCs/>
                <w:sz w:val="18"/>
                <w:szCs w:val="18"/>
                <w:lang w:val="en-US"/>
              </w:rPr>
            </w:pPr>
            <w:r>
              <w:rPr>
                <w:rFonts w:cs="Lucida Sans Unicode"/>
                <w:b/>
                <w:bCs/>
                <w:sz w:val="18"/>
                <w:szCs w:val="18"/>
                <w:lang w:val="en-US"/>
              </w:rPr>
              <w:t>-11</w:t>
            </w:r>
          </w:p>
        </w:tc>
        <w:tc>
          <w:tcPr>
            <w:tcW w:w="981"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14:paraId="1770EF46" w14:textId="77777777" w:rsidR="00584651" w:rsidRDefault="00584651">
            <w:pPr>
              <w:jc w:val="right"/>
              <w:rPr>
                <w:rFonts w:cs="Lucida Sans Unicode"/>
                <w:b/>
                <w:bCs/>
                <w:sz w:val="18"/>
                <w:szCs w:val="18"/>
                <w:lang w:val="en-US"/>
              </w:rPr>
            </w:pPr>
            <w:r>
              <w:rPr>
                <w:rFonts w:cs="Lucida Sans Unicode"/>
                <w:b/>
                <w:bCs/>
                <w:sz w:val="18"/>
                <w:szCs w:val="18"/>
                <w:lang w:val="en-US"/>
              </w:rPr>
              <w:t>930</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62981BBB" w14:textId="77777777" w:rsidR="00584651" w:rsidRDefault="00584651">
            <w:pPr>
              <w:jc w:val="right"/>
              <w:rPr>
                <w:rFonts w:cs="Lucida Sans Unicode"/>
                <w:b/>
                <w:bCs/>
                <w:sz w:val="18"/>
                <w:szCs w:val="18"/>
                <w:lang w:val="en-US"/>
              </w:rPr>
            </w:pPr>
            <w:r>
              <w:rPr>
                <w:rFonts w:cs="Lucida Sans Unicode"/>
                <w:b/>
                <w:bCs/>
                <w:sz w:val="18"/>
                <w:szCs w:val="18"/>
                <w:lang w:val="en-US"/>
              </w:rPr>
              <w:t>1.128</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006CC3D5" w14:textId="77777777" w:rsidR="00584651" w:rsidRDefault="00584651">
            <w:pPr>
              <w:jc w:val="right"/>
              <w:rPr>
                <w:rFonts w:cs="Lucida Sans Unicode"/>
                <w:b/>
                <w:bCs/>
                <w:sz w:val="18"/>
                <w:szCs w:val="18"/>
                <w:lang w:val="en-US"/>
              </w:rPr>
            </w:pPr>
            <w:r>
              <w:rPr>
                <w:rFonts w:cs="Lucida Sans Unicode"/>
                <w:b/>
                <w:bCs/>
                <w:sz w:val="18"/>
                <w:szCs w:val="18"/>
                <w:lang w:val="en-US"/>
              </w:rPr>
              <w:t>-18</w:t>
            </w:r>
          </w:p>
        </w:tc>
      </w:tr>
    </w:tbl>
    <w:p w14:paraId="37362F9D" w14:textId="77777777" w:rsidR="00584651" w:rsidRDefault="00584651" w:rsidP="00584651">
      <w:pPr>
        <w:outlineLvl w:val="0"/>
        <w:rPr>
          <w:b/>
          <w:sz w:val="20"/>
          <w:lang w:val="en-US"/>
        </w:rPr>
      </w:pPr>
    </w:p>
    <w:p w14:paraId="34CD69E9" w14:textId="77777777" w:rsidR="00584651" w:rsidRDefault="00584651" w:rsidP="00584651">
      <w:pPr>
        <w:outlineLvl w:val="0"/>
        <w:rPr>
          <w:rFonts w:cs="Lucida Sans Unicode"/>
          <w:b/>
          <w:bCs/>
          <w:sz w:val="20"/>
          <w:szCs w:val="20"/>
          <w:lang w:val="en-US"/>
        </w:rPr>
      </w:pPr>
      <w:r>
        <w:rPr>
          <w:b/>
          <w:sz w:val="20"/>
          <w:lang w:val="en-US"/>
        </w:rPr>
        <w:t>Entwicklung in den Segmenten</w:t>
      </w:r>
    </w:p>
    <w:p w14:paraId="4764DB3F" w14:textId="77777777" w:rsidR="00584651" w:rsidRDefault="00584651" w:rsidP="00584651">
      <w:pPr>
        <w:spacing w:line="100" w:lineRule="exact"/>
        <w:outlineLvl w:val="0"/>
        <w:rPr>
          <w:rFonts w:cs="Lucida Sans Unicode"/>
          <w:b/>
          <w:bCs/>
          <w:sz w:val="20"/>
          <w:szCs w:val="20"/>
          <w:lang w:val="en-US"/>
        </w:rPr>
      </w:pPr>
    </w:p>
    <w:tbl>
      <w:tblPr>
        <w:tblW w:w="10059" w:type="dxa"/>
        <w:tblInd w:w="-57" w:type="dxa"/>
        <w:tblCellMar>
          <w:left w:w="70" w:type="dxa"/>
          <w:right w:w="70" w:type="dxa"/>
        </w:tblCellMar>
        <w:tblLook w:val="00A0" w:firstRow="1" w:lastRow="0" w:firstColumn="1" w:lastColumn="0" w:noHBand="0" w:noVBand="0"/>
      </w:tblPr>
      <w:tblGrid>
        <w:gridCol w:w="3866"/>
        <w:gridCol w:w="1006"/>
        <w:gridCol w:w="1163"/>
        <w:gridCol w:w="1006"/>
        <w:gridCol w:w="1006"/>
        <w:gridCol w:w="1006"/>
        <w:gridCol w:w="1006"/>
      </w:tblGrid>
      <w:tr w:rsidR="00584651" w14:paraId="25C80FD4" w14:textId="77777777" w:rsidTr="003374E5">
        <w:trPr>
          <w:trHeight w:val="252"/>
        </w:trPr>
        <w:tc>
          <w:tcPr>
            <w:tcW w:w="3768" w:type="dxa"/>
            <w:tcBorders>
              <w:top w:val="single" w:sz="4" w:space="0" w:color="auto"/>
              <w:left w:val="single" w:sz="4" w:space="0" w:color="auto"/>
              <w:bottom w:val="nil"/>
              <w:right w:val="single" w:sz="4" w:space="0" w:color="auto"/>
            </w:tcBorders>
            <w:noWrap/>
            <w:vAlign w:val="center"/>
            <w:hideMark/>
          </w:tcPr>
          <w:p w14:paraId="033BE44B" w14:textId="77777777" w:rsidR="00584651" w:rsidRDefault="00584651">
            <w:pPr>
              <w:jc w:val="right"/>
              <w:rPr>
                <w:rFonts w:cs="Lucida Sans Unicode"/>
                <w:b/>
                <w:bCs/>
                <w:sz w:val="18"/>
                <w:szCs w:val="18"/>
                <w:lang w:val="en-US"/>
              </w:rPr>
            </w:pPr>
            <w:r>
              <w:rPr>
                <w:b/>
                <w:sz w:val="18"/>
                <w:szCs w:val="18"/>
                <w:lang w:val="en-US"/>
              </w:rPr>
              <w:t> </w:t>
            </w:r>
          </w:p>
        </w:tc>
        <w:tc>
          <w:tcPr>
            <w:tcW w:w="981" w:type="dxa"/>
            <w:gridSpan w:val="3"/>
            <w:tcBorders>
              <w:top w:val="single" w:sz="4" w:space="0" w:color="auto"/>
              <w:left w:val="nil"/>
              <w:bottom w:val="single" w:sz="4" w:space="0" w:color="auto"/>
              <w:right w:val="single" w:sz="4" w:space="0" w:color="000000"/>
            </w:tcBorders>
            <w:noWrap/>
            <w:vAlign w:val="bottom"/>
            <w:hideMark/>
          </w:tcPr>
          <w:p w14:paraId="2BB1D402" w14:textId="77777777" w:rsidR="00584651" w:rsidRDefault="00584651">
            <w:pPr>
              <w:jc w:val="center"/>
              <w:rPr>
                <w:rFonts w:cs="Lucida Sans Unicode"/>
                <w:b/>
                <w:bCs/>
                <w:sz w:val="18"/>
                <w:szCs w:val="18"/>
                <w:lang w:val="en-US"/>
              </w:rPr>
            </w:pPr>
            <w:r>
              <w:rPr>
                <w:b/>
                <w:sz w:val="18"/>
                <w:szCs w:val="18"/>
                <w:lang w:val="en-US"/>
              </w:rPr>
              <w:t>Umsatz</w:t>
            </w:r>
          </w:p>
        </w:tc>
        <w:tc>
          <w:tcPr>
            <w:tcW w:w="981" w:type="dxa"/>
            <w:gridSpan w:val="3"/>
            <w:tcBorders>
              <w:top w:val="single" w:sz="4" w:space="0" w:color="auto"/>
              <w:left w:val="nil"/>
              <w:bottom w:val="single" w:sz="4" w:space="0" w:color="auto"/>
              <w:right w:val="single" w:sz="4" w:space="0" w:color="auto"/>
            </w:tcBorders>
            <w:noWrap/>
            <w:vAlign w:val="bottom"/>
            <w:hideMark/>
          </w:tcPr>
          <w:p w14:paraId="601F247F" w14:textId="77777777" w:rsidR="00584651" w:rsidRDefault="00584651">
            <w:pPr>
              <w:jc w:val="center"/>
              <w:rPr>
                <w:rFonts w:cs="Lucida Sans Unicode"/>
                <w:b/>
                <w:bCs/>
                <w:sz w:val="18"/>
                <w:szCs w:val="18"/>
                <w:lang w:val="en-US"/>
              </w:rPr>
            </w:pPr>
            <w:r>
              <w:rPr>
                <w:b/>
                <w:sz w:val="18"/>
                <w:szCs w:val="18"/>
                <w:lang w:val="en-US"/>
              </w:rPr>
              <w:t>Bereinigtes EBITDA</w:t>
            </w:r>
          </w:p>
        </w:tc>
      </w:tr>
      <w:tr w:rsidR="00584651" w14:paraId="0778D6A6" w14:textId="77777777" w:rsidTr="003374E5">
        <w:trPr>
          <w:trHeight w:val="403"/>
        </w:trPr>
        <w:tc>
          <w:tcPr>
            <w:tcW w:w="3768" w:type="dxa"/>
            <w:tcBorders>
              <w:top w:val="nil"/>
              <w:left w:val="single" w:sz="4" w:space="0" w:color="auto"/>
              <w:bottom w:val="nil"/>
              <w:right w:val="single" w:sz="4" w:space="0" w:color="auto"/>
            </w:tcBorders>
            <w:noWrap/>
            <w:vAlign w:val="center"/>
          </w:tcPr>
          <w:p w14:paraId="0713FCE1" w14:textId="77777777" w:rsidR="00584651" w:rsidRDefault="00584651">
            <w:pPr>
              <w:rPr>
                <w:rFonts w:cs="Lucida Sans Unicode"/>
                <w:b/>
                <w:bCs/>
                <w:sz w:val="18"/>
                <w:szCs w:val="18"/>
                <w:lang w:val="en-US"/>
              </w:rPr>
            </w:pPr>
          </w:p>
        </w:tc>
        <w:tc>
          <w:tcPr>
            <w:tcW w:w="981" w:type="dxa"/>
            <w:tcBorders>
              <w:top w:val="single" w:sz="4" w:space="0" w:color="auto"/>
              <w:left w:val="nil"/>
              <w:bottom w:val="nil"/>
              <w:right w:val="single" w:sz="4" w:space="0" w:color="auto"/>
            </w:tcBorders>
            <w:shd w:val="clear" w:color="auto" w:fill="C0C0C0"/>
            <w:noWrap/>
            <w:vAlign w:val="bottom"/>
            <w:hideMark/>
          </w:tcPr>
          <w:p w14:paraId="24D8F472"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Q4 2016</w:t>
            </w:r>
          </w:p>
        </w:tc>
        <w:tc>
          <w:tcPr>
            <w:tcW w:w="1134" w:type="dxa"/>
            <w:tcBorders>
              <w:top w:val="single" w:sz="4" w:space="0" w:color="auto"/>
              <w:left w:val="single" w:sz="4" w:space="0" w:color="auto"/>
              <w:bottom w:val="nil"/>
              <w:right w:val="single" w:sz="4" w:space="0" w:color="auto"/>
            </w:tcBorders>
            <w:noWrap/>
            <w:vAlign w:val="bottom"/>
            <w:hideMark/>
          </w:tcPr>
          <w:p w14:paraId="32266F70"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Q4 2015</w:t>
            </w:r>
          </w:p>
        </w:tc>
        <w:tc>
          <w:tcPr>
            <w:tcW w:w="981" w:type="dxa"/>
            <w:tcBorders>
              <w:top w:val="single" w:sz="4" w:space="0" w:color="auto"/>
              <w:left w:val="single" w:sz="4" w:space="0" w:color="auto"/>
              <w:bottom w:val="nil"/>
              <w:right w:val="single" w:sz="4" w:space="0" w:color="auto"/>
            </w:tcBorders>
            <w:noWrap/>
            <w:vAlign w:val="bottom"/>
            <w:hideMark/>
          </w:tcPr>
          <w:p w14:paraId="078DF41B"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Veränd.</w:t>
            </w:r>
          </w:p>
        </w:tc>
        <w:tc>
          <w:tcPr>
            <w:tcW w:w="981" w:type="dxa"/>
            <w:tcBorders>
              <w:top w:val="single" w:sz="4" w:space="0" w:color="auto"/>
              <w:left w:val="nil"/>
              <w:bottom w:val="nil"/>
              <w:right w:val="single" w:sz="4" w:space="0" w:color="auto"/>
            </w:tcBorders>
            <w:shd w:val="clear" w:color="auto" w:fill="C0C0C0"/>
            <w:noWrap/>
            <w:vAlign w:val="bottom"/>
            <w:hideMark/>
          </w:tcPr>
          <w:p w14:paraId="6BDA702B"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Q4 2016</w:t>
            </w:r>
          </w:p>
        </w:tc>
        <w:tc>
          <w:tcPr>
            <w:tcW w:w="981" w:type="dxa"/>
            <w:tcBorders>
              <w:top w:val="single" w:sz="4" w:space="0" w:color="auto"/>
              <w:left w:val="single" w:sz="4" w:space="0" w:color="auto"/>
              <w:bottom w:val="nil"/>
              <w:right w:val="single" w:sz="4" w:space="0" w:color="auto"/>
            </w:tcBorders>
            <w:noWrap/>
            <w:vAlign w:val="bottom"/>
            <w:hideMark/>
          </w:tcPr>
          <w:p w14:paraId="360E22F3"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Q4 2015</w:t>
            </w:r>
          </w:p>
        </w:tc>
        <w:tc>
          <w:tcPr>
            <w:tcW w:w="981" w:type="dxa"/>
            <w:tcBorders>
              <w:top w:val="single" w:sz="4" w:space="0" w:color="auto"/>
              <w:left w:val="single" w:sz="4" w:space="0" w:color="auto"/>
              <w:bottom w:val="nil"/>
              <w:right w:val="single" w:sz="4" w:space="0" w:color="auto"/>
            </w:tcBorders>
            <w:noWrap/>
            <w:vAlign w:val="bottom"/>
            <w:hideMark/>
          </w:tcPr>
          <w:p w14:paraId="575F8B88"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Veränd.</w:t>
            </w:r>
          </w:p>
        </w:tc>
      </w:tr>
      <w:tr w:rsidR="00584651" w14:paraId="5ED2AD50" w14:textId="77777777" w:rsidTr="003374E5">
        <w:tc>
          <w:tcPr>
            <w:tcW w:w="3768" w:type="dxa"/>
            <w:tcBorders>
              <w:top w:val="nil"/>
              <w:left w:val="single" w:sz="4" w:space="0" w:color="auto"/>
              <w:bottom w:val="single" w:sz="4" w:space="0" w:color="auto"/>
              <w:right w:val="single" w:sz="4" w:space="0" w:color="auto"/>
            </w:tcBorders>
            <w:noWrap/>
            <w:vAlign w:val="center"/>
            <w:hideMark/>
          </w:tcPr>
          <w:p w14:paraId="41CF438B" w14:textId="77777777" w:rsidR="00584651" w:rsidRDefault="00584651">
            <w:pPr>
              <w:rPr>
                <w:rFonts w:cs="Lucida Sans Unicode"/>
                <w:b/>
                <w:bCs/>
                <w:sz w:val="18"/>
                <w:szCs w:val="18"/>
                <w:lang w:val="en-US"/>
              </w:rPr>
            </w:pPr>
            <w:r>
              <w:rPr>
                <w:b/>
                <w:sz w:val="18"/>
                <w:szCs w:val="18"/>
                <w:lang w:val="en-US"/>
              </w:rPr>
              <w:t> </w:t>
            </w:r>
          </w:p>
        </w:tc>
        <w:tc>
          <w:tcPr>
            <w:tcW w:w="981" w:type="dxa"/>
            <w:tcBorders>
              <w:top w:val="nil"/>
              <w:left w:val="nil"/>
              <w:bottom w:val="single" w:sz="4" w:space="0" w:color="auto"/>
              <w:right w:val="single" w:sz="4" w:space="0" w:color="auto"/>
            </w:tcBorders>
            <w:shd w:val="clear" w:color="auto" w:fill="C0C0C0"/>
            <w:vAlign w:val="center"/>
            <w:hideMark/>
          </w:tcPr>
          <w:p w14:paraId="475F0FE6"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Mio. Euro</w:t>
            </w:r>
          </w:p>
        </w:tc>
        <w:tc>
          <w:tcPr>
            <w:tcW w:w="1134" w:type="dxa"/>
            <w:tcBorders>
              <w:top w:val="nil"/>
              <w:left w:val="single" w:sz="4" w:space="0" w:color="auto"/>
              <w:bottom w:val="single" w:sz="4" w:space="0" w:color="auto"/>
              <w:right w:val="single" w:sz="4" w:space="0" w:color="auto"/>
            </w:tcBorders>
            <w:vAlign w:val="center"/>
            <w:hideMark/>
          </w:tcPr>
          <w:p w14:paraId="24F1D3AE"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Mio. Euro</w:t>
            </w:r>
          </w:p>
        </w:tc>
        <w:tc>
          <w:tcPr>
            <w:tcW w:w="981" w:type="dxa"/>
            <w:tcBorders>
              <w:top w:val="nil"/>
              <w:left w:val="single" w:sz="4" w:space="0" w:color="auto"/>
              <w:bottom w:val="single" w:sz="4" w:space="0" w:color="auto"/>
              <w:right w:val="single" w:sz="4" w:space="0" w:color="auto"/>
            </w:tcBorders>
            <w:vAlign w:val="center"/>
            <w:hideMark/>
          </w:tcPr>
          <w:p w14:paraId="6C528DFA"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in %</w:t>
            </w:r>
          </w:p>
        </w:tc>
        <w:tc>
          <w:tcPr>
            <w:tcW w:w="981" w:type="dxa"/>
            <w:tcBorders>
              <w:top w:val="nil"/>
              <w:left w:val="nil"/>
              <w:bottom w:val="single" w:sz="4" w:space="0" w:color="auto"/>
              <w:right w:val="single" w:sz="4" w:space="0" w:color="auto"/>
            </w:tcBorders>
            <w:shd w:val="clear" w:color="auto" w:fill="C0C0C0"/>
            <w:vAlign w:val="center"/>
            <w:hideMark/>
          </w:tcPr>
          <w:p w14:paraId="361DB2DF"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Mio. Euro</w:t>
            </w:r>
          </w:p>
        </w:tc>
        <w:tc>
          <w:tcPr>
            <w:tcW w:w="981" w:type="dxa"/>
            <w:tcBorders>
              <w:top w:val="nil"/>
              <w:left w:val="single" w:sz="4" w:space="0" w:color="auto"/>
              <w:bottom w:val="single" w:sz="4" w:space="0" w:color="auto"/>
              <w:right w:val="single" w:sz="4" w:space="0" w:color="auto"/>
            </w:tcBorders>
            <w:vAlign w:val="center"/>
            <w:hideMark/>
          </w:tcPr>
          <w:p w14:paraId="2C63E303"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Mio. Euro</w:t>
            </w:r>
          </w:p>
        </w:tc>
        <w:tc>
          <w:tcPr>
            <w:tcW w:w="981" w:type="dxa"/>
            <w:tcBorders>
              <w:top w:val="nil"/>
              <w:left w:val="single" w:sz="4" w:space="0" w:color="auto"/>
              <w:bottom w:val="single" w:sz="4" w:space="0" w:color="auto"/>
              <w:right w:val="single" w:sz="4" w:space="0" w:color="auto"/>
            </w:tcBorders>
            <w:vAlign w:val="center"/>
            <w:hideMark/>
          </w:tcPr>
          <w:p w14:paraId="0F08C74E"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in %</w:t>
            </w:r>
          </w:p>
        </w:tc>
      </w:tr>
      <w:tr w:rsidR="00584651" w14:paraId="63184147" w14:textId="77777777" w:rsidTr="003374E5">
        <w:trPr>
          <w:trHeight w:val="279"/>
        </w:trPr>
        <w:tc>
          <w:tcPr>
            <w:tcW w:w="3768" w:type="dxa"/>
            <w:tcBorders>
              <w:top w:val="single" w:sz="4" w:space="0" w:color="auto"/>
              <w:left w:val="single" w:sz="4" w:space="0" w:color="auto"/>
              <w:bottom w:val="single" w:sz="4" w:space="0" w:color="auto"/>
              <w:right w:val="single" w:sz="4" w:space="0" w:color="auto"/>
            </w:tcBorders>
            <w:noWrap/>
            <w:vAlign w:val="center"/>
            <w:hideMark/>
          </w:tcPr>
          <w:p w14:paraId="534FB5D2" w14:textId="77777777" w:rsidR="00584651" w:rsidRDefault="00584651">
            <w:pPr>
              <w:rPr>
                <w:rFonts w:cs="Lucida Sans Unicode"/>
                <w:sz w:val="18"/>
                <w:szCs w:val="18"/>
                <w:lang w:val="en-US"/>
              </w:rPr>
            </w:pPr>
            <w:r>
              <w:rPr>
                <w:sz w:val="18"/>
                <w:szCs w:val="18"/>
                <w:lang w:val="en-US"/>
              </w:rPr>
              <w:t>Nutrition &amp; Care</w:t>
            </w:r>
          </w:p>
        </w:tc>
        <w:tc>
          <w:tcPr>
            <w:tcW w:w="981" w:type="dxa"/>
            <w:tcBorders>
              <w:top w:val="single" w:sz="4" w:space="0" w:color="auto"/>
              <w:left w:val="nil"/>
              <w:bottom w:val="single" w:sz="4" w:space="0" w:color="auto"/>
              <w:right w:val="single" w:sz="4" w:space="0" w:color="auto"/>
            </w:tcBorders>
            <w:shd w:val="clear" w:color="auto" w:fill="C0C0C0"/>
            <w:noWrap/>
            <w:vAlign w:val="center"/>
            <w:hideMark/>
          </w:tcPr>
          <w:p w14:paraId="33FF1860" w14:textId="77777777" w:rsidR="00584651" w:rsidRDefault="00584651">
            <w:pPr>
              <w:jc w:val="right"/>
              <w:rPr>
                <w:rFonts w:cs="Lucida Sans Unicode"/>
                <w:sz w:val="18"/>
                <w:szCs w:val="18"/>
                <w:lang w:val="en-US"/>
              </w:rPr>
            </w:pPr>
            <w:r>
              <w:rPr>
                <w:rFonts w:cs="Lucida Sans Unicode"/>
                <w:sz w:val="18"/>
                <w:szCs w:val="18"/>
                <w:lang w:val="en-US"/>
              </w:rPr>
              <w:t>1.093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C56E19B" w14:textId="77777777" w:rsidR="00584651" w:rsidRDefault="00584651">
            <w:pPr>
              <w:jc w:val="right"/>
              <w:rPr>
                <w:rFonts w:cs="Lucida Sans Unicode"/>
                <w:sz w:val="18"/>
                <w:szCs w:val="18"/>
                <w:lang w:val="en-US"/>
              </w:rPr>
            </w:pPr>
            <w:r>
              <w:rPr>
                <w:rFonts w:cs="Lucida Sans Unicode"/>
                <w:sz w:val="18"/>
                <w:szCs w:val="18"/>
                <w:lang w:val="en-US"/>
              </w:rPr>
              <w:t>1.208</w:t>
            </w:r>
          </w:p>
        </w:tc>
        <w:tc>
          <w:tcPr>
            <w:tcW w:w="981" w:type="dxa"/>
            <w:tcBorders>
              <w:top w:val="nil"/>
              <w:left w:val="single" w:sz="4" w:space="0" w:color="auto"/>
              <w:bottom w:val="single" w:sz="4" w:space="0" w:color="auto"/>
              <w:right w:val="single" w:sz="4" w:space="0" w:color="auto"/>
            </w:tcBorders>
            <w:noWrap/>
            <w:vAlign w:val="bottom"/>
            <w:hideMark/>
          </w:tcPr>
          <w:p w14:paraId="0C19E322" w14:textId="77777777" w:rsidR="00584651" w:rsidRDefault="00584651">
            <w:pPr>
              <w:jc w:val="right"/>
              <w:rPr>
                <w:rFonts w:cs="Lucida Sans Unicode"/>
                <w:sz w:val="18"/>
                <w:szCs w:val="18"/>
                <w:lang w:val="en-US"/>
              </w:rPr>
            </w:pPr>
            <w:r>
              <w:rPr>
                <w:rFonts w:cs="Lucida Sans Unicode"/>
                <w:sz w:val="18"/>
                <w:szCs w:val="18"/>
                <w:lang w:val="en-US"/>
              </w:rPr>
              <w:t>-10</w:t>
            </w:r>
          </w:p>
        </w:tc>
        <w:tc>
          <w:tcPr>
            <w:tcW w:w="981" w:type="dxa"/>
            <w:tcBorders>
              <w:top w:val="single" w:sz="4" w:space="0" w:color="auto"/>
              <w:left w:val="nil"/>
              <w:bottom w:val="single" w:sz="4" w:space="0" w:color="auto"/>
              <w:right w:val="single" w:sz="4" w:space="0" w:color="auto"/>
            </w:tcBorders>
            <w:shd w:val="clear" w:color="auto" w:fill="C0C0C0"/>
            <w:noWrap/>
            <w:vAlign w:val="center"/>
            <w:hideMark/>
          </w:tcPr>
          <w:p w14:paraId="582B5170" w14:textId="77777777" w:rsidR="00584651" w:rsidRDefault="00584651">
            <w:pPr>
              <w:jc w:val="right"/>
              <w:rPr>
                <w:rFonts w:cs="Lucida Sans Unicode"/>
                <w:sz w:val="18"/>
                <w:szCs w:val="18"/>
                <w:lang w:val="en-US"/>
              </w:rPr>
            </w:pPr>
            <w:r>
              <w:rPr>
                <w:rFonts w:cs="Lucida Sans Unicode"/>
                <w:sz w:val="18"/>
                <w:szCs w:val="18"/>
                <w:lang w:val="en-US"/>
              </w:rPr>
              <w:t>209</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10E01779" w14:textId="77777777" w:rsidR="00584651" w:rsidRDefault="00584651">
            <w:pPr>
              <w:jc w:val="right"/>
              <w:rPr>
                <w:rFonts w:cs="Lucida Sans Unicode"/>
                <w:sz w:val="18"/>
                <w:szCs w:val="18"/>
                <w:lang w:val="en-US"/>
              </w:rPr>
            </w:pPr>
            <w:r>
              <w:rPr>
                <w:rFonts w:cs="Lucida Sans Unicode"/>
                <w:sz w:val="18"/>
                <w:szCs w:val="18"/>
                <w:lang w:val="en-US"/>
              </w:rPr>
              <w:t>319</w:t>
            </w:r>
          </w:p>
        </w:tc>
        <w:tc>
          <w:tcPr>
            <w:tcW w:w="981" w:type="dxa"/>
            <w:tcBorders>
              <w:top w:val="nil"/>
              <w:left w:val="single" w:sz="4" w:space="0" w:color="auto"/>
              <w:bottom w:val="single" w:sz="4" w:space="0" w:color="auto"/>
              <w:right w:val="single" w:sz="4" w:space="0" w:color="auto"/>
            </w:tcBorders>
            <w:noWrap/>
            <w:vAlign w:val="bottom"/>
            <w:hideMark/>
          </w:tcPr>
          <w:p w14:paraId="7FF13201" w14:textId="77777777" w:rsidR="00584651" w:rsidRDefault="00584651">
            <w:pPr>
              <w:jc w:val="right"/>
              <w:rPr>
                <w:rFonts w:cs="Lucida Sans Unicode"/>
                <w:sz w:val="18"/>
                <w:szCs w:val="18"/>
                <w:lang w:val="en-US"/>
              </w:rPr>
            </w:pPr>
            <w:r>
              <w:rPr>
                <w:rFonts w:cs="Lucida Sans Unicode"/>
                <w:sz w:val="18"/>
                <w:szCs w:val="18"/>
                <w:lang w:val="en-US"/>
              </w:rPr>
              <w:t>-34</w:t>
            </w:r>
          </w:p>
        </w:tc>
      </w:tr>
      <w:tr w:rsidR="00584651" w14:paraId="2507BFAD" w14:textId="77777777" w:rsidTr="003374E5">
        <w:trPr>
          <w:trHeight w:val="279"/>
        </w:trPr>
        <w:tc>
          <w:tcPr>
            <w:tcW w:w="3768" w:type="dxa"/>
            <w:tcBorders>
              <w:top w:val="nil"/>
              <w:left w:val="single" w:sz="4" w:space="0" w:color="auto"/>
              <w:bottom w:val="single" w:sz="4" w:space="0" w:color="auto"/>
              <w:right w:val="single" w:sz="4" w:space="0" w:color="auto"/>
            </w:tcBorders>
            <w:noWrap/>
            <w:vAlign w:val="center"/>
            <w:hideMark/>
          </w:tcPr>
          <w:p w14:paraId="348D36CE" w14:textId="77777777" w:rsidR="00584651" w:rsidRDefault="00584651">
            <w:pPr>
              <w:rPr>
                <w:rFonts w:cs="Lucida Sans Unicode"/>
                <w:sz w:val="18"/>
                <w:szCs w:val="18"/>
                <w:lang w:val="en-US"/>
              </w:rPr>
            </w:pPr>
            <w:r>
              <w:rPr>
                <w:sz w:val="18"/>
                <w:szCs w:val="18"/>
                <w:lang w:val="en-US"/>
              </w:rPr>
              <w:t>Resource Efficiency</w:t>
            </w:r>
          </w:p>
        </w:tc>
        <w:tc>
          <w:tcPr>
            <w:tcW w:w="981" w:type="dxa"/>
            <w:tcBorders>
              <w:top w:val="nil"/>
              <w:left w:val="nil"/>
              <w:bottom w:val="single" w:sz="4" w:space="0" w:color="auto"/>
              <w:right w:val="single" w:sz="4" w:space="0" w:color="auto"/>
            </w:tcBorders>
            <w:shd w:val="clear" w:color="auto" w:fill="C0C0C0"/>
            <w:noWrap/>
            <w:vAlign w:val="center"/>
            <w:hideMark/>
          </w:tcPr>
          <w:p w14:paraId="287C59E6" w14:textId="77777777" w:rsidR="00584651" w:rsidRDefault="00584651">
            <w:pPr>
              <w:jc w:val="right"/>
              <w:rPr>
                <w:rFonts w:cs="Lucida Sans Unicode"/>
                <w:sz w:val="18"/>
                <w:szCs w:val="18"/>
                <w:lang w:val="en-US"/>
              </w:rPr>
            </w:pPr>
            <w:r>
              <w:rPr>
                <w:rFonts w:cs="Lucida Sans Unicode"/>
                <w:sz w:val="18"/>
                <w:szCs w:val="18"/>
                <w:lang w:val="en-US"/>
              </w:rPr>
              <w:t>1.081</w:t>
            </w:r>
          </w:p>
        </w:tc>
        <w:tc>
          <w:tcPr>
            <w:tcW w:w="1134" w:type="dxa"/>
            <w:tcBorders>
              <w:top w:val="nil"/>
              <w:left w:val="single" w:sz="4" w:space="0" w:color="auto"/>
              <w:bottom w:val="single" w:sz="4" w:space="0" w:color="auto"/>
              <w:right w:val="single" w:sz="4" w:space="0" w:color="auto"/>
            </w:tcBorders>
            <w:noWrap/>
            <w:vAlign w:val="center"/>
            <w:hideMark/>
          </w:tcPr>
          <w:p w14:paraId="459196F5" w14:textId="77777777" w:rsidR="00584651" w:rsidRDefault="00584651">
            <w:pPr>
              <w:jc w:val="right"/>
              <w:rPr>
                <w:rFonts w:cs="Lucida Sans Unicode"/>
                <w:sz w:val="18"/>
                <w:szCs w:val="18"/>
                <w:lang w:val="en-US"/>
              </w:rPr>
            </w:pPr>
            <w:r>
              <w:rPr>
                <w:rFonts w:cs="Lucida Sans Unicode"/>
                <w:sz w:val="18"/>
                <w:szCs w:val="18"/>
                <w:lang w:val="en-US"/>
              </w:rPr>
              <w:t>1.001</w:t>
            </w:r>
          </w:p>
        </w:tc>
        <w:tc>
          <w:tcPr>
            <w:tcW w:w="981" w:type="dxa"/>
            <w:tcBorders>
              <w:top w:val="nil"/>
              <w:left w:val="single" w:sz="4" w:space="0" w:color="auto"/>
              <w:bottom w:val="single" w:sz="4" w:space="0" w:color="auto"/>
              <w:right w:val="single" w:sz="4" w:space="0" w:color="auto"/>
            </w:tcBorders>
            <w:noWrap/>
            <w:vAlign w:val="bottom"/>
            <w:hideMark/>
          </w:tcPr>
          <w:p w14:paraId="7D591D00" w14:textId="77777777" w:rsidR="00584651" w:rsidRDefault="00584651">
            <w:pPr>
              <w:jc w:val="right"/>
              <w:rPr>
                <w:rFonts w:cs="Lucida Sans Unicode"/>
                <w:sz w:val="18"/>
                <w:szCs w:val="18"/>
                <w:lang w:val="en-US"/>
              </w:rPr>
            </w:pPr>
            <w:r>
              <w:rPr>
                <w:rFonts w:cs="Lucida Sans Unicode"/>
                <w:sz w:val="18"/>
                <w:szCs w:val="18"/>
                <w:lang w:val="en-US"/>
              </w:rPr>
              <w:t>8</w:t>
            </w:r>
          </w:p>
        </w:tc>
        <w:tc>
          <w:tcPr>
            <w:tcW w:w="981" w:type="dxa"/>
            <w:tcBorders>
              <w:top w:val="nil"/>
              <w:left w:val="nil"/>
              <w:bottom w:val="single" w:sz="4" w:space="0" w:color="auto"/>
              <w:right w:val="single" w:sz="4" w:space="0" w:color="auto"/>
            </w:tcBorders>
            <w:shd w:val="clear" w:color="auto" w:fill="C0C0C0"/>
            <w:noWrap/>
            <w:vAlign w:val="center"/>
            <w:hideMark/>
          </w:tcPr>
          <w:p w14:paraId="5EBA8DB2" w14:textId="77777777" w:rsidR="00584651" w:rsidRDefault="00584651">
            <w:pPr>
              <w:jc w:val="right"/>
              <w:rPr>
                <w:rFonts w:cs="Lucida Sans Unicode"/>
                <w:sz w:val="18"/>
                <w:szCs w:val="18"/>
                <w:lang w:val="en-US"/>
              </w:rPr>
            </w:pPr>
            <w:r>
              <w:rPr>
                <w:rFonts w:cs="Lucida Sans Unicode"/>
                <w:sz w:val="18"/>
                <w:szCs w:val="18"/>
                <w:lang w:val="en-US"/>
              </w:rPr>
              <w:t>189</w:t>
            </w:r>
          </w:p>
        </w:tc>
        <w:tc>
          <w:tcPr>
            <w:tcW w:w="981" w:type="dxa"/>
            <w:tcBorders>
              <w:top w:val="nil"/>
              <w:left w:val="single" w:sz="4" w:space="0" w:color="auto"/>
              <w:bottom w:val="single" w:sz="4" w:space="0" w:color="auto"/>
              <w:right w:val="single" w:sz="4" w:space="0" w:color="auto"/>
            </w:tcBorders>
            <w:noWrap/>
            <w:vAlign w:val="center"/>
            <w:hideMark/>
          </w:tcPr>
          <w:p w14:paraId="35DAD9E1" w14:textId="77777777" w:rsidR="00584651" w:rsidRDefault="00584651">
            <w:pPr>
              <w:jc w:val="right"/>
              <w:rPr>
                <w:rFonts w:cs="Lucida Sans Unicode"/>
                <w:sz w:val="18"/>
                <w:szCs w:val="18"/>
                <w:lang w:val="en-US"/>
              </w:rPr>
            </w:pPr>
            <w:r>
              <w:rPr>
                <w:rFonts w:cs="Lucida Sans Unicode"/>
                <w:sz w:val="18"/>
                <w:szCs w:val="18"/>
                <w:lang w:val="en-US"/>
              </w:rPr>
              <w:t>182</w:t>
            </w:r>
          </w:p>
        </w:tc>
        <w:tc>
          <w:tcPr>
            <w:tcW w:w="981" w:type="dxa"/>
            <w:tcBorders>
              <w:top w:val="nil"/>
              <w:left w:val="single" w:sz="4" w:space="0" w:color="auto"/>
              <w:bottom w:val="single" w:sz="4" w:space="0" w:color="auto"/>
              <w:right w:val="single" w:sz="4" w:space="0" w:color="auto"/>
            </w:tcBorders>
            <w:noWrap/>
            <w:vAlign w:val="bottom"/>
            <w:hideMark/>
          </w:tcPr>
          <w:p w14:paraId="27E55C04" w14:textId="77777777" w:rsidR="00584651" w:rsidRDefault="00584651">
            <w:pPr>
              <w:jc w:val="right"/>
              <w:rPr>
                <w:rFonts w:cs="Lucida Sans Unicode"/>
                <w:sz w:val="18"/>
                <w:szCs w:val="18"/>
                <w:lang w:val="en-US"/>
              </w:rPr>
            </w:pPr>
            <w:r>
              <w:rPr>
                <w:rFonts w:cs="Lucida Sans Unicode"/>
                <w:sz w:val="18"/>
                <w:szCs w:val="18"/>
                <w:lang w:val="en-US"/>
              </w:rPr>
              <w:t>4</w:t>
            </w:r>
          </w:p>
        </w:tc>
      </w:tr>
      <w:tr w:rsidR="00584651" w14:paraId="61F19AEE" w14:textId="77777777" w:rsidTr="003374E5">
        <w:trPr>
          <w:trHeight w:val="279"/>
        </w:trPr>
        <w:tc>
          <w:tcPr>
            <w:tcW w:w="3768" w:type="dxa"/>
            <w:tcBorders>
              <w:top w:val="nil"/>
              <w:left w:val="single" w:sz="4" w:space="0" w:color="auto"/>
              <w:bottom w:val="single" w:sz="4" w:space="0" w:color="auto"/>
              <w:right w:val="single" w:sz="4" w:space="0" w:color="auto"/>
            </w:tcBorders>
            <w:noWrap/>
            <w:vAlign w:val="center"/>
            <w:hideMark/>
          </w:tcPr>
          <w:p w14:paraId="3551087F" w14:textId="77777777" w:rsidR="00584651" w:rsidRDefault="00584651">
            <w:pPr>
              <w:rPr>
                <w:rFonts w:cs="Lucida Sans Unicode"/>
                <w:sz w:val="18"/>
                <w:szCs w:val="18"/>
                <w:lang w:val="en-US"/>
              </w:rPr>
            </w:pPr>
            <w:r>
              <w:rPr>
                <w:sz w:val="18"/>
                <w:szCs w:val="18"/>
                <w:lang w:val="en-US"/>
              </w:rPr>
              <w:t>Performance Materials</w:t>
            </w:r>
          </w:p>
        </w:tc>
        <w:tc>
          <w:tcPr>
            <w:tcW w:w="981" w:type="dxa"/>
            <w:tcBorders>
              <w:top w:val="nil"/>
              <w:left w:val="nil"/>
              <w:bottom w:val="single" w:sz="4" w:space="0" w:color="auto"/>
              <w:right w:val="single" w:sz="4" w:space="0" w:color="auto"/>
            </w:tcBorders>
            <w:shd w:val="clear" w:color="auto" w:fill="C0C0C0"/>
            <w:noWrap/>
            <w:vAlign w:val="center"/>
            <w:hideMark/>
          </w:tcPr>
          <w:p w14:paraId="00BFAFE8" w14:textId="77777777" w:rsidR="00584651" w:rsidRDefault="00584651">
            <w:pPr>
              <w:jc w:val="right"/>
              <w:rPr>
                <w:rFonts w:cs="Lucida Sans Unicode"/>
                <w:sz w:val="18"/>
                <w:szCs w:val="18"/>
                <w:lang w:val="en-US"/>
              </w:rPr>
            </w:pPr>
            <w:r>
              <w:rPr>
                <w:rFonts w:cs="Lucida Sans Unicode"/>
                <w:sz w:val="18"/>
                <w:szCs w:val="18"/>
                <w:lang w:val="en-US"/>
              </w:rPr>
              <w:t>846</w:t>
            </w:r>
          </w:p>
        </w:tc>
        <w:tc>
          <w:tcPr>
            <w:tcW w:w="1134" w:type="dxa"/>
            <w:tcBorders>
              <w:top w:val="nil"/>
              <w:left w:val="single" w:sz="4" w:space="0" w:color="auto"/>
              <w:bottom w:val="single" w:sz="4" w:space="0" w:color="auto"/>
              <w:right w:val="single" w:sz="4" w:space="0" w:color="auto"/>
            </w:tcBorders>
            <w:noWrap/>
            <w:vAlign w:val="center"/>
            <w:hideMark/>
          </w:tcPr>
          <w:p w14:paraId="54CBFA7F" w14:textId="77777777" w:rsidR="00584651" w:rsidRDefault="00584651">
            <w:pPr>
              <w:jc w:val="right"/>
              <w:rPr>
                <w:rFonts w:cs="Lucida Sans Unicode"/>
                <w:sz w:val="18"/>
                <w:szCs w:val="18"/>
                <w:lang w:val="en-US"/>
              </w:rPr>
            </w:pPr>
            <w:r>
              <w:rPr>
                <w:rFonts w:cs="Lucida Sans Unicode"/>
                <w:sz w:val="18"/>
                <w:szCs w:val="18"/>
                <w:lang w:val="en-US"/>
              </w:rPr>
              <w:t>789</w:t>
            </w:r>
          </w:p>
        </w:tc>
        <w:tc>
          <w:tcPr>
            <w:tcW w:w="981" w:type="dxa"/>
            <w:tcBorders>
              <w:top w:val="nil"/>
              <w:left w:val="single" w:sz="4" w:space="0" w:color="auto"/>
              <w:bottom w:val="single" w:sz="4" w:space="0" w:color="auto"/>
              <w:right w:val="single" w:sz="4" w:space="0" w:color="auto"/>
            </w:tcBorders>
            <w:noWrap/>
            <w:vAlign w:val="bottom"/>
            <w:hideMark/>
          </w:tcPr>
          <w:p w14:paraId="3055C237" w14:textId="77777777" w:rsidR="00584651" w:rsidRDefault="00584651">
            <w:pPr>
              <w:jc w:val="right"/>
              <w:rPr>
                <w:rFonts w:cs="Lucida Sans Unicode"/>
                <w:sz w:val="18"/>
                <w:szCs w:val="18"/>
                <w:lang w:val="en-US"/>
              </w:rPr>
            </w:pPr>
            <w:r>
              <w:rPr>
                <w:rFonts w:cs="Lucida Sans Unicode"/>
                <w:sz w:val="18"/>
                <w:szCs w:val="18"/>
                <w:lang w:val="en-US"/>
              </w:rPr>
              <w:t>7</w:t>
            </w:r>
          </w:p>
        </w:tc>
        <w:tc>
          <w:tcPr>
            <w:tcW w:w="981" w:type="dxa"/>
            <w:tcBorders>
              <w:top w:val="nil"/>
              <w:left w:val="nil"/>
              <w:bottom w:val="single" w:sz="4" w:space="0" w:color="auto"/>
              <w:right w:val="single" w:sz="4" w:space="0" w:color="auto"/>
            </w:tcBorders>
            <w:shd w:val="clear" w:color="auto" w:fill="C0C0C0"/>
            <w:noWrap/>
            <w:vAlign w:val="center"/>
            <w:hideMark/>
          </w:tcPr>
          <w:p w14:paraId="65088262" w14:textId="77777777" w:rsidR="00584651" w:rsidRDefault="00584651">
            <w:pPr>
              <w:jc w:val="right"/>
              <w:rPr>
                <w:rFonts w:cs="Lucida Sans Unicode"/>
                <w:sz w:val="18"/>
                <w:szCs w:val="18"/>
                <w:lang w:val="en-US"/>
              </w:rPr>
            </w:pPr>
            <w:r>
              <w:rPr>
                <w:rFonts w:cs="Lucida Sans Unicode"/>
                <w:sz w:val="18"/>
                <w:szCs w:val="18"/>
                <w:lang w:val="en-US"/>
              </w:rPr>
              <w:t>98</w:t>
            </w:r>
          </w:p>
        </w:tc>
        <w:tc>
          <w:tcPr>
            <w:tcW w:w="981" w:type="dxa"/>
            <w:tcBorders>
              <w:top w:val="nil"/>
              <w:left w:val="single" w:sz="4" w:space="0" w:color="auto"/>
              <w:bottom w:val="single" w:sz="4" w:space="0" w:color="auto"/>
              <w:right w:val="single" w:sz="4" w:space="0" w:color="auto"/>
            </w:tcBorders>
            <w:noWrap/>
            <w:vAlign w:val="center"/>
            <w:hideMark/>
          </w:tcPr>
          <w:p w14:paraId="127ED19B" w14:textId="77777777" w:rsidR="00584651" w:rsidRDefault="00584651">
            <w:pPr>
              <w:jc w:val="right"/>
              <w:rPr>
                <w:rFonts w:cs="Lucida Sans Unicode"/>
                <w:sz w:val="18"/>
                <w:szCs w:val="18"/>
                <w:lang w:val="en-US"/>
              </w:rPr>
            </w:pPr>
            <w:r>
              <w:rPr>
                <w:rFonts w:cs="Lucida Sans Unicode"/>
                <w:sz w:val="18"/>
                <w:szCs w:val="18"/>
                <w:lang w:val="en-US"/>
              </w:rPr>
              <w:t>62</w:t>
            </w:r>
          </w:p>
        </w:tc>
        <w:tc>
          <w:tcPr>
            <w:tcW w:w="981" w:type="dxa"/>
            <w:tcBorders>
              <w:top w:val="nil"/>
              <w:left w:val="single" w:sz="4" w:space="0" w:color="auto"/>
              <w:bottom w:val="single" w:sz="4" w:space="0" w:color="auto"/>
              <w:right w:val="single" w:sz="4" w:space="0" w:color="auto"/>
            </w:tcBorders>
            <w:noWrap/>
            <w:vAlign w:val="bottom"/>
            <w:hideMark/>
          </w:tcPr>
          <w:p w14:paraId="263BDF48" w14:textId="77777777" w:rsidR="00584651" w:rsidRDefault="00584651">
            <w:pPr>
              <w:jc w:val="right"/>
              <w:rPr>
                <w:rFonts w:cs="Lucida Sans Unicode"/>
                <w:sz w:val="18"/>
                <w:szCs w:val="18"/>
                <w:lang w:val="en-US"/>
              </w:rPr>
            </w:pPr>
            <w:r>
              <w:rPr>
                <w:rFonts w:cs="Lucida Sans Unicode"/>
                <w:sz w:val="18"/>
                <w:szCs w:val="18"/>
                <w:lang w:val="en-US"/>
              </w:rPr>
              <w:t>58</w:t>
            </w:r>
          </w:p>
        </w:tc>
      </w:tr>
      <w:tr w:rsidR="00584651" w14:paraId="776CD73C" w14:textId="77777777" w:rsidTr="003374E5">
        <w:trPr>
          <w:trHeight w:val="279"/>
        </w:trPr>
        <w:tc>
          <w:tcPr>
            <w:tcW w:w="3768" w:type="dxa"/>
            <w:tcBorders>
              <w:top w:val="nil"/>
              <w:left w:val="single" w:sz="4" w:space="0" w:color="auto"/>
              <w:bottom w:val="single" w:sz="4" w:space="0" w:color="auto"/>
              <w:right w:val="single" w:sz="4" w:space="0" w:color="auto"/>
            </w:tcBorders>
            <w:noWrap/>
            <w:vAlign w:val="center"/>
            <w:hideMark/>
          </w:tcPr>
          <w:p w14:paraId="0CD18B22" w14:textId="77777777" w:rsidR="00584651" w:rsidRDefault="00584651">
            <w:pPr>
              <w:rPr>
                <w:rFonts w:cs="Lucida Sans Unicode"/>
                <w:sz w:val="18"/>
                <w:szCs w:val="18"/>
                <w:lang w:val="en-US"/>
              </w:rPr>
            </w:pPr>
            <w:r>
              <w:rPr>
                <w:sz w:val="18"/>
                <w:szCs w:val="18"/>
                <w:lang w:val="en-US"/>
              </w:rPr>
              <w:t>Services</w:t>
            </w:r>
          </w:p>
        </w:tc>
        <w:tc>
          <w:tcPr>
            <w:tcW w:w="981" w:type="dxa"/>
            <w:tcBorders>
              <w:top w:val="nil"/>
              <w:left w:val="nil"/>
              <w:bottom w:val="single" w:sz="4" w:space="0" w:color="auto"/>
              <w:right w:val="single" w:sz="4" w:space="0" w:color="auto"/>
            </w:tcBorders>
            <w:shd w:val="clear" w:color="auto" w:fill="C0C0C0"/>
            <w:noWrap/>
            <w:vAlign w:val="center"/>
            <w:hideMark/>
          </w:tcPr>
          <w:p w14:paraId="5DD355B1" w14:textId="77777777" w:rsidR="00584651" w:rsidRDefault="00584651">
            <w:pPr>
              <w:jc w:val="right"/>
              <w:rPr>
                <w:rFonts w:cs="Lucida Sans Unicode"/>
                <w:sz w:val="18"/>
                <w:szCs w:val="18"/>
                <w:lang w:val="en-US"/>
              </w:rPr>
            </w:pPr>
            <w:r>
              <w:rPr>
                <w:rFonts w:cs="Lucida Sans Unicode"/>
                <w:sz w:val="18"/>
                <w:szCs w:val="18"/>
                <w:lang w:val="en-US"/>
              </w:rPr>
              <w:t>180</w:t>
            </w:r>
          </w:p>
        </w:tc>
        <w:tc>
          <w:tcPr>
            <w:tcW w:w="1134" w:type="dxa"/>
            <w:tcBorders>
              <w:top w:val="nil"/>
              <w:left w:val="single" w:sz="4" w:space="0" w:color="auto"/>
              <w:bottom w:val="single" w:sz="4" w:space="0" w:color="auto"/>
              <w:right w:val="single" w:sz="4" w:space="0" w:color="auto"/>
            </w:tcBorders>
            <w:noWrap/>
            <w:vAlign w:val="center"/>
            <w:hideMark/>
          </w:tcPr>
          <w:p w14:paraId="0F8B45F0" w14:textId="77777777" w:rsidR="00584651" w:rsidRDefault="00584651">
            <w:pPr>
              <w:jc w:val="right"/>
              <w:rPr>
                <w:rFonts w:cs="Lucida Sans Unicode"/>
                <w:sz w:val="18"/>
                <w:szCs w:val="18"/>
                <w:lang w:val="en-US"/>
              </w:rPr>
            </w:pPr>
            <w:r>
              <w:rPr>
                <w:rFonts w:cs="Lucida Sans Unicode"/>
                <w:sz w:val="18"/>
                <w:szCs w:val="18"/>
                <w:lang w:val="en-US"/>
              </w:rPr>
              <w:t>203</w:t>
            </w:r>
          </w:p>
        </w:tc>
        <w:tc>
          <w:tcPr>
            <w:tcW w:w="981" w:type="dxa"/>
            <w:tcBorders>
              <w:top w:val="nil"/>
              <w:left w:val="single" w:sz="4" w:space="0" w:color="auto"/>
              <w:bottom w:val="single" w:sz="4" w:space="0" w:color="auto"/>
              <w:right w:val="single" w:sz="4" w:space="0" w:color="auto"/>
            </w:tcBorders>
            <w:noWrap/>
            <w:vAlign w:val="bottom"/>
            <w:hideMark/>
          </w:tcPr>
          <w:p w14:paraId="6D06CB78" w14:textId="77777777" w:rsidR="00584651" w:rsidRDefault="00584651">
            <w:pPr>
              <w:jc w:val="right"/>
              <w:rPr>
                <w:rFonts w:cs="Lucida Sans Unicode"/>
                <w:sz w:val="18"/>
                <w:szCs w:val="18"/>
                <w:lang w:val="en-US"/>
              </w:rPr>
            </w:pPr>
            <w:r>
              <w:rPr>
                <w:rFonts w:cs="Lucida Sans Unicode"/>
                <w:sz w:val="18"/>
                <w:szCs w:val="18"/>
                <w:lang w:val="en-US"/>
              </w:rPr>
              <w:t>-11</w:t>
            </w:r>
          </w:p>
        </w:tc>
        <w:tc>
          <w:tcPr>
            <w:tcW w:w="981" w:type="dxa"/>
            <w:tcBorders>
              <w:top w:val="nil"/>
              <w:left w:val="nil"/>
              <w:bottom w:val="single" w:sz="4" w:space="0" w:color="auto"/>
              <w:right w:val="single" w:sz="4" w:space="0" w:color="auto"/>
            </w:tcBorders>
            <w:shd w:val="clear" w:color="auto" w:fill="C0C0C0"/>
            <w:noWrap/>
            <w:vAlign w:val="center"/>
            <w:hideMark/>
          </w:tcPr>
          <w:p w14:paraId="38B8BF25" w14:textId="77777777" w:rsidR="00584651" w:rsidRDefault="00584651">
            <w:pPr>
              <w:jc w:val="right"/>
              <w:rPr>
                <w:rFonts w:cs="Lucida Sans Unicode"/>
                <w:sz w:val="18"/>
                <w:szCs w:val="18"/>
                <w:lang w:val="en-US"/>
              </w:rPr>
            </w:pPr>
            <w:r>
              <w:rPr>
                <w:rFonts w:cs="Lucida Sans Unicode"/>
                <w:sz w:val="18"/>
                <w:szCs w:val="18"/>
                <w:lang w:val="en-US"/>
              </w:rPr>
              <w:t>32</w:t>
            </w:r>
          </w:p>
        </w:tc>
        <w:tc>
          <w:tcPr>
            <w:tcW w:w="981" w:type="dxa"/>
            <w:tcBorders>
              <w:top w:val="nil"/>
              <w:left w:val="single" w:sz="4" w:space="0" w:color="auto"/>
              <w:bottom w:val="single" w:sz="4" w:space="0" w:color="auto"/>
              <w:right w:val="single" w:sz="4" w:space="0" w:color="auto"/>
            </w:tcBorders>
            <w:noWrap/>
            <w:vAlign w:val="center"/>
            <w:hideMark/>
          </w:tcPr>
          <w:p w14:paraId="2289AE5B" w14:textId="77777777" w:rsidR="00584651" w:rsidRDefault="00584651">
            <w:pPr>
              <w:jc w:val="right"/>
              <w:rPr>
                <w:rFonts w:cs="Lucida Sans Unicode"/>
                <w:sz w:val="18"/>
                <w:szCs w:val="18"/>
                <w:lang w:val="en-US"/>
              </w:rPr>
            </w:pPr>
            <w:r>
              <w:rPr>
                <w:rFonts w:cs="Lucida Sans Unicode"/>
                <w:sz w:val="18"/>
                <w:szCs w:val="18"/>
                <w:lang w:val="en-US"/>
              </w:rPr>
              <w:t>40</w:t>
            </w:r>
          </w:p>
        </w:tc>
        <w:tc>
          <w:tcPr>
            <w:tcW w:w="981" w:type="dxa"/>
            <w:tcBorders>
              <w:top w:val="nil"/>
              <w:left w:val="single" w:sz="4" w:space="0" w:color="auto"/>
              <w:bottom w:val="single" w:sz="4" w:space="0" w:color="auto"/>
              <w:right w:val="single" w:sz="4" w:space="0" w:color="auto"/>
            </w:tcBorders>
            <w:noWrap/>
            <w:vAlign w:val="bottom"/>
            <w:hideMark/>
          </w:tcPr>
          <w:p w14:paraId="16F2B094" w14:textId="77777777" w:rsidR="00584651" w:rsidRDefault="00584651">
            <w:pPr>
              <w:jc w:val="right"/>
              <w:rPr>
                <w:rFonts w:cs="Lucida Sans Unicode"/>
                <w:sz w:val="18"/>
                <w:szCs w:val="18"/>
                <w:lang w:val="en-US"/>
              </w:rPr>
            </w:pPr>
            <w:r>
              <w:rPr>
                <w:rFonts w:cs="Lucida Sans Unicode"/>
                <w:sz w:val="18"/>
                <w:szCs w:val="18"/>
                <w:lang w:val="en-US"/>
              </w:rPr>
              <w:t>-20</w:t>
            </w:r>
          </w:p>
        </w:tc>
      </w:tr>
      <w:tr w:rsidR="00584651" w14:paraId="2DC8DC6C" w14:textId="77777777" w:rsidTr="003374E5">
        <w:trPr>
          <w:trHeight w:val="279"/>
        </w:trPr>
        <w:tc>
          <w:tcPr>
            <w:tcW w:w="3768" w:type="dxa"/>
            <w:tcBorders>
              <w:top w:val="nil"/>
              <w:left w:val="single" w:sz="4" w:space="0" w:color="auto"/>
              <w:bottom w:val="single" w:sz="4" w:space="0" w:color="auto"/>
              <w:right w:val="single" w:sz="4" w:space="0" w:color="auto"/>
            </w:tcBorders>
            <w:noWrap/>
            <w:vAlign w:val="center"/>
            <w:hideMark/>
          </w:tcPr>
          <w:p w14:paraId="2589FEDA" w14:textId="77777777" w:rsidR="00584651" w:rsidRDefault="00584651">
            <w:pPr>
              <w:rPr>
                <w:rFonts w:cs="Lucida Sans Unicode"/>
                <w:sz w:val="18"/>
                <w:szCs w:val="18"/>
                <w:lang w:val="en-US"/>
              </w:rPr>
            </w:pPr>
            <w:r>
              <w:rPr>
                <w:sz w:val="18"/>
                <w:szCs w:val="18"/>
                <w:lang w:val="en-US"/>
              </w:rPr>
              <w:t>Sonstige Aktivitäten</w:t>
            </w:r>
          </w:p>
        </w:tc>
        <w:tc>
          <w:tcPr>
            <w:tcW w:w="981" w:type="dxa"/>
            <w:tcBorders>
              <w:top w:val="nil"/>
              <w:left w:val="nil"/>
              <w:bottom w:val="single" w:sz="4" w:space="0" w:color="auto"/>
              <w:right w:val="single" w:sz="4" w:space="0" w:color="auto"/>
            </w:tcBorders>
            <w:shd w:val="clear" w:color="auto" w:fill="C0C0C0"/>
            <w:noWrap/>
            <w:vAlign w:val="center"/>
            <w:hideMark/>
          </w:tcPr>
          <w:p w14:paraId="3A02B3F5" w14:textId="77777777" w:rsidR="00584651" w:rsidRDefault="00584651">
            <w:pPr>
              <w:jc w:val="right"/>
              <w:rPr>
                <w:rFonts w:cs="Lucida Sans Unicode"/>
                <w:sz w:val="18"/>
                <w:szCs w:val="18"/>
                <w:lang w:val="en-US"/>
              </w:rPr>
            </w:pPr>
            <w:r>
              <w:rPr>
                <w:rFonts w:cs="Lucida Sans Unicode"/>
                <w:sz w:val="18"/>
                <w:szCs w:val="18"/>
                <w:lang w:val="en-US"/>
              </w:rPr>
              <w:t>5</w:t>
            </w:r>
          </w:p>
        </w:tc>
        <w:tc>
          <w:tcPr>
            <w:tcW w:w="1134" w:type="dxa"/>
            <w:tcBorders>
              <w:top w:val="nil"/>
              <w:left w:val="single" w:sz="4" w:space="0" w:color="auto"/>
              <w:bottom w:val="single" w:sz="4" w:space="0" w:color="auto"/>
              <w:right w:val="single" w:sz="4" w:space="0" w:color="auto"/>
            </w:tcBorders>
            <w:noWrap/>
            <w:vAlign w:val="center"/>
            <w:hideMark/>
          </w:tcPr>
          <w:p w14:paraId="14BE91C7" w14:textId="77777777" w:rsidR="00584651" w:rsidRDefault="00584651">
            <w:pPr>
              <w:jc w:val="right"/>
              <w:rPr>
                <w:rFonts w:cs="Lucida Sans Unicode"/>
                <w:sz w:val="18"/>
                <w:szCs w:val="18"/>
                <w:lang w:val="en-US"/>
              </w:rPr>
            </w:pPr>
            <w:r>
              <w:rPr>
                <w:rFonts w:cs="Lucida Sans Unicode"/>
                <w:sz w:val="18"/>
                <w:szCs w:val="18"/>
                <w:lang w:val="en-US"/>
              </w:rPr>
              <w:t>-3</w:t>
            </w:r>
          </w:p>
        </w:tc>
        <w:tc>
          <w:tcPr>
            <w:tcW w:w="981" w:type="dxa"/>
            <w:tcBorders>
              <w:top w:val="nil"/>
              <w:left w:val="single" w:sz="4" w:space="0" w:color="auto"/>
              <w:bottom w:val="single" w:sz="4" w:space="0" w:color="auto"/>
              <w:right w:val="single" w:sz="4" w:space="0" w:color="auto"/>
            </w:tcBorders>
            <w:noWrap/>
            <w:vAlign w:val="bottom"/>
            <w:hideMark/>
          </w:tcPr>
          <w:p w14:paraId="6DEB359D" w14:textId="77777777" w:rsidR="00584651" w:rsidRDefault="00584651">
            <w:pPr>
              <w:jc w:val="right"/>
              <w:rPr>
                <w:rFonts w:cs="Lucida Sans Unicode"/>
                <w:sz w:val="18"/>
                <w:szCs w:val="18"/>
                <w:lang w:val="en-US"/>
              </w:rPr>
            </w:pPr>
            <w:r>
              <w:rPr>
                <w:rFonts w:cs="Lucida Sans Unicode"/>
                <w:sz w:val="18"/>
                <w:szCs w:val="18"/>
                <w:lang w:val="en-US"/>
              </w:rPr>
              <w:t>-</w:t>
            </w:r>
          </w:p>
        </w:tc>
        <w:tc>
          <w:tcPr>
            <w:tcW w:w="981" w:type="dxa"/>
            <w:tcBorders>
              <w:top w:val="nil"/>
              <w:left w:val="nil"/>
              <w:bottom w:val="single" w:sz="4" w:space="0" w:color="auto"/>
              <w:right w:val="single" w:sz="4" w:space="0" w:color="auto"/>
            </w:tcBorders>
            <w:shd w:val="clear" w:color="auto" w:fill="C0C0C0"/>
            <w:noWrap/>
            <w:vAlign w:val="center"/>
            <w:hideMark/>
          </w:tcPr>
          <w:p w14:paraId="7374BC52" w14:textId="77777777" w:rsidR="00584651" w:rsidRDefault="00584651">
            <w:pPr>
              <w:jc w:val="right"/>
              <w:rPr>
                <w:rFonts w:cs="Lucida Sans Unicode"/>
                <w:sz w:val="18"/>
                <w:szCs w:val="18"/>
                <w:lang w:val="en-US"/>
              </w:rPr>
            </w:pPr>
            <w:r>
              <w:rPr>
                <w:rFonts w:cs="Lucida Sans Unicode"/>
                <w:sz w:val="18"/>
                <w:szCs w:val="18"/>
                <w:lang w:val="en-US"/>
              </w:rPr>
              <w:t>-91</w:t>
            </w:r>
          </w:p>
        </w:tc>
        <w:tc>
          <w:tcPr>
            <w:tcW w:w="981" w:type="dxa"/>
            <w:tcBorders>
              <w:top w:val="nil"/>
              <w:left w:val="single" w:sz="4" w:space="0" w:color="auto"/>
              <w:bottom w:val="single" w:sz="4" w:space="0" w:color="auto"/>
              <w:right w:val="single" w:sz="4" w:space="0" w:color="auto"/>
            </w:tcBorders>
            <w:noWrap/>
            <w:vAlign w:val="center"/>
            <w:hideMark/>
          </w:tcPr>
          <w:p w14:paraId="60699265" w14:textId="77777777" w:rsidR="00584651" w:rsidRDefault="00584651">
            <w:pPr>
              <w:jc w:val="right"/>
              <w:rPr>
                <w:rFonts w:cs="Lucida Sans Unicode"/>
                <w:sz w:val="18"/>
                <w:szCs w:val="18"/>
                <w:lang w:val="en-US"/>
              </w:rPr>
            </w:pPr>
            <w:r>
              <w:rPr>
                <w:rFonts w:cs="Lucida Sans Unicode"/>
                <w:sz w:val="18"/>
                <w:szCs w:val="18"/>
                <w:lang w:val="en-US"/>
              </w:rPr>
              <w:t>-102</w:t>
            </w:r>
          </w:p>
        </w:tc>
        <w:tc>
          <w:tcPr>
            <w:tcW w:w="981" w:type="dxa"/>
            <w:tcBorders>
              <w:top w:val="nil"/>
              <w:left w:val="single" w:sz="4" w:space="0" w:color="auto"/>
              <w:bottom w:val="single" w:sz="4" w:space="0" w:color="auto"/>
              <w:right w:val="single" w:sz="4" w:space="0" w:color="auto"/>
            </w:tcBorders>
            <w:noWrap/>
            <w:vAlign w:val="bottom"/>
            <w:hideMark/>
          </w:tcPr>
          <w:p w14:paraId="4D22093A" w14:textId="77777777" w:rsidR="00584651" w:rsidRDefault="00584651">
            <w:pPr>
              <w:jc w:val="right"/>
              <w:rPr>
                <w:rFonts w:cs="Lucida Sans Unicode"/>
                <w:sz w:val="18"/>
                <w:szCs w:val="18"/>
                <w:lang w:val="en-US"/>
              </w:rPr>
            </w:pPr>
            <w:r>
              <w:rPr>
                <w:rFonts w:cs="Lucida Sans Unicode"/>
                <w:sz w:val="18"/>
                <w:szCs w:val="18"/>
                <w:lang w:val="en-US"/>
              </w:rPr>
              <w:t>-</w:t>
            </w:r>
          </w:p>
        </w:tc>
      </w:tr>
      <w:tr w:rsidR="00584651" w14:paraId="0C5D0633" w14:textId="77777777" w:rsidTr="003374E5">
        <w:trPr>
          <w:trHeight w:val="279"/>
        </w:trPr>
        <w:tc>
          <w:tcPr>
            <w:tcW w:w="3768" w:type="dxa"/>
            <w:tcBorders>
              <w:top w:val="single" w:sz="4" w:space="0" w:color="auto"/>
              <w:left w:val="single" w:sz="4" w:space="0" w:color="auto"/>
              <w:bottom w:val="single" w:sz="4" w:space="0" w:color="auto"/>
              <w:right w:val="single" w:sz="4" w:space="0" w:color="auto"/>
            </w:tcBorders>
            <w:noWrap/>
            <w:vAlign w:val="center"/>
            <w:hideMark/>
          </w:tcPr>
          <w:p w14:paraId="0DBCF9B9" w14:textId="77777777" w:rsidR="00584651" w:rsidRDefault="00584651">
            <w:pPr>
              <w:rPr>
                <w:rFonts w:cs="Lucida Sans Unicode"/>
                <w:b/>
                <w:bCs/>
                <w:sz w:val="18"/>
                <w:szCs w:val="18"/>
                <w:lang w:val="en-US"/>
              </w:rPr>
            </w:pPr>
            <w:r>
              <w:rPr>
                <w:b/>
                <w:sz w:val="18"/>
                <w:szCs w:val="18"/>
                <w:lang w:val="en-US"/>
              </w:rPr>
              <w:t>Konzern</w:t>
            </w:r>
          </w:p>
        </w:tc>
        <w:tc>
          <w:tcPr>
            <w:tcW w:w="981" w:type="dxa"/>
            <w:tcBorders>
              <w:top w:val="single" w:sz="4" w:space="0" w:color="auto"/>
              <w:left w:val="nil"/>
              <w:bottom w:val="single" w:sz="4" w:space="0" w:color="auto"/>
              <w:right w:val="single" w:sz="4" w:space="0" w:color="auto"/>
            </w:tcBorders>
            <w:shd w:val="clear" w:color="auto" w:fill="C0C0C0"/>
            <w:noWrap/>
            <w:vAlign w:val="center"/>
            <w:hideMark/>
          </w:tcPr>
          <w:p w14:paraId="25C4E38F" w14:textId="77777777" w:rsidR="00584651" w:rsidRDefault="00584651">
            <w:pPr>
              <w:jc w:val="right"/>
              <w:rPr>
                <w:rFonts w:cs="Lucida Sans Unicode"/>
                <w:b/>
                <w:bCs/>
                <w:sz w:val="18"/>
                <w:szCs w:val="18"/>
                <w:lang w:val="en-US"/>
              </w:rPr>
            </w:pPr>
            <w:r>
              <w:rPr>
                <w:rFonts w:cs="Lucida Sans Unicode"/>
                <w:b/>
                <w:bCs/>
                <w:sz w:val="18"/>
                <w:szCs w:val="18"/>
                <w:lang w:val="en-US"/>
              </w:rPr>
              <w:t>3.205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5AA504" w14:textId="77777777" w:rsidR="00584651" w:rsidRDefault="00584651">
            <w:pPr>
              <w:jc w:val="right"/>
              <w:rPr>
                <w:rFonts w:cs="Lucida Sans Unicode"/>
                <w:b/>
                <w:bCs/>
                <w:sz w:val="18"/>
                <w:szCs w:val="18"/>
                <w:lang w:val="en-US"/>
              </w:rPr>
            </w:pPr>
            <w:r>
              <w:rPr>
                <w:rFonts w:cs="Lucida Sans Unicode"/>
                <w:b/>
                <w:bCs/>
                <w:sz w:val="18"/>
                <w:szCs w:val="18"/>
                <w:lang w:val="en-US"/>
              </w:rPr>
              <w:t>3.198</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6979498A" w14:textId="77777777" w:rsidR="00584651" w:rsidRDefault="00584651">
            <w:pPr>
              <w:jc w:val="right"/>
              <w:rPr>
                <w:rFonts w:cs="Lucida Sans Unicode"/>
                <w:b/>
                <w:bCs/>
                <w:sz w:val="18"/>
                <w:szCs w:val="18"/>
                <w:lang w:val="en-US"/>
              </w:rPr>
            </w:pPr>
            <w:r>
              <w:rPr>
                <w:rFonts w:cs="Lucida Sans Unicode"/>
                <w:b/>
                <w:bCs/>
                <w:sz w:val="18"/>
                <w:szCs w:val="18"/>
                <w:lang w:val="en-US"/>
              </w:rPr>
              <w:t>0</w:t>
            </w:r>
          </w:p>
        </w:tc>
        <w:tc>
          <w:tcPr>
            <w:tcW w:w="981" w:type="dxa"/>
            <w:tcBorders>
              <w:top w:val="single" w:sz="4" w:space="0" w:color="auto"/>
              <w:left w:val="nil"/>
              <w:bottom w:val="single" w:sz="4" w:space="0" w:color="auto"/>
              <w:right w:val="single" w:sz="4" w:space="0" w:color="auto"/>
            </w:tcBorders>
            <w:shd w:val="clear" w:color="auto" w:fill="C0C0C0"/>
            <w:noWrap/>
            <w:vAlign w:val="center"/>
            <w:hideMark/>
          </w:tcPr>
          <w:p w14:paraId="6D073116" w14:textId="77777777" w:rsidR="00584651" w:rsidRDefault="00584651">
            <w:pPr>
              <w:jc w:val="right"/>
              <w:rPr>
                <w:rFonts w:cs="Lucida Sans Unicode"/>
                <w:b/>
                <w:bCs/>
                <w:sz w:val="18"/>
                <w:szCs w:val="18"/>
                <w:lang w:val="en-US"/>
              </w:rPr>
            </w:pPr>
            <w:r>
              <w:rPr>
                <w:rFonts w:cs="Lucida Sans Unicode"/>
                <w:b/>
                <w:bCs/>
                <w:sz w:val="18"/>
                <w:szCs w:val="18"/>
                <w:lang w:val="en-US"/>
              </w:rPr>
              <w:t>437</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47F2FFCB" w14:textId="77777777" w:rsidR="00584651" w:rsidRDefault="00584651">
            <w:pPr>
              <w:jc w:val="right"/>
              <w:rPr>
                <w:rFonts w:cs="Lucida Sans Unicode"/>
                <w:b/>
                <w:bCs/>
                <w:sz w:val="18"/>
                <w:szCs w:val="18"/>
                <w:lang w:val="en-US"/>
              </w:rPr>
            </w:pPr>
            <w:r>
              <w:rPr>
                <w:rFonts w:cs="Lucida Sans Unicode"/>
                <w:b/>
                <w:bCs/>
                <w:sz w:val="18"/>
                <w:szCs w:val="18"/>
                <w:lang w:val="en-US"/>
              </w:rPr>
              <w:t>501</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504BF0AD" w14:textId="77777777" w:rsidR="00584651" w:rsidRDefault="00584651">
            <w:pPr>
              <w:jc w:val="right"/>
              <w:rPr>
                <w:rFonts w:cs="Lucida Sans Unicode"/>
                <w:b/>
                <w:bCs/>
                <w:sz w:val="18"/>
                <w:szCs w:val="18"/>
                <w:lang w:val="en-US"/>
              </w:rPr>
            </w:pPr>
            <w:r>
              <w:rPr>
                <w:rFonts w:cs="Lucida Sans Unicode"/>
                <w:b/>
                <w:bCs/>
                <w:sz w:val="18"/>
                <w:szCs w:val="18"/>
                <w:lang w:val="en-US"/>
              </w:rPr>
              <w:t>-13</w:t>
            </w:r>
          </w:p>
        </w:tc>
      </w:tr>
      <w:tr w:rsidR="00584651" w14:paraId="2988A9C5" w14:textId="77777777" w:rsidTr="003374E5">
        <w:trPr>
          <w:trHeight w:val="238"/>
        </w:trPr>
        <w:tc>
          <w:tcPr>
            <w:tcW w:w="3768" w:type="dxa"/>
            <w:tcBorders>
              <w:top w:val="single" w:sz="4" w:space="0" w:color="auto"/>
              <w:left w:val="single" w:sz="4" w:space="0" w:color="auto"/>
              <w:bottom w:val="nil"/>
              <w:right w:val="single" w:sz="4" w:space="0" w:color="auto"/>
            </w:tcBorders>
            <w:noWrap/>
            <w:vAlign w:val="center"/>
            <w:hideMark/>
          </w:tcPr>
          <w:p w14:paraId="67C394D6" w14:textId="77777777" w:rsidR="00584651" w:rsidRDefault="00584651">
            <w:pPr>
              <w:jc w:val="right"/>
              <w:rPr>
                <w:rFonts w:cs="Lucida Sans Unicode"/>
                <w:b/>
                <w:bCs/>
                <w:sz w:val="18"/>
                <w:szCs w:val="18"/>
                <w:lang w:val="en-US"/>
              </w:rPr>
            </w:pPr>
            <w:r>
              <w:rPr>
                <w:b/>
                <w:sz w:val="18"/>
                <w:szCs w:val="18"/>
                <w:lang w:val="en-US"/>
              </w:rPr>
              <w:t> </w:t>
            </w:r>
          </w:p>
        </w:tc>
        <w:tc>
          <w:tcPr>
            <w:tcW w:w="981" w:type="dxa"/>
            <w:gridSpan w:val="3"/>
            <w:tcBorders>
              <w:top w:val="single" w:sz="4" w:space="0" w:color="auto"/>
              <w:left w:val="nil"/>
              <w:bottom w:val="single" w:sz="4" w:space="0" w:color="auto"/>
              <w:right w:val="single" w:sz="4" w:space="0" w:color="auto"/>
            </w:tcBorders>
            <w:noWrap/>
            <w:vAlign w:val="bottom"/>
            <w:hideMark/>
          </w:tcPr>
          <w:p w14:paraId="5531CC6D" w14:textId="77777777" w:rsidR="00584651" w:rsidRDefault="00584651">
            <w:pPr>
              <w:jc w:val="center"/>
              <w:rPr>
                <w:rFonts w:cs="Lucida Sans Unicode"/>
                <w:b/>
                <w:bCs/>
                <w:sz w:val="18"/>
                <w:szCs w:val="18"/>
                <w:lang w:val="en-US"/>
              </w:rPr>
            </w:pPr>
            <w:r>
              <w:rPr>
                <w:b/>
                <w:sz w:val="18"/>
                <w:szCs w:val="18"/>
                <w:lang w:val="en-US"/>
              </w:rPr>
              <w:t>Umsatz</w:t>
            </w:r>
          </w:p>
        </w:tc>
        <w:tc>
          <w:tcPr>
            <w:tcW w:w="981" w:type="dxa"/>
            <w:gridSpan w:val="3"/>
            <w:tcBorders>
              <w:top w:val="single" w:sz="4" w:space="0" w:color="auto"/>
              <w:left w:val="single" w:sz="4" w:space="0" w:color="auto"/>
              <w:bottom w:val="single" w:sz="4" w:space="0" w:color="auto"/>
              <w:right w:val="single" w:sz="4" w:space="0" w:color="auto"/>
            </w:tcBorders>
            <w:noWrap/>
            <w:vAlign w:val="bottom"/>
            <w:hideMark/>
          </w:tcPr>
          <w:p w14:paraId="727C6702" w14:textId="77777777" w:rsidR="00584651" w:rsidRDefault="00584651">
            <w:pPr>
              <w:jc w:val="center"/>
              <w:rPr>
                <w:rFonts w:cs="Lucida Sans Unicode"/>
                <w:b/>
                <w:bCs/>
                <w:sz w:val="18"/>
                <w:szCs w:val="18"/>
                <w:lang w:val="en-US"/>
              </w:rPr>
            </w:pPr>
            <w:r>
              <w:rPr>
                <w:b/>
                <w:sz w:val="18"/>
                <w:szCs w:val="18"/>
                <w:lang w:val="en-US"/>
              </w:rPr>
              <w:t>Bereinigtes EBITDA</w:t>
            </w:r>
          </w:p>
        </w:tc>
      </w:tr>
      <w:tr w:rsidR="00584651" w14:paraId="4491E2DD" w14:textId="77777777" w:rsidTr="003374E5">
        <w:trPr>
          <w:trHeight w:val="238"/>
        </w:trPr>
        <w:tc>
          <w:tcPr>
            <w:tcW w:w="3768" w:type="dxa"/>
            <w:tcBorders>
              <w:top w:val="nil"/>
              <w:left w:val="single" w:sz="4" w:space="0" w:color="auto"/>
              <w:bottom w:val="nil"/>
              <w:right w:val="single" w:sz="4" w:space="0" w:color="auto"/>
            </w:tcBorders>
            <w:noWrap/>
            <w:vAlign w:val="center"/>
          </w:tcPr>
          <w:p w14:paraId="7AE5AFB9" w14:textId="77777777" w:rsidR="00584651" w:rsidRDefault="00584651">
            <w:pPr>
              <w:rPr>
                <w:rFonts w:cs="Lucida Sans Unicode"/>
                <w:b/>
                <w:bCs/>
                <w:sz w:val="18"/>
                <w:szCs w:val="18"/>
                <w:lang w:val="en-US"/>
              </w:rPr>
            </w:pPr>
          </w:p>
        </w:tc>
        <w:tc>
          <w:tcPr>
            <w:tcW w:w="981" w:type="dxa"/>
            <w:tcBorders>
              <w:top w:val="single" w:sz="4" w:space="0" w:color="auto"/>
              <w:left w:val="nil"/>
              <w:bottom w:val="nil"/>
              <w:right w:val="single" w:sz="4" w:space="0" w:color="auto"/>
            </w:tcBorders>
            <w:shd w:val="clear" w:color="auto" w:fill="C0C0C0"/>
            <w:noWrap/>
            <w:vAlign w:val="bottom"/>
            <w:hideMark/>
          </w:tcPr>
          <w:p w14:paraId="58933F25"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2016</w:t>
            </w:r>
          </w:p>
        </w:tc>
        <w:tc>
          <w:tcPr>
            <w:tcW w:w="1134" w:type="dxa"/>
            <w:tcBorders>
              <w:top w:val="single" w:sz="4" w:space="0" w:color="auto"/>
              <w:left w:val="single" w:sz="4" w:space="0" w:color="auto"/>
              <w:bottom w:val="nil"/>
              <w:right w:val="single" w:sz="4" w:space="0" w:color="auto"/>
            </w:tcBorders>
            <w:noWrap/>
            <w:vAlign w:val="bottom"/>
            <w:hideMark/>
          </w:tcPr>
          <w:p w14:paraId="23EA60DC"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2015</w:t>
            </w:r>
          </w:p>
        </w:tc>
        <w:tc>
          <w:tcPr>
            <w:tcW w:w="981" w:type="dxa"/>
            <w:tcBorders>
              <w:top w:val="single" w:sz="4" w:space="0" w:color="auto"/>
              <w:left w:val="single" w:sz="4" w:space="0" w:color="auto"/>
              <w:bottom w:val="nil"/>
              <w:right w:val="single" w:sz="4" w:space="0" w:color="auto"/>
            </w:tcBorders>
            <w:noWrap/>
            <w:vAlign w:val="bottom"/>
            <w:hideMark/>
          </w:tcPr>
          <w:p w14:paraId="71929968"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Veränd.</w:t>
            </w:r>
          </w:p>
        </w:tc>
        <w:tc>
          <w:tcPr>
            <w:tcW w:w="981" w:type="dxa"/>
            <w:tcBorders>
              <w:top w:val="single" w:sz="4" w:space="0" w:color="auto"/>
              <w:left w:val="nil"/>
              <w:bottom w:val="nil"/>
              <w:right w:val="single" w:sz="4" w:space="0" w:color="auto"/>
            </w:tcBorders>
            <w:shd w:val="clear" w:color="auto" w:fill="C0C0C0"/>
            <w:noWrap/>
            <w:vAlign w:val="bottom"/>
            <w:hideMark/>
          </w:tcPr>
          <w:p w14:paraId="2014218B"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2016</w:t>
            </w:r>
          </w:p>
        </w:tc>
        <w:tc>
          <w:tcPr>
            <w:tcW w:w="981" w:type="dxa"/>
            <w:tcBorders>
              <w:top w:val="single" w:sz="4" w:space="0" w:color="auto"/>
              <w:left w:val="single" w:sz="4" w:space="0" w:color="auto"/>
              <w:bottom w:val="nil"/>
              <w:right w:val="single" w:sz="4" w:space="0" w:color="auto"/>
            </w:tcBorders>
            <w:noWrap/>
            <w:vAlign w:val="bottom"/>
            <w:hideMark/>
          </w:tcPr>
          <w:p w14:paraId="3F57A797"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2015</w:t>
            </w:r>
          </w:p>
        </w:tc>
        <w:tc>
          <w:tcPr>
            <w:tcW w:w="981" w:type="dxa"/>
            <w:tcBorders>
              <w:top w:val="single" w:sz="4" w:space="0" w:color="auto"/>
              <w:left w:val="single" w:sz="4" w:space="0" w:color="auto"/>
              <w:bottom w:val="nil"/>
              <w:right w:val="single" w:sz="4" w:space="0" w:color="auto"/>
            </w:tcBorders>
            <w:noWrap/>
            <w:vAlign w:val="bottom"/>
            <w:hideMark/>
          </w:tcPr>
          <w:p w14:paraId="20C51A62"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Veränd.</w:t>
            </w:r>
          </w:p>
        </w:tc>
      </w:tr>
      <w:tr w:rsidR="00584651" w14:paraId="1C43D0CE" w14:textId="77777777" w:rsidTr="003374E5">
        <w:trPr>
          <w:trHeight w:val="408"/>
        </w:trPr>
        <w:tc>
          <w:tcPr>
            <w:tcW w:w="3768" w:type="dxa"/>
            <w:tcBorders>
              <w:top w:val="nil"/>
              <w:left w:val="single" w:sz="4" w:space="0" w:color="auto"/>
              <w:bottom w:val="single" w:sz="4" w:space="0" w:color="auto"/>
              <w:right w:val="single" w:sz="4" w:space="0" w:color="auto"/>
            </w:tcBorders>
            <w:noWrap/>
            <w:vAlign w:val="center"/>
            <w:hideMark/>
          </w:tcPr>
          <w:p w14:paraId="2BB91A25" w14:textId="77777777" w:rsidR="00584651" w:rsidRDefault="00584651">
            <w:pPr>
              <w:rPr>
                <w:rFonts w:cs="Lucida Sans Unicode"/>
                <w:b/>
                <w:bCs/>
                <w:sz w:val="18"/>
                <w:szCs w:val="18"/>
                <w:lang w:val="en-US"/>
              </w:rPr>
            </w:pPr>
            <w:r>
              <w:rPr>
                <w:b/>
                <w:sz w:val="18"/>
                <w:szCs w:val="18"/>
                <w:lang w:val="en-US"/>
              </w:rPr>
              <w:t> </w:t>
            </w:r>
          </w:p>
        </w:tc>
        <w:tc>
          <w:tcPr>
            <w:tcW w:w="981" w:type="dxa"/>
            <w:tcBorders>
              <w:top w:val="nil"/>
              <w:left w:val="nil"/>
              <w:bottom w:val="single" w:sz="4" w:space="0" w:color="auto"/>
              <w:right w:val="single" w:sz="4" w:space="0" w:color="auto"/>
            </w:tcBorders>
            <w:shd w:val="clear" w:color="auto" w:fill="C0C0C0"/>
            <w:vAlign w:val="center"/>
            <w:hideMark/>
          </w:tcPr>
          <w:p w14:paraId="772CB975"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Mio. Euro</w:t>
            </w:r>
          </w:p>
        </w:tc>
        <w:tc>
          <w:tcPr>
            <w:tcW w:w="1134" w:type="dxa"/>
            <w:tcBorders>
              <w:top w:val="nil"/>
              <w:left w:val="single" w:sz="4" w:space="0" w:color="auto"/>
              <w:bottom w:val="single" w:sz="4" w:space="0" w:color="auto"/>
              <w:right w:val="single" w:sz="4" w:space="0" w:color="auto"/>
            </w:tcBorders>
            <w:vAlign w:val="center"/>
            <w:hideMark/>
          </w:tcPr>
          <w:p w14:paraId="09D3AA4E"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Mio. Euro</w:t>
            </w:r>
          </w:p>
        </w:tc>
        <w:tc>
          <w:tcPr>
            <w:tcW w:w="981" w:type="dxa"/>
            <w:tcBorders>
              <w:top w:val="nil"/>
              <w:left w:val="single" w:sz="4" w:space="0" w:color="auto"/>
              <w:bottom w:val="single" w:sz="4" w:space="0" w:color="auto"/>
              <w:right w:val="single" w:sz="4" w:space="0" w:color="auto"/>
            </w:tcBorders>
            <w:vAlign w:val="center"/>
            <w:hideMark/>
          </w:tcPr>
          <w:p w14:paraId="18391BED"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in %</w:t>
            </w:r>
          </w:p>
        </w:tc>
        <w:tc>
          <w:tcPr>
            <w:tcW w:w="981" w:type="dxa"/>
            <w:tcBorders>
              <w:top w:val="nil"/>
              <w:left w:val="nil"/>
              <w:bottom w:val="single" w:sz="4" w:space="0" w:color="auto"/>
              <w:right w:val="single" w:sz="4" w:space="0" w:color="auto"/>
            </w:tcBorders>
            <w:shd w:val="clear" w:color="auto" w:fill="C0C0C0"/>
            <w:vAlign w:val="center"/>
            <w:hideMark/>
          </w:tcPr>
          <w:p w14:paraId="61F0FF4E"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Mio. Euro</w:t>
            </w:r>
          </w:p>
        </w:tc>
        <w:tc>
          <w:tcPr>
            <w:tcW w:w="981" w:type="dxa"/>
            <w:tcBorders>
              <w:top w:val="nil"/>
              <w:left w:val="single" w:sz="4" w:space="0" w:color="auto"/>
              <w:bottom w:val="single" w:sz="4" w:space="0" w:color="auto"/>
              <w:right w:val="single" w:sz="4" w:space="0" w:color="auto"/>
            </w:tcBorders>
            <w:vAlign w:val="center"/>
            <w:hideMark/>
          </w:tcPr>
          <w:p w14:paraId="757F339E"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Mio. Euro</w:t>
            </w:r>
          </w:p>
        </w:tc>
        <w:tc>
          <w:tcPr>
            <w:tcW w:w="981" w:type="dxa"/>
            <w:tcBorders>
              <w:top w:val="nil"/>
              <w:left w:val="single" w:sz="4" w:space="0" w:color="auto"/>
              <w:bottom w:val="single" w:sz="4" w:space="0" w:color="auto"/>
              <w:right w:val="single" w:sz="4" w:space="0" w:color="auto"/>
            </w:tcBorders>
            <w:vAlign w:val="center"/>
            <w:hideMark/>
          </w:tcPr>
          <w:p w14:paraId="2BEC1DE6" w14:textId="77777777" w:rsidR="00584651" w:rsidRPr="002125B8" w:rsidRDefault="00584651">
            <w:pPr>
              <w:jc w:val="center"/>
              <w:rPr>
                <w:rFonts w:cs="Lucida Sans Unicode"/>
                <w:b/>
                <w:bCs/>
                <w:spacing w:val="-6"/>
                <w:sz w:val="18"/>
                <w:szCs w:val="18"/>
                <w:lang w:val="en-US"/>
              </w:rPr>
            </w:pPr>
            <w:r w:rsidRPr="002125B8">
              <w:rPr>
                <w:b/>
                <w:spacing w:val="-6"/>
                <w:sz w:val="18"/>
                <w:szCs w:val="18"/>
                <w:lang w:val="en-US"/>
              </w:rPr>
              <w:t>in %</w:t>
            </w:r>
          </w:p>
        </w:tc>
      </w:tr>
      <w:tr w:rsidR="00584651" w14:paraId="370CB2CE" w14:textId="77777777" w:rsidTr="003374E5">
        <w:trPr>
          <w:trHeight w:val="238"/>
        </w:trPr>
        <w:tc>
          <w:tcPr>
            <w:tcW w:w="3768" w:type="dxa"/>
            <w:tcBorders>
              <w:top w:val="single" w:sz="4" w:space="0" w:color="auto"/>
              <w:left w:val="single" w:sz="4" w:space="0" w:color="auto"/>
              <w:bottom w:val="single" w:sz="4" w:space="0" w:color="auto"/>
              <w:right w:val="single" w:sz="4" w:space="0" w:color="auto"/>
            </w:tcBorders>
            <w:noWrap/>
            <w:vAlign w:val="center"/>
            <w:hideMark/>
          </w:tcPr>
          <w:p w14:paraId="70AE36EA" w14:textId="77777777" w:rsidR="00584651" w:rsidRDefault="00584651">
            <w:pPr>
              <w:rPr>
                <w:rFonts w:cs="Lucida Sans Unicode"/>
                <w:sz w:val="18"/>
                <w:szCs w:val="18"/>
                <w:lang w:val="en-US"/>
              </w:rPr>
            </w:pPr>
            <w:r>
              <w:rPr>
                <w:sz w:val="18"/>
                <w:szCs w:val="18"/>
                <w:lang w:val="en-US"/>
              </w:rPr>
              <w:t>Nutrition &amp; Care</w:t>
            </w:r>
          </w:p>
        </w:tc>
        <w:tc>
          <w:tcPr>
            <w:tcW w:w="981" w:type="dxa"/>
            <w:tcBorders>
              <w:top w:val="single" w:sz="4" w:space="0" w:color="auto"/>
              <w:left w:val="nil"/>
              <w:bottom w:val="single" w:sz="4" w:space="0" w:color="auto"/>
              <w:right w:val="single" w:sz="4" w:space="0" w:color="auto"/>
            </w:tcBorders>
            <w:shd w:val="clear" w:color="auto" w:fill="C0C0C0"/>
            <w:noWrap/>
            <w:vAlign w:val="center"/>
            <w:hideMark/>
          </w:tcPr>
          <w:p w14:paraId="667DA52B" w14:textId="77777777" w:rsidR="00584651" w:rsidRDefault="00584651">
            <w:pPr>
              <w:jc w:val="right"/>
              <w:rPr>
                <w:rFonts w:cs="Lucida Sans Unicode"/>
                <w:sz w:val="18"/>
                <w:szCs w:val="18"/>
                <w:lang w:val="en-US"/>
              </w:rPr>
            </w:pPr>
            <w:r>
              <w:rPr>
                <w:rFonts w:cs="Lucida Sans Unicode"/>
                <w:sz w:val="18"/>
                <w:szCs w:val="18"/>
                <w:lang w:val="en-US"/>
              </w:rPr>
              <w:t>4.316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364DB1" w14:textId="77777777" w:rsidR="00584651" w:rsidRDefault="00584651">
            <w:pPr>
              <w:jc w:val="right"/>
              <w:rPr>
                <w:rFonts w:cs="Lucida Sans Unicode"/>
                <w:sz w:val="18"/>
                <w:szCs w:val="18"/>
                <w:lang w:val="en-US"/>
              </w:rPr>
            </w:pPr>
            <w:r>
              <w:rPr>
                <w:rFonts w:cs="Lucida Sans Unicode"/>
                <w:sz w:val="18"/>
                <w:szCs w:val="18"/>
                <w:lang w:val="en-US"/>
              </w:rPr>
              <w:t>4.924</w:t>
            </w:r>
          </w:p>
        </w:tc>
        <w:tc>
          <w:tcPr>
            <w:tcW w:w="981" w:type="dxa"/>
            <w:tcBorders>
              <w:top w:val="nil"/>
              <w:left w:val="single" w:sz="4" w:space="0" w:color="auto"/>
              <w:bottom w:val="single" w:sz="4" w:space="0" w:color="auto"/>
              <w:right w:val="single" w:sz="4" w:space="0" w:color="auto"/>
            </w:tcBorders>
            <w:noWrap/>
            <w:vAlign w:val="bottom"/>
            <w:hideMark/>
          </w:tcPr>
          <w:p w14:paraId="274F6ECC" w14:textId="77777777" w:rsidR="00584651" w:rsidRDefault="00584651">
            <w:pPr>
              <w:jc w:val="right"/>
              <w:rPr>
                <w:rFonts w:cs="Lucida Sans Unicode"/>
                <w:sz w:val="18"/>
                <w:szCs w:val="18"/>
                <w:lang w:val="en-US"/>
              </w:rPr>
            </w:pPr>
            <w:r>
              <w:rPr>
                <w:rFonts w:cs="Lucida Sans Unicode"/>
                <w:sz w:val="18"/>
                <w:szCs w:val="18"/>
                <w:lang w:val="en-US"/>
              </w:rPr>
              <w:t>-12</w:t>
            </w:r>
          </w:p>
        </w:tc>
        <w:tc>
          <w:tcPr>
            <w:tcW w:w="981" w:type="dxa"/>
            <w:tcBorders>
              <w:top w:val="single" w:sz="4" w:space="0" w:color="auto"/>
              <w:left w:val="nil"/>
              <w:bottom w:val="single" w:sz="4" w:space="0" w:color="auto"/>
              <w:right w:val="single" w:sz="4" w:space="0" w:color="auto"/>
            </w:tcBorders>
            <w:shd w:val="clear" w:color="auto" w:fill="C0C0C0"/>
            <w:noWrap/>
            <w:vAlign w:val="center"/>
            <w:hideMark/>
          </w:tcPr>
          <w:p w14:paraId="2D5A4660" w14:textId="77777777" w:rsidR="00584651" w:rsidRDefault="00584651">
            <w:pPr>
              <w:jc w:val="right"/>
              <w:rPr>
                <w:rFonts w:cs="Lucida Sans Unicode"/>
                <w:sz w:val="18"/>
                <w:szCs w:val="18"/>
                <w:lang w:val="en-US"/>
              </w:rPr>
            </w:pPr>
            <w:r>
              <w:rPr>
                <w:rFonts w:cs="Lucida Sans Unicode"/>
                <w:sz w:val="18"/>
                <w:szCs w:val="18"/>
                <w:lang w:val="en-US"/>
              </w:rPr>
              <w:t>1.006</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7B4AA88A" w14:textId="77777777" w:rsidR="00584651" w:rsidRDefault="00584651">
            <w:pPr>
              <w:jc w:val="right"/>
              <w:rPr>
                <w:rFonts w:cs="Lucida Sans Unicode"/>
                <w:sz w:val="18"/>
                <w:szCs w:val="18"/>
                <w:lang w:val="en-US"/>
              </w:rPr>
            </w:pPr>
            <w:r>
              <w:rPr>
                <w:rFonts w:cs="Lucida Sans Unicode"/>
                <w:sz w:val="18"/>
                <w:szCs w:val="18"/>
                <w:lang w:val="en-US"/>
              </w:rPr>
              <w:t>1.435</w:t>
            </w:r>
          </w:p>
        </w:tc>
        <w:tc>
          <w:tcPr>
            <w:tcW w:w="981" w:type="dxa"/>
            <w:tcBorders>
              <w:top w:val="nil"/>
              <w:left w:val="single" w:sz="4" w:space="0" w:color="auto"/>
              <w:bottom w:val="single" w:sz="4" w:space="0" w:color="auto"/>
              <w:right w:val="single" w:sz="4" w:space="0" w:color="auto"/>
            </w:tcBorders>
            <w:noWrap/>
            <w:vAlign w:val="bottom"/>
            <w:hideMark/>
          </w:tcPr>
          <w:p w14:paraId="7A30A3E6" w14:textId="77777777" w:rsidR="00584651" w:rsidRDefault="00584651">
            <w:pPr>
              <w:jc w:val="right"/>
              <w:rPr>
                <w:rFonts w:cs="Lucida Sans Unicode"/>
                <w:sz w:val="18"/>
                <w:szCs w:val="18"/>
                <w:lang w:val="en-US"/>
              </w:rPr>
            </w:pPr>
            <w:r>
              <w:rPr>
                <w:rFonts w:cs="Lucida Sans Unicode"/>
                <w:sz w:val="18"/>
                <w:szCs w:val="18"/>
                <w:lang w:val="en-US"/>
              </w:rPr>
              <w:t>-30</w:t>
            </w:r>
          </w:p>
        </w:tc>
      </w:tr>
      <w:tr w:rsidR="00584651" w14:paraId="5CDBCC46" w14:textId="77777777" w:rsidTr="003374E5">
        <w:trPr>
          <w:trHeight w:val="238"/>
        </w:trPr>
        <w:tc>
          <w:tcPr>
            <w:tcW w:w="3768" w:type="dxa"/>
            <w:tcBorders>
              <w:top w:val="single" w:sz="4" w:space="0" w:color="auto"/>
              <w:left w:val="single" w:sz="4" w:space="0" w:color="auto"/>
              <w:bottom w:val="single" w:sz="4" w:space="0" w:color="auto"/>
              <w:right w:val="single" w:sz="4" w:space="0" w:color="auto"/>
            </w:tcBorders>
            <w:noWrap/>
            <w:vAlign w:val="center"/>
            <w:hideMark/>
          </w:tcPr>
          <w:p w14:paraId="7D34533C" w14:textId="77777777" w:rsidR="00584651" w:rsidRDefault="00584651">
            <w:pPr>
              <w:rPr>
                <w:rFonts w:cs="Lucida Sans Unicode"/>
                <w:sz w:val="18"/>
                <w:szCs w:val="18"/>
                <w:lang w:val="en-US"/>
              </w:rPr>
            </w:pPr>
            <w:r>
              <w:rPr>
                <w:sz w:val="18"/>
                <w:szCs w:val="18"/>
                <w:lang w:val="en-US"/>
              </w:rPr>
              <w:t>Resource Efficiency</w:t>
            </w:r>
          </w:p>
        </w:tc>
        <w:tc>
          <w:tcPr>
            <w:tcW w:w="981" w:type="dxa"/>
            <w:tcBorders>
              <w:top w:val="single" w:sz="4" w:space="0" w:color="auto"/>
              <w:left w:val="nil"/>
              <w:bottom w:val="single" w:sz="4" w:space="0" w:color="auto"/>
              <w:right w:val="single" w:sz="4" w:space="0" w:color="auto"/>
            </w:tcBorders>
            <w:shd w:val="clear" w:color="auto" w:fill="C0C0C0"/>
            <w:noWrap/>
            <w:vAlign w:val="center"/>
            <w:hideMark/>
          </w:tcPr>
          <w:p w14:paraId="5B6A3329" w14:textId="77777777" w:rsidR="00584651" w:rsidRDefault="00584651">
            <w:pPr>
              <w:jc w:val="right"/>
              <w:rPr>
                <w:rFonts w:cs="Lucida Sans Unicode"/>
                <w:sz w:val="18"/>
                <w:szCs w:val="18"/>
                <w:lang w:val="en-US"/>
              </w:rPr>
            </w:pPr>
            <w:r>
              <w:rPr>
                <w:rFonts w:cs="Lucida Sans Unicode"/>
                <w:sz w:val="18"/>
                <w:szCs w:val="18"/>
                <w:lang w:val="en-US"/>
              </w:rPr>
              <w:t>4.473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4398A3B" w14:textId="77777777" w:rsidR="00584651" w:rsidRDefault="00584651">
            <w:pPr>
              <w:jc w:val="right"/>
              <w:rPr>
                <w:rFonts w:cs="Lucida Sans Unicode"/>
                <w:sz w:val="18"/>
                <w:szCs w:val="18"/>
                <w:lang w:val="en-US"/>
              </w:rPr>
            </w:pPr>
            <w:r>
              <w:rPr>
                <w:rFonts w:cs="Lucida Sans Unicode"/>
                <w:sz w:val="18"/>
                <w:szCs w:val="18"/>
                <w:lang w:val="en-US"/>
              </w:rPr>
              <w:t>4.279</w:t>
            </w:r>
          </w:p>
        </w:tc>
        <w:tc>
          <w:tcPr>
            <w:tcW w:w="981" w:type="dxa"/>
            <w:tcBorders>
              <w:top w:val="nil"/>
              <w:left w:val="single" w:sz="4" w:space="0" w:color="auto"/>
              <w:bottom w:val="single" w:sz="4" w:space="0" w:color="auto"/>
              <w:right w:val="single" w:sz="4" w:space="0" w:color="auto"/>
            </w:tcBorders>
            <w:noWrap/>
            <w:vAlign w:val="bottom"/>
            <w:hideMark/>
          </w:tcPr>
          <w:p w14:paraId="7E78C735" w14:textId="77777777" w:rsidR="00584651" w:rsidRDefault="00584651">
            <w:pPr>
              <w:jc w:val="right"/>
              <w:rPr>
                <w:rFonts w:cs="Lucida Sans Unicode"/>
                <w:sz w:val="18"/>
                <w:szCs w:val="18"/>
                <w:lang w:val="en-US"/>
              </w:rPr>
            </w:pPr>
            <w:r>
              <w:rPr>
                <w:rFonts w:cs="Lucida Sans Unicode"/>
                <w:sz w:val="18"/>
                <w:szCs w:val="18"/>
                <w:lang w:val="en-US"/>
              </w:rPr>
              <w:t>5</w:t>
            </w:r>
          </w:p>
        </w:tc>
        <w:tc>
          <w:tcPr>
            <w:tcW w:w="981" w:type="dxa"/>
            <w:tcBorders>
              <w:top w:val="single" w:sz="4" w:space="0" w:color="auto"/>
              <w:left w:val="nil"/>
              <w:bottom w:val="single" w:sz="4" w:space="0" w:color="auto"/>
              <w:right w:val="single" w:sz="4" w:space="0" w:color="auto"/>
            </w:tcBorders>
            <w:shd w:val="clear" w:color="auto" w:fill="C0C0C0"/>
            <w:noWrap/>
            <w:vAlign w:val="center"/>
            <w:hideMark/>
          </w:tcPr>
          <w:p w14:paraId="7A7F2AEB" w14:textId="77777777" w:rsidR="00584651" w:rsidRDefault="00584651">
            <w:pPr>
              <w:jc w:val="right"/>
              <w:rPr>
                <w:rFonts w:cs="Lucida Sans Unicode"/>
                <w:sz w:val="18"/>
                <w:szCs w:val="18"/>
                <w:lang w:val="en-US"/>
              </w:rPr>
            </w:pPr>
            <w:r>
              <w:rPr>
                <w:rFonts w:cs="Lucida Sans Unicode"/>
                <w:sz w:val="18"/>
                <w:szCs w:val="18"/>
                <w:lang w:val="en-US"/>
              </w:rPr>
              <w:t>977</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7B9E8482" w14:textId="77777777" w:rsidR="00584651" w:rsidRDefault="00584651">
            <w:pPr>
              <w:jc w:val="right"/>
              <w:rPr>
                <w:rFonts w:cs="Lucida Sans Unicode"/>
                <w:sz w:val="18"/>
                <w:szCs w:val="18"/>
                <w:lang w:val="en-US"/>
              </w:rPr>
            </w:pPr>
            <w:r>
              <w:rPr>
                <w:rFonts w:cs="Lucida Sans Unicode"/>
                <w:sz w:val="18"/>
                <w:szCs w:val="18"/>
                <w:lang w:val="en-US"/>
              </w:rPr>
              <w:t>896</w:t>
            </w:r>
          </w:p>
        </w:tc>
        <w:tc>
          <w:tcPr>
            <w:tcW w:w="981" w:type="dxa"/>
            <w:tcBorders>
              <w:top w:val="nil"/>
              <w:left w:val="single" w:sz="4" w:space="0" w:color="auto"/>
              <w:bottom w:val="single" w:sz="4" w:space="0" w:color="auto"/>
              <w:right w:val="single" w:sz="4" w:space="0" w:color="auto"/>
            </w:tcBorders>
            <w:noWrap/>
            <w:vAlign w:val="bottom"/>
            <w:hideMark/>
          </w:tcPr>
          <w:p w14:paraId="0B4E7B45" w14:textId="77777777" w:rsidR="00584651" w:rsidRDefault="00584651">
            <w:pPr>
              <w:jc w:val="right"/>
              <w:rPr>
                <w:rFonts w:cs="Lucida Sans Unicode"/>
                <w:sz w:val="18"/>
                <w:szCs w:val="18"/>
                <w:lang w:val="en-US"/>
              </w:rPr>
            </w:pPr>
            <w:r>
              <w:rPr>
                <w:rFonts w:cs="Lucida Sans Unicode"/>
                <w:sz w:val="18"/>
                <w:szCs w:val="18"/>
                <w:lang w:val="en-US"/>
              </w:rPr>
              <w:t>9</w:t>
            </w:r>
          </w:p>
        </w:tc>
      </w:tr>
      <w:tr w:rsidR="00584651" w14:paraId="28D2099D" w14:textId="77777777" w:rsidTr="003374E5">
        <w:trPr>
          <w:trHeight w:val="238"/>
        </w:trPr>
        <w:tc>
          <w:tcPr>
            <w:tcW w:w="3768" w:type="dxa"/>
            <w:tcBorders>
              <w:top w:val="single" w:sz="4" w:space="0" w:color="auto"/>
              <w:left w:val="single" w:sz="4" w:space="0" w:color="auto"/>
              <w:bottom w:val="single" w:sz="4" w:space="0" w:color="auto"/>
              <w:right w:val="single" w:sz="4" w:space="0" w:color="auto"/>
            </w:tcBorders>
            <w:noWrap/>
            <w:vAlign w:val="center"/>
            <w:hideMark/>
          </w:tcPr>
          <w:p w14:paraId="77387AD5" w14:textId="77777777" w:rsidR="00584651" w:rsidRDefault="00584651">
            <w:pPr>
              <w:rPr>
                <w:rFonts w:cs="Lucida Sans Unicode"/>
                <w:sz w:val="18"/>
                <w:szCs w:val="18"/>
                <w:lang w:val="en-US"/>
              </w:rPr>
            </w:pPr>
            <w:r>
              <w:rPr>
                <w:sz w:val="18"/>
                <w:szCs w:val="18"/>
                <w:lang w:val="en-US"/>
              </w:rPr>
              <w:t>Performance Materials</w:t>
            </w:r>
          </w:p>
        </w:tc>
        <w:tc>
          <w:tcPr>
            <w:tcW w:w="981" w:type="dxa"/>
            <w:tcBorders>
              <w:top w:val="single" w:sz="4" w:space="0" w:color="auto"/>
              <w:left w:val="nil"/>
              <w:bottom w:val="single" w:sz="4" w:space="0" w:color="auto"/>
              <w:right w:val="single" w:sz="4" w:space="0" w:color="auto"/>
            </w:tcBorders>
            <w:shd w:val="clear" w:color="auto" w:fill="C0C0C0"/>
            <w:noWrap/>
            <w:vAlign w:val="center"/>
            <w:hideMark/>
          </w:tcPr>
          <w:p w14:paraId="4CCD42AD" w14:textId="77777777" w:rsidR="00584651" w:rsidRDefault="00584651">
            <w:pPr>
              <w:jc w:val="right"/>
              <w:rPr>
                <w:rFonts w:cs="Lucida Sans Unicode"/>
                <w:sz w:val="18"/>
                <w:szCs w:val="18"/>
                <w:lang w:val="en-US"/>
              </w:rPr>
            </w:pPr>
            <w:r>
              <w:rPr>
                <w:rFonts w:cs="Lucida Sans Unicode"/>
                <w:sz w:val="18"/>
                <w:szCs w:val="18"/>
                <w:lang w:val="en-US"/>
              </w:rPr>
              <w:t>3.245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83C614" w14:textId="77777777" w:rsidR="00584651" w:rsidRDefault="00584651">
            <w:pPr>
              <w:jc w:val="right"/>
              <w:rPr>
                <w:rFonts w:cs="Lucida Sans Unicode"/>
                <w:sz w:val="18"/>
                <w:szCs w:val="18"/>
                <w:lang w:val="en-US"/>
              </w:rPr>
            </w:pPr>
            <w:r>
              <w:rPr>
                <w:rFonts w:cs="Lucida Sans Unicode"/>
                <w:sz w:val="18"/>
                <w:szCs w:val="18"/>
                <w:lang w:val="en-US"/>
              </w:rPr>
              <w:t>3.435</w:t>
            </w:r>
          </w:p>
        </w:tc>
        <w:tc>
          <w:tcPr>
            <w:tcW w:w="981" w:type="dxa"/>
            <w:tcBorders>
              <w:top w:val="nil"/>
              <w:left w:val="single" w:sz="4" w:space="0" w:color="auto"/>
              <w:bottom w:val="single" w:sz="4" w:space="0" w:color="auto"/>
              <w:right w:val="single" w:sz="4" w:space="0" w:color="auto"/>
            </w:tcBorders>
            <w:noWrap/>
            <w:vAlign w:val="bottom"/>
            <w:hideMark/>
          </w:tcPr>
          <w:p w14:paraId="4F52E84C" w14:textId="77777777" w:rsidR="00584651" w:rsidRDefault="00584651">
            <w:pPr>
              <w:jc w:val="right"/>
              <w:rPr>
                <w:rFonts w:cs="Lucida Sans Unicode"/>
                <w:sz w:val="18"/>
                <w:szCs w:val="18"/>
                <w:lang w:val="en-US"/>
              </w:rPr>
            </w:pPr>
            <w:r>
              <w:rPr>
                <w:rFonts w:cs="Lucida Sans Unicode"/>
                <w:sz w:val="18"/>
                <w:szCs w:val="18"/>
                <w:lang w:val="en-US"/>
              </w:rPr>
              <w:t>-6</w:t>
            </w:r>
          </w:p>
        </w:tc>
        <w:tc>
          <w:tcPr>
            <w:tcW w:w="981" w:type="dxa"/>
            <w:tcBorders>
              <w:top w:val="single" w:sz="4" w:space="0" w:color="auto"/>
              <w:left w:val="nil"/>
              <w:bottom w:val="single" w:sz="4" w:space="0" w:color="auto"/>
              <w:right w:val="single" w:sz="4" w:space="0" w:color="auto"/>
            </w:tcBorders>
            <w:shd w:val="clear" w:color="auto" w:fill="C0C0C0"/>
            <w:noWrap/>
            <w:vAlign w:val="center"/>
            <w:hideMark/>
          </w:tcPr>
          <w:p w14:paraId="3AA68F57" w14:textId="77777777" w:rsidR="00584651" w:rsidRDefault="00584651">
            <w:pPr>
              <w:jc w:val="right"/>
              <w:rPr>
                <w:rFonts w:cs="Lucida Sans Unicode"/>
                <w:sz w:val="18"/>
                <w:szCs w:val="18"/>
                <w:lang w:val="en-US"/>
              </w:rPr>
            </w:pPr>
            <w:r>
              <w:rPr>
                <w:rFonts w:cs="Lucida Sans Unicode"/>
                <w:sz w:val="18"/>
                <w:szCs w:val="18"/>
                <w:lang w:val="en-US"/>
              </w:rPr>
              <w:t>371</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22D5CD61" w14:textId="77777777" w:rsidR="00584651" w:rsidRDefault="00584651">
            <w:pPr>
              <w:jc w:val="right"/>
              <w:rPr>
                <w:rFonts w:cs="Lucida Sans Unicode"/>
                <w:sz w:val="18"/>
                <w:szCs w:val="18"/>
                <w:lang w:val="en-US"/>
              </w:rPr>
            </w:pPr>
            <w:r>
              <w:rPr>
                <w:rFonts w:cs="Lucida Sans Unicode"/>
                <w:sz w:val="18"/>
                <w:szCs w:val="18"/>
                <w:lang w:val="en-US"/>
              </w:rPr>
              <w:t>309</w:t>
            </w:r>
          </w:p>
        </w:tc>
        <w:tc>
          <w:tcPr>
            <w:tcW w:w="981" w:type="dxa"/>
            <w:tcBorders>
              <w:top w:val="nil"/>
              <w:left w:val="single" w:sz="4" w:space="0" w:color="auto"/>
              <w:bottom w:val="single" w:sz="4" w:space="0" w:color="auto"/>
              <w:right w:val="single" w:sz="4" w:space="0" w:color="auto"/>
            </w:tcBorders>
            <w:noWrap/>
            <w:vAlign w:val="bottom"/>
            <w:hideMark/>
          </w:tcPr>
          <w:p w14:paraId="7F34D4BB" w14:textId="77777777" w:rsidR="00584651" w:rsidRDefault="00584651">
            <w:pPr>
              <w:jc w:val="right"/>
              <w:rPr>
                <w:rFonts w:cs="Lucida Sans Unicode"/>
                <w:sz w:val="18"/>
                <w:szCs w:val="18"/>
                <w:lang w:val="en-US"/>
              </w:rPr>
            </w:pPr>
            <w:r>
              <w:rPr>
                <w:rFonts w:cs="Lucida Sans Unicode"/>
                <w:sz w:val="18"/>
                <w:szCs w:val="18"/>
                <w:lang w:val="en-US"/>
              </w:rPr>
              <w:t>20</w:t>
            </w:r>
          </w:p>
        </w:tc>
      </w:tr>
      <w:tr w:rsidR="00584651" w14:paraId="6B5163D9" w14:textId="77777777" w:rsidTr="003374E5">
        <w:trPr>
          <w:trHeight w:val="238"/>
        </w:trPr>
        <w:tc>
          <w:tcPr>
            <w:tcW w:w="3768" w:type="dxa"/>
            <w:tcBorders>
              <w:top w:val="nil"/>
              <w:left w:val="single" w:sz="4" w:space="0" w:color="auto"/>
              <w:bottom w:val="single" w:sz="4" w:space="0" w:color="auto"/>
              <w:right w:val="single" w:sz="4" w:space="0" w:color="auto"/>
            </w:tcBorders>
            <w:noWrap/>
            <w:vAlign w:val="center"/>
            <w:hideMark/>
          </w:tcPr>
          <w:p w14:paraId="1CC7934B" w14:textId="77777777" w:rsidR="00584651" w:rsidRDefault="00584651">
            <w:pPr>
              <w:rPr>
                <w:rFonts w:cs="Lucida Sans Unicode"/>
                <w:sz w:val="18"/>
                <w:szCs w:val="18"/>
                <w:lang w:val="en-US"/>
              </w:rPr>
            </w:pPr>
            <w:r>
              <w:rPr>
                <w:sz w:val="18"/>
                <w:szCs w:val="18"/>
                <w:lang w:val="en-US"/>
              </w:rPr>
              <w:t>Services</w:t>
            </w:r>
          </w:p>
        </w:tc>
        <w:tc>
          <w:tcPr>
            <w:tcW w:w="981" w:type="dxa"/>
            <w:tcBorders>
              <w:top w:val="nil"/>
              <w:left w:val="nil"/>
              <w:bottom w:val="single" w:sz="4" w:space="0" w:color="auto"/>
              <w:right w:val="single" w:sz="4" w:space="0" w:color="auto"/>
            </w:tcBorders>
            <w:shd w:val="clear" w:color="auto" w:fill="C0C0C0"/>
            <w:noWrap/>
            <w:vAlign w:val="center"/>
            <w:hideMark/>
          </w:tcPr>
          <w:p w14:paraId="2F6A741F" w14:textId="77777777" w:rsidR="00584651" w:rsidRDefault="00584651">
            <w:pPr>
              <w:jc w:val="right"/>
              <w:rPr>
                <w:rFonts w:cs="Lucida Sans Unicode"/>
                <w:sz w:val="18"/>
                <w:szCs w:val="18"/>
                <w:lang w:val="en-US"/>
              </w:rPr>
            </w:pPr>
            <w:r>
              <w:rPr>
                <w:rFonts w:cs="Lucida Sans Unicode"/>
                <w:sz w:val="18"/>
                <w:szCs w:val="18"/>
                <w:lang w:val="en-US"/>
              </w:rPr>
              <w:t>683</w:t>
            </w:r>
          </w:p>
        </w:tc>
        <w:tc>
          <w:tcPr>
            <w:tcW w:w="1134" w:type="dxa"/>
            <w:tcBorders>
              <w:top w:val="nil"/>
              <w:left w:val="single" w:sz="4" w:space="0" w:color="auto"/>
              <w:bottom w:val="single" w:sz="4" w:space="0" w:color="auto"/>
              <w:right w:val="single" w:sz="4" w:space="0" w:color="auto"/>
            </w:tcBorders>
            <w:noWrap/>
            <w:vAlign w:val="center"/>
            <w:hideMark/>
          </w:tcPr>
          <w:p w14:paraId="21F594DE" w14:textId="77777777" w:rsidR="00584651" w:rsidRDefault="00584651">
            <w:pPr>
              <w:jc w:val="right"/>
              <w:rPr>
                <w:rFonts w:cs="Lucida Sans Unicode"/>
                <w:sz w:val="18"/>
                <w:szCs w:val="18"/>
                <w:lang w:val="en-US"/>
              </w:rPr>
            </w:pPr>
            <w:r>
              <w:rPr>
                <w:rFonts w:cs="Lucida Sans Unicode"/>
                <w:sz w:val="18"/>
                <w:szCs w:val="18"/>
                <w:lang w:val="en-US"/>
              </w:rPr>
              <w:t>828</w:t>
            </w:r>
          </w:p>
        </w:tc>
        <w:tc>
          <w:tcPr>
            <w:tcW w:w="981" w:type="dxa"/>
            <w:tcBorders>
              <w:top w:val="nil"/>
              <w:left w:val="single" w:sz="4" w:space="0" w:color="auto"/>
              <w:bottom w:val="single" w:sz="4" w:space="0" w:color="auto"/>
              <w:right w:val="single" w:sz="4" w:space="0" w:color="auto"/>
            </w:tcBorders>
            <w:noWrap/>
            <w:vAlign w:val="bottom"/>
            <w:hideMark/>
          </w:tcPr>
          <w:p w14:paraId="655CC6B0" w14:textId="77777777" w:rsidR="00584651" w:rsidRDefault="00584651">
            <w:pPr>
              <w:jc w:val="right"/>
              <w:rPr>
                <w:rFonts w:cs="Lucida Sans Unicode"/>
                <w:sz w:val="18"/>
                <w:szCs w:val="18"/>
                <w:lang w:val="en-US"/>
              </w:rPr>
            </w:pPr>
            <w:r>
              <w:rPr>
                <w:rFonts w:cs="Lucida Sans Unicode"/>
                <w:sz w:val="18"/>
                <w:szCs w:val="18"/>
                <w:lang w:val="en-US"/>
              </w:rPr>
              <w:t>-18</w:t>
            </w:r>
          </w:p>
        </w:tc>
        <w:tc>
          <w:tcPr>
            <w:tcW w:w="981" w:type="dxa"/>
            <w:tcBorders>
              <w:top w:val="nil"/>
              <w:left w:val="nil"/>
              <w:bottom w:val="single" w:sz="4" w:space="0" w:color="auto"/>
              <w:right w:val="single" w:sz="4" w:space="0" w:color="auto"/>
            </w:tcBorders>
            <w:shd w:val="clear" w:color="auto" w:fill="C0C0C0"/>
            <w:noWrap/>
            <w:vAlign w:val="center"/>
            <w:hideMark/>
          </w:tcPr>
          <w:p w14:paraId="333F3710" w14:textId="77777777" w:rsidR="00584651" w:rsidRDefault="00584651">
            <w:pPr>
              <w:jc w:val="right"/>
              <w:rPr>
                <w:rFonts w:cs="Lucida Sans Unicode"/>
                <w:sz w:val="18"/>
                <w:szCs w:val="18"/>
                <w:lang w:val="en-US"/>
              </w:rPr>
            </w:pPr>
            <w:r>
              <w:rPr>
                <w:rFonts w:cs="Lucida Sans Unicode"/>
                <w:sz w:val="18"/>
                <w:szCs w:val="18"/>
                <w:lang w:val="en-US"/>
              </w:rPr>
              <w:t>151</w:t>
            </w:r>
          </w:p>
        </w:tc>
        <w:tc>
          <w:tcPr>
            <w:tcW w:w="981" w:type="dxa"/>
            <w:tcBorders>
              <w:top w:val="nil"/>
              <w:left w:val="single" w:sz="4" w:space="0" w:color="auto"/>
              <w:bottom w:val="single" w:sz="4" w:space="0" w:color="auto"/>
              <w:right w:val="single" w:sz="4" w:space="0" w:color="auto"/>
            </w:tcBorders>
            <w:noWrap/>
            <w:vAlign w:val="center"/>
            <w:hideMark/>
          </w:tcPr>
          <w:p w14:paraId="1B303496" w14:textId="77777777" w:rsidR="00584651" w:rsidRDefault="00584651">
            <w:pPr>
              <w:jc w:val="right"/>
              <w:rPr>
                <w:rFonts w:cs="Lucida Sans Unicode"/>
                <w:sz w:val="18"/>
                <w:szCs w:val="18"/>
                <w:lang w:val="en-US"/>
              </w:rPr>
            </w:pPr>
            <w:r>
              <w:rPr>
                <w:rFonts w:cs="Lucida Sans Unicode"/>
                <w:sz w:val="18"/>
                <w:szCs w:val="18"/>
                <w:lang w:val="en-US"/>
              </w:rPr>
              <w:t>159</w:t>
            </w:r>
          </w:p>
        </w:tc>
        <w:tc>
          <w:tcPr>
            <w:tcW w:w="981" w:type="dxa"/>
            <w:tcBorders>
              <w:top w:val="nil"/>
              <w:left w:val="single" w:sz="4" w:space="0" w:color="auto"/>
              <w:bottom w:val="single" w:sz="4" w:space="0" w:color="auto"/>
              <w:right w:val="single" w:sz="4" w:space="0" w:color="auto"/>
            </w:tcBorders>
            <w:noWrap/>
            <w:vAlign w:val="bottom"/>
            <w:hideMark/>
          </w:tcPr>
          <w:p w14:paraId="235E14D1" w14:textId="77777777" w:rsidR="00584651" w:rsidRDefault="00584651">
            <w:pPr>
              <w:jc w:val="right"/>
              <w:rPr>
                <w:rFonts w:cs="Lucida Sans Unicode"/>
                <w:sz w:val="18"/>
                <w:szCs w:val="18"/>
                <w:lang w:val="en-US"/>
              </w:rPr>
            </w:pPr>
            <w:r>
              <w:rPr>
                <w:rFonts w:cs="Lucida Sans Unicode"/>
                <w:sz w:val="18"/>
                <w:szCs w:val="18"/>
                <w:lang w:val="en-US"/>
              </w:rPr>
              <w:t>-5</w:t>
            </w:r>
          </w:p>
        </w:tc>
      </w:tr>
      <w:tr w:rsidR="00584651" w14:paraId="205723BB" w14:textId="77777777" w:rsidTr="003374E5">
        <w:trPr>
          <w:trHeight w:val="238"/>
        </w:trPr>
        <w:tc>
          <w:tcPr>
            <w:tcW w:w="3768" w:type="dxa"/>
            <w:tcBorders>
              <w:top w:val="nil"/>
              <w:left w:val="single" w:sz="4" w:space="0" w:color="auto"/>
              <w:bottom w:val="single" w:sz="4" w:space="0" w:color="auto"/>
              <w:right w:val="single" w:sz="4" w:space="0" w:color="auto"/>
            </w:tcBorders>
            <w:noWrap/>
            <w:vAlign w:val="center"/>
            <w:hideMark/>
          </w:tcPr>
          <w:p w14:paraId="2C707870" w14:textId="77777777" w:rsidR="00584651" w:rsidRDefault="00584651">
            <w:pPr>
              <w:rPr>
                <w:rFonts w:cs="Lucida Sans Unicode"/>
                <w:sz w:val="18"/>
                <w:szCs w:val="18"/>
                <w:lang w:val="en-US"/>
              </w:rPr>
            </w:pPr>
            <w:r>
              <w:rPr>
                <w:sz w:val="18"/>
                <w:szCs w:val="18"/>
                <w:lang w:val="en-US"/>
              </w:rPr>
              <w:t>Sonstige Aktivitäten</w:t>
            </w:r>
          </w:p>
        </w:tc>
        <w:tc>
          <w:tcPr>
            <w:tcW w:w="981" w:type="dxa"/>
            <w:tcBorders>
              <w:top w:val="nil"/>
              <w:left w:val="nil"/>
              <w:bottom w:val="single" w:sz="4" w:space="0" w:color="auto"/>
              <w:right w:val="single" w:sz="4" w:space="0" w:color="auto"/>
            </w:tcBorders>
            <w:shd w:val="clear" w:color="auto" w:fill="C0C0C0"/>
            <w:noWrap/>
            <w:vAlign w:val="center"/>
            <w:hideMark/>
          </w:tcPr>
          <w:p w14:paraId="71C93D39" w14:textId="77777777" w:rsidR="00584651" w:rsidRDefault="00584651">
            <w:pPr>
              <w:jc w:val="right"/>
              <w:rPr>
                <w:rFonts w:cs="Lucida Sans Unicode"/>
                <w:sz w:val="18"/>
                <w:szCs w:val="18"/>
                <w:lang w:val="en-US"/>
              </w:rPr>
            </w:pPr>
            <w:r>
              <w:rPr>
                <w:rFonts w:cs="Lucida Sans Unicode"/>
                <w:sz w:val="18"/>
                <w:szCs w:val="18"/>
                <w:lang w:val="en-US"/>
              </w:rPr>
              <w:t>15</w:t>
            </w:r>
          </w:p>
        </w:tc>
        <w:tc>
          <w:tcPr>
            <w:tcW w:w="1134" w:type="dxa"/>
            <w:tcBorders>
              <w:top w:val="nil"/>
              <w:left w:val="single" w:sz="4" w:space="0" w:color="auto"/>
              <w:bottom w:val="single" w:sz="4" w:space="0" w:color="auto"/>
              <w:right w:val="single" w:sz="4" w:space="0" w:color="auto"/>
            </w:tcBorders>
            <w:noWrap/>
            <w:vAlign w:val="center"/>
            <w:hideMark/>
          </w:tcPr>
          <w:p w14:paraId="503E9A0F" w14:textId="77777777" w:rsidR="00584651" w:rsidRDefault="00584651">
            <w:pPr>
              <w:jc w:val="right"/>
              <w:rPr>
                <w:rFonts w:cs="Lucida Sans Unicode"/>
                <w:sz w:val="18"/>
                <w:szCs w:val="18"/>
                <w:lang w:val="en-US"/>
              </w:rPr>
            </w:pPr>
            <w:r>
              <w:rPr>
                <w:rFonts w:cs="Lucida Sans Unicode"/>
                <w:sz w:val="18"/>
                <w:szCs w:val="18"/>
                <w:lang w:val="en-US"/>
              </w:rPr>
              <w:t>41</w:t>
            </w:r>
          </w:p>
        </w:tc>
        <w:tc>
          <w:tcPr>
            <w:tcW w:w="981" w:type="dxa"/>
            <w:tcBorders>
              <w:top w:val="nil"/>
              <w:left w:val="single" w:sz="4" w:space="0" w:color="auto"/>
              <w:bottom w:val="single" w:sz="4" w:space="0" w:color="auto"/>
              <w:right w:val="single" w:sz="4" w:space="0" w:color="auto"/>
            </w:tcBorders>
            <w:noWrap/>
            <w:vAlign w:val="bottom"/>
            <w:hideMark/>
          </w:tcPr>
          <w:p w14:paraId="0CA91016" w14:textId="77777777" w:rsidR="00584651" w:rsidRDefault="00584651">
            <w:pPr>
              <w:jc w:val="right"/>
              <w:rPr>
                <w:rFonts w:cs="Lucida Sans Unicode"/>
                <w:sz w:val="18"/>
                <w:szCs w:val="18"/>
                <w:lang w:val="en-US"/>
              </w:rPr>
            </w:pPr>
            <w:r>
              <w:rPr>
                <w:rFonts w:cs="Lucida Sans Unicode"/>
                <w:sz w:val="18"/>
                <w:szCs w:val="18"/>
                <w:lang w:val="en-US"/>
              </w:rPr>
              <w:t>-</w:t>
            </w:r>
          </w:p>
        </w:tc>
        <w:tc>
          <w:tcPr>
            <w:tcW w:w="981" w:type="dxa"/>
            <w:tcBorders>
              <w:top w:val="nil"/>
              <w:left w:val="nil"/>
              <w:bottom w:val="single" w:sz="4" w:space="0" w:color="auto"/>
              <w:right w:val="single" w:sz="4" w:space="0" w:color="auto"/>
            </w:tcBorders>
            <w:shd w:val="clear" w:color="auto" w:fill="C0C0C0"/>
            <w:noWrap/>
            <w:vAlign w:val="center"/>
            <w:hideMark/>
          </w:tcPr>
          <w:p w14:paraId="4CDADF47" w14:textId="77777777" w:rsidR="00584651" w:rsidRDefault="00584651">
            <w:pPr>
              <w:jc w:val="right"/>
              <w:rPr>
                <w:rFonts w:cs="Lucida Sans Unicode"/>
                <w:sz w:val="18"/>
                <w:szCs w:val="18"/>
                <w:lang w:val="en-US"/>
              </w:rPr>
            </w:pPr>
            <w:r>
              <w:rPr>
                <w:rFonts w:cs="Lucida Sans Unicode"/>
                <w:sz w:val="18"/>
                <w:szCs w:val="18"/>
                <w:lang w:val="en-US"/>
              </w:rPr>
              <w:t>-340</w:t>
            </w:r>
          </w:p>
        </w:tc>
        <w:tc>
          <w:tcPr>
            <w:tcW w:w="981" w:type="dxa"/>
            <w:tcBorders>
              <w:top w:val="nil"/>
              <w:left w:val="single" w:sz="4" w:space="0" w:color="auto"/>
              <w:bottom w:val="single" w:sz="4" w:space="0" w:color="auto"/>
              <w:right w:val="single" w:sz="4" w:space="0" w:color="auto"/>
            </w:tcBorders>
            <w:noWrap/>
            <w:vAlign w:val="center"/>
            <w:hideMark/>
          </w:tcPr>
          <w:p w14:paraId="03B484FB" w14:textId="77777777" w:rsidR="00584651" w:rsidRDefault="00584651">
            <w:pPr>
              <w:jc w:val="right"/>
              <w:rPr>
                <w:rFonts w:cs="Lucida Sans Unicode"/>
                <w:sz w:val="18"/>
                <w:szCs w:val="18"/>
                <w:lang w:val="en-US"/>
              </w:rPr>
            </w:pPr>
            <w:r>
              <w:rPr>
                <w:rFonts w:cs="Lucida Sans Unicode"/>
                <w:sz w:val="18"/>
                <w:szCs w:val="18"/>
                <w:lang w:val="en-US"/>
              </w:rPr>
              <w:t>-334</w:t>
            </w:r>
          </w:p>
        </w:tc>
        <w:tc>
          <w:tcPr>
            <w:tcW w:w="981" w:type="dxa"/>
            <w:tcBorders>
              <w:top w:val="nil"/>
              <w:left w:val="single" w:sz="4" w:space="0" w:color="auto"/>
              <w:bottom w:val="single" w:sz="4" w:space="0" w:color="auto"/>
              <w:right w:val="single" w:sz="4" w:space="0" w:color="auto"/>
            </w:tcBorders>
            <w:noWrap/>
            <w:vAlign w:val="bottom"/>
            <w:hideMark/>
          </w:tcPr>
          <w:p w14:paraId="3F5E5106" w14:textId="77777777" w:rsidR="00584651" w:rsidRDefault="00584651">
            <w:pPr>
              <w:jc w:val="right"/>
              <w:rPr>
                <w:rFonts w:cs="Lucida Sans Unicode"/>
                <w:sz w:val="18"/>
                <w:szCs w:val="18"/>
                <w:lang w:val="en-US"/>
              </w:rPr>
            </w:pPr>
            <w:r>
              <w:rPr>
                <w:rFonts w:cs="Lucida Sans Unicode"/>
                <w:sz w:val="18"/>
                <w:szCs w:val="18"/>
                <w:lang w:val="en-US"/>
              </w:rPr>
              <w:t>-</w:t>
            </w:r>
          </w:p>
        </w:tc>
      </w:tr>
      <w:tr w:rsidR="00584651" w14:paraId="2424D16C" w14:textId="77777777" w:rsidTr="003374E5">
        <w:trPr>
          <w:trHeight w:val="238"/>
        </w:trPr>
        <w:tc>
          <w:tcPr>
            <w:tcW w:w="3768" w:type="dxa"/>
            <w:tcBorders>
              <w:top w:val="single" w:sz="4" w:space="0" w:color="auto"/>
              <w:left w:val="single" w:sz="4" w:space="0" w:color="auto"/>
              <w:bottom w:val="single" w:sz="4" w:space="0" w:color="auto"/>
              <w:right w:val="single" w:sz="4" w:space="0" w:color="auto"/>
            </w:tcBorders>
            <w:noWrap/>
            <w:vAlign w:val="center"/>
            <w:hideMark/>
          </w:tcPr>
          <w:p w14:paraId="4A027A86" w14:textId="77777777" w:rsidR="00584651" w:rsidRDefault="00584651">
            <w:pPr>
              <w:rPr>
                <w:rFonts w:cs="Lucida Sans Unicode"/>
                <w:b/>
                <w:bCs/>
                <w:sz w:val="18"/>
                <w:szCs w:val="18"/>
                <w:lang w:val="en-US"/>
              </w:rPr>
            </w:pPr>
            <w:r>
              <w:rPr>
                <w:b/>
                <w:sz w:val="18"/>
                <w:szCs w:val="18"/>
                <w:lang w:val="en-US"/>
              </w:rPr>
              <w:t>Konzern</w:t>
            </w:r>
          </w:p>
        </w:tc>
        <w:tc>
          <w:tcPr>
            <w:tcW w:w="981" w:type="dxa"/>
            <w:tcBorders>
              <w:top w:val="single" w:sz="4" w:space="0" w:color="auto"/>
              <w:left w:val="nil"/>
              <w:bottom w:val="single" w:sz="4" w:space="0" w:color="auto"/>
              <w:right w:val="single" w:sz="4" w:space="0" w:color="auto"/>
            </w:tcBorders>
            <w:shd w:val="clear" w:color="auto" w:fill="C0C0C0"/>
            <w:noWrap/>
            <w:vAlign w:val="center"/>
            <w:hideMark/>
          </w:tcPr>
          <w:p w14:paraId="5C234C5B" w14:textId="77777777" w:rsidR="00584651" w:rsidRDefault="00584651">
            <w:pPr>
              <w:jc w:val="right"/>
              <w:rPr>
                <w:rFonts w:cs="Lucida Sans Unicode"/>
                <w:b/>
                <w:bCs/>
                <w:sz w:val="18"/>
                <w:szCs w:val="18"/>
                <w:lang w:val="en-US"/>
              </w:rPr>
            </w:pPr>
            <w:r>
              <w:rPr>
                <w:rFonts w:cs="Lucida Sans Unicode"/>
                <w:b/>
                <w:bCs/>
                <w:sz w:val="18"/>
                <w:szCs w:val="18"/>
                <w:lang w:val="en-US"/>
              </w:rPr>
              <w:t>12.732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1352B8E" w14:textId="77777777" w:rsidR="00584651" w:rsidRDefault="00584651">
            <w:pPr>
              <w:jc w:val="right"/>
              <w:rPr>
                <w:rFonts w:cs="Lucida Sans Unicode"/>
                <w:b/>
                <w:bCs/>
                <w:sz w:val="18"/>
                <w:szCs w:val="18"/>
                <w:lang w:val="en-US"/>
              </w:rPr>
            </w:pPr>
            <w:r>
              <w:rPr>
                <w:rFonts w:cs="Lucida Sans Unicode"/>
                <w:b/>
                <w:bCs/>
                <w:sz w:val="18"/>
                <w:szCs w:val="18"/>
                <w:lang w:val="en-US"/>
              </w:rPr>
              <w:t>13.507</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7FD4C105" w14:textId="77777777" w:rsidR="00584651" w:rsidRDefault="00584651">
            <w:pPr>
              <w:jc w:val="right"/>
              <w:rPr>
                <w:rFonts w:cs="Lucida Sans Unicode"/>
                <w:b/>
                <w:bCs/>
                <w:sz w:val="18"/>
                <w:szCs w:val="18"/>
                <w:lang w:val="en-US"/>
              </w:rPr>
            </w:pPr>
            <w:r>
              <w:rPr>
                <w:rFonts w:cs="Lucida Sans Unicode"/>
                <w:b/>
                <w:bCs/>
                <w:sz w:val="18"/>
                <w:szCs w:val="18"/>
                <w:lang w:val="en-US"/>
              </w:rPr>
              <w:t>-6</w:t>
            </w:r>
          </w:p>
        </w:tc>
        <w:tc>
          <w:tcPr>
            <w:tcW w:w="981" w:type="dxa"/>
            <w:tcBorders>
              <w:top w:val="single" w:sz="4" w:space="0" w:color="auto"/>
              <w:left w:val="nil"/>
              <w:bottom w:val="single" w:sz="4" w:space="0" w:color="auto"/>
              <w:right w:val="single" w:sz="4" w:space="0" w:color="auto"/>
            </w:tcBorders>
            <w:shd w:val="clear" w:color="auto" w:fill="C0C0C0"/>
            <w:noWrap/>
            <w:vAlign w:val="center"/>
            <w:hideMark/>
          </w:tcPr>
          <w:p w14:paraId="1FFDE63D" w14:textId="77777777" w:rsidR="00584651" w:rsidRDefault="00584651">
            <w:pPr>
              <w:jc w:val="right"/>
              <w:rPr>
                <w:rFonts w:cs="Lucida Sans Unicode"/>
                <w:b/>
                <w:bCs/>
                <w:sz w:val="18"/>
                <w:szCs w:val="18"/>
                <w:lang w:val="en-US"/>
              </w:rPr>
            </w:pPr>
            <w:r>
              <w:rPr>
                <w:rFonts w:cs="Lucida Sans Unicode"/>
                <w:b/>
                <w:bCs/>
                <w:sz w:val="18"/>
                <w:szCs w:val="18"/>
                <w:lang w:val="en-US"/>
              </w:rPr>
              <w:t>2.165</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6A766ABB" w14:textId="77777777" w:rsidR="00584651" w:rsidRDefault="00584651">
            <w:pPr>
              <w:jc w:val="right"/>
              <w:rPr>
                <w:rFonts w:cs="Lucida Sans Unicode"/>
                <w:b/>
                <w:bCs/>
                <w:sz w:val="18"/>
                <w:szCs w:val="18"/>
                <w:lang w:val="en-US"/>
              </w:rPr>
            </w:pPr>
            <w:r>
              <w:rPr>
                <w:rFonts w:cs="Lucida Sans Unicode"/>
                <w:b/>
                <w:bCs/>
                <w:sz w:val="18"/>
                <w:szCs w:val="18"/>
                <w:lang w:val="en-US"/>
              </w:rPr>
              <w:t>2.465</w:t>
            </w:r>
          </w:p>
        </w:tc>
        <w:tc>
          <w:tcPr>
            <w:tcW w:w="981" w:type="dxa"/>
            <w:tcBorders>
              <w:top w:val="single" w:sz="4" w:space="0" w:color="auto"/>
              <w:left w:val="single" w:sz="4" w:space="0" w:color="auto"/>
              <w:bottom w:val="single" w:sz="4" w:space="0" w:color="auto"/>
              <w:right w:val="single" w:sz="4" w:space="0" w:color="auto"/>
            </w:tcBorders>
            <w:noWrap/>
            <w:vAlign w:val="bottom"/>
            <w:hideMark/>
          </w:tcPr>
          <w:p w14:paraId="5BE96717" w14:textId="77777777" w:rsidR="00584651" w:rsidRDefault="00584651">
            <w:pPr>
              <w:jc w:val="right"/>
              <w:rPr>
                <w:rFonts w:cs="Lucida Sans Unicode"/>
                <w:b/>
                <w:bCs/>
                <w:sz w:val="18"/>
                <w:szCs w:val="18"/>
                <w:lang w:val="en-US"/>
              </w:rPr>
            </w:pPr>
            <w:r>
              <w:rPr>
                <w:rFonts w:cs="Lucida Sans Unicode"/>
                <w:b/>
                <w:bCs/>
                <w:sz w:val="18"/>
                <w:szCs w:val="18"/>
                <w:lang w:val="en-US"/>
              </w:rPr>
              <w:t>-12</w:t>
            </w:r>
          </w:p>
        </w:tc>
      </w:tr>
    </w:tbl>
    <w:p w14:paraId="3E7B12DD" w14:textId="77777777" w:rsidR="00584651" w:rsidRDefault="00584651" w:rsidP="00584651">
      <w:pPr>
        <w:jc w:val="both"/>
        <w:outlineLvl w:val="0"/>
        <w:rPr>
          <w:rFonts w:cs="Lucida Sans Unicode"/>
          <w:b/>
          <w:sz w:val="20"/>
          <w:szCs w:val="20"/>
          <w:lang w:val="en-US"/>
        </w:rPr>
      </w:pPr>
      <w:r>
        <w:rPr>
          <w:b/>
          <w:sz w:val="20"/>
          <w:lang w:val="en-US"/>
        </w:rPr>
        <w:lastRenderedPageBreak/>
        <w:t>Mitarbeiter nach Segmenten</w:t>
      </w:r>
    </w:p>
    <w:p w14:paraId="128F868C" w14:textId="77777777" w:rsidR="00584651" w:rsidRDefault="00584651" w:rsidP="00584651">
      <w:pPr>
        <w:spacing w:line="100" w:lineRule="exact"/>
        <w:jc w:val="both"/>
        <w:outlineLvl w:val="0"/>
        <w:rPr>
          <w:sz w:val="20"/>
          <w:szCs w:val="20"/>
          <w:lang w:val="en-US"/>
        </w:rPr>
      </w:pPr>
    </w:p>
    <w:tbl>
      <w:tblPr>
        <w:tblW w:w="100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3"/>
        <w:gridCol w:w="1746"/>
        <w:gridCol w:w="1747"/>
      </w:tblGrid>
      <w:tr w:rsidR="00584651" w14:paraId="5FEA0DAB" w14:textId="77777777" w:rsidTr="003374E5">
        <w:tc>
          <w:tcPr>
            <w:tcW w:w="5296" w:type="dxa"/>
            <w:tcBorders>
              <w:top w:val="single" w:sz="4" w:space="0" w:color="auto"/>
              <w:left w:val="single" w:sz="4" w:space="0" w:color="auto"/>
              <w:bottom w:val="single" w:sz="4" w:space="0" w:color="auto"/>
              <w:right w:val="single" w:sz="4" w:space="0" w:color="auto"/>
            </w:tcBorders>
          </w:tcPr>
          <w:p w14:paraId="27296FAB" w14:textId="77777777" w:rsidR="00584651" w:rsidRDefault="00584651">
            <w:pPr>
              <w:jc w:val="both"/>
              <w:rPr>
                <w:rFonts w:cs="Lucida Sans Unicode"/>
                <w:sz w:val="18"/>
                <w:szCs w:val="18"/>
                <w:lang w:val="en-US"/>
              </w:rPr>
            </w:pPr>
          </w:p>
        </w:tc>
        <w:tc>
          <w:tcPr>
            <w:tcW w:w="1413" w:type="dxa"/>
            <w:tcBorders>
              <w:top w:val="single" w:sz="4" w:space="0" w:color="auto"/>
              <w:left w:val="single" w:sz="4" w:space="0" w:color="auto"/>
              <w:bottom w:val="single" w:sz="4" w:space="0" w:color="auto"/>
              <w:right w:val="single" w:sz="4" w:space="0" w:color="auto"/>
            </w:tcBorders>
            <w:shd w:val="clear" w:color="auto" w:fill="C0C0C0"/>
            <w:hideMark/>
          </w:tcPr>
          <w:p w14:paraId="7BADBF8B" w14:textId="77777777" w:rsidR="00584651" w:rsidRDefault="00584651">
            <w:pPr>
              <w:jc w:val="right"/>
              <w:rPr>
                <w:rFonts w:cs="Lucida Sans Unicode"/>
                <w:b/>
                <w:sz w:val="18"/>
                <w:szCs w:val="18"/>
                <w:lang w:val="en-US"/>
              </w:rPr>
            </w:pPr>
            <w:r>
              <w:rPr>
                <w:b/>
                <w:sz w:val="18"/>
                <w:szCs w:val="18"/>
                <w:lang w:val="en-US"/>
              </w:rPr>
              <w:t>31.12.2016</w:t>
            </w:r>
          </w:p>
        </w:tc>
        <w:tc>
          <w:tcPr>
            <w:tcW w:w="1414" w:type="dxa"/>
            <w:tcBorders>
              <w:top w:val="single" w:sz="4" w:space="0" w:color="auto"/>
              <w:left w:val="single" w:sz="4" w:space="0" w:color="auto"/>
              <w:bottom w:val="single" w:sz="4" w:space="0" w:color="auto"/>
              <w:right w:val="single" w:sz="4" w:space="0" w:color="auto"/>
            </w:tcBorders>
            <w:hideMark/>
          </w:tcPr>
          <w:p w14:paraId="539A4230" w14:textId="77777777" w:rsidR="00584651" w:rsidRDefault="00584651">
            <w:pPr>
              <w:jc w:val="right"/>
              <w:rPr>
                <w:rFonts w:cs="Lucida Sans Unicode"/>
                <w:b/>
                <w:sz w:val="18"/>
                <w:szCs w:val="18"/>
                <w:lang w:val="en-US"/>
              </w:rPr>
            </w:pPr>
            <w:r>
              <w:rPr>
                <w:b/>
                <w:sz w:val="18"/>
                <w:szCs w:val="18"/>
                <w:lang w:val="en-US"/>
              </w:rPr>
              <w:t>31.12.2015</w:t>
            </w:r>
          </w:p>
        </w:tc>
      </w:tr>
      <w:tr w:rsidR="00584651" w14:paraId="714067FD" w14:textId="77777777" w:rsidTr="003374E5">
        <w:tc>
          <w:tcPr>
            <w:tcW w:w="5296" w:type="dxa"/>
            <w:tcBorders>
              <w:top w:val="single" w:sz="4" w:space="0" w:color="auto"/>
              <w:left w:val="single" w:sz="4" w:space="0" w:color="auto"/>
              <w:bottom w:val="single" w:sz="4" w:space="0" w:color="auto"/>
              <w:right w:val="single" w:sz="4" w:space="0" w:color="auto"/>
            </w:tcBorders>
            <w:hideMark/>
          </w:tcPr>
          <w:p w14:paraId="311B37FB" w14:textId="77777777" w:rsidR="00584651" w:rsidRDefault="00584651">
            <w:pPr>
              <w:jc w:val="both"/>
              <w:rPr>
                <w:rFonts w:cs="Lucida Sans Unicode"/>
                <w:sz w:val="18"/>
                <w:szCs w:val="18"/>
                <w:lang w:val="en-US"/>
              </w:rPr>
            </w:pPr>
            <w:r>
              <w:rPr>
                <w:sz w:val="18"/>
                <w:szCs w:val="18"/>
                <w:lang w:val="en-US"/>
              </w:rPr>
              <w:t>Nutrition &amp; Care</w:t>
            </w:r>
          </w:p>
        </w:tc>
        <w:tc>
          <w:tcPr>
            <w:tcW w:w="1413" w:type="dxa"/>
            <w:tcBorders>
              <w:top w:val="single" w:sz="4" w:space="0" w:color="auto"/>
              <w:left w:val="single" w:sz="4" w:space="0" w:color="auto"/>
              <w:bottom w:val="single" w:sz="4" w:space="0" w:color="auto"/>
              <w:right w:val="single" w:sz="4" w:space="0" w:color="auto"/>
            </w:tcBorders>
            <w:shd w:val="clear" w:color="auto" w:fill="C0C0C0"/>
            <w:hideMark/>
          </w:tcPr>
          <w:p w14:paraId="7C3F705F" w14:textId="77777777" w:rsidR="00584651" w:rsidRDefault="00584651">
            <w:pPr>
              <w:jc w:val="right"/>
              <w:rPr>
                <w:rFonts w:cs="Lucida Sans Unicode"/>
                <w:sz w:val="18"/>
                <w:szCs w:val="18"/>
                <w:lang w:val="en-US"/>
              </w:rPr>
            </w:pPr>
            <w:r>
              <w:rPr>
                <w:rFonts w:cs="Lucida Sans Unicode"/>
                <w:sz w:val="18"/>
                <w:szCs w:val="18"/>
                <w:lang w:val="en-US"/>
              </w:rPr>
              <w:t>7.594</w:t>
            </w:r>
          </w:p>
        </w:tc>
        <w:tc>
          <w:tcPr>
            <w:tcW w:w="1414" w:type="dxa"/>
            <w:tcBorders>
              <w:top w:val="single" w:sz="4" w:space="0" w:color="auto"/>
              <w:left w:val="single" w:sz="4" w:space="0" w:color="auto"/>
              <w:bottom w:val="single" w:sz="4" w:space="0" w:color="auto"/>
              <w:right w:val="single" w:sz="4" w:space="0" w:color="auto"/>
            </w:tcBorders>
            <w:hideMark/>
          </w:tcPr>
          <w:p w14:paraId="28C6E4B3" w14:textId="77777777" w:rsidR="00584651" w:rsidRDefault="00584651">
            <w:pPr>
              <w:jc w:val="right"/>
              <w:rPr>
                <w:rFonts w:cs="Lucida Sans Unicode"/>
                <w:sz w:val="18"/>
                <w:szCs w:val="18"/>
                <w:lang w:val="en-US"/>
              </w:rPr>
            </w:pPr>
            <w:r>
              <w:rPr>
                <w:rFonts w:cs="Lucida Sans Unicode"/>
                <w:sz w:val="18"/>
                <w:szCs w:val="18"/>
                <w:lang w:val="en-US"/>
              </w:rPr>
              <w:t>7.165</w:t>
            </w:r>
          </w:p>
        </w:tc>
      </w:tr>
      <w:tr w:rsidR="00584651" w14:paraId="288C5B37" w14:textId="77777777" w:rsidTr="003374E5">
        <w:tc>
          <w:tcPr>
            <w:tcW w:w="5296" w:type="dxa"/>
            <w:tcBorders>
              <w:top w:val="single" w:sz="4" w:space="0" w:color="auto"/>
              <w:left w:val="single" w:sz="4" w:space="0" w:color="auto"/>
              <w:bottom w:val="single" w:sz="4" w:space="0" w:color="auto"/>
              <w:right w:val="single" w:sz="4" w:space="0" w:color="auto"/>
            </w:tcBorders>
            <w:hideMark/>
          </w:tcPr>
          <w:p w14:paraId="4EE24142" w14:textId="77777777" w:rsidR="00584651" w:rsidRDefault="00584651">
            <w:pPr>
              <w:jc w:val="both"/>
              <w:rPr>
                <w:rFonts w:cs="Lucida Sans Unicode"/>
                <w:sz w:val="18"/>
                <w:szCs w:val="18"/>
                <w:lang w:val="en-US"/>
              </w:rPr>
            </w:pPr>
            <w:r>
              <w:rPr>
                <w:sz w:val="18"/>
                <w:szCs w:val="18"/>
                <w:lang w:val="en-US"/>
              </w:rPr>
              <w:t>Resource Efficiency</w:t>
            </w:r>
          </w:p>
        </w:tc>
        <w:tc>
          <w:tcPr>
            <w:tcW w:w="1413" w:type="dxa"/>
            <w:tcBorders>
              <w:top w:val="single" w:sz="4" w:space="0" w:color="auto"/>
              <w:left w:val="single" w:sz="4" w:space="0" w:color="auto"/>
              <w:bottom w:val="single" w:sz="4" w:space="0" w:color="auto"/>
              <w:right w:val="single" w:sz="4" w:space="0" w:color="auto"/>
            </w:tcBorders>
            <w:shd w:val="clear" w:color="auto" w:fill="C0C0C0"/>
            <w:hideMark/>
          </w:tcPr>
          <w:p w14:paraId="58EE4DA1" w14:textId="77777777" w:rsidR="00584651" w:rsidRDefault="00584651">
            <w:pPr>
              <w:jc w:val="right"/>
              <w:rPr>
                <w:rFonts w:cs="Lucida Sans Unicode"/>
                <w:sz w:val="18"/>
                <w:szCs w:val="18"/>
                <w:lang w:val="en-US"/>
              </w:rPr>
            </w:pPr>
            <w:r>
              <w:rPr>
                <w:rFonts w:cs="Lucida Sans Unicode"/>
                <w:sz w:val="18"/>
                <w:szCs w:val="18"/>
                <w:lang w:val="en-US"/>
              </w:rPr>
              <w:t>8.928</w:t>
            </w:r>
          </w:p>
        </w:tc>
        <w:tc>
          <w:tcPr>
            <w:tcW w:w="1414" w:type="dxa"/>
            <w:tcBorders>
              <w:top w:val="single" w:sz="4" w:space="0" w:color="auto"/>
              <w:left w:val="single" w:sz="4" w:space="0" w:color="auto"/>
              <w:bottom w:val="single" w:sz="4" w:space="0" w:color="auto"/>
              <w:right w:val="single" w:sz="4" w:space="0" w:color="auto"/>
            </w:tcBorders>
            <w:hideMark/>
          </w:tcPr>
          <w:p w14:paraId="4924EC5C" w14:textId="77777777" w:rsidR="00584651" w:rsidRDefault="00584651">
            <w:pPr>
              <w:jc w:val="right"/>
              <w:rPr>
                <w:rFonts w:cs="Lucida Sans Unicode"/>
                <w:sz w:val="18"/>
                <w:szCs w:val="18"/>
                <w:lang w:val="en-US"/>
              </w:rPr>
            </w:pPr>
            <w:r>
              <w:rPr>
                <w:rFonts w:cs="Lucida Sans Unicode"/>
                <w:sz w:val="18"/>
                <w:szCs w:val="18"/>
                <w:lang w:val="en-US"/>
              </w:rPr>
              <w:t>8.662</w:t>
            </w:r>
          </w:p>
        </w:tc>
      </w:tr>
      <w:tr w:rsidR="00584651" w14:paraId="21349BA0" w14:textId="77777777" w:rsidTr="003374E5">
        <w:tc>
          <w:tcPr>
            <w:tcW w:w="5296" w:type="dxa"/>
            <w:tcBorders>
              <w:top w:val="single" w:sz="4" w:space="0" w:color="auto"/>
              <w:left w:val="single" w:sz="4" w:space="0" w:color="auto"/>
              <w:bottom w:val="single" w:sz="4" w:space="0" w:color="auto"/>
              <w:right w:val="single" w:sz="4" w:space="0" w:color="auto"/>
            </w:tcBorders>
            <w:hideMark/>
          </w:tcPr>
          <w:p w14:paraId="2B9425FF" w14:textId="77777777" w:rsidR="00584651" w:rsidRDefault="00584651">
            <w:pPr>
              <w:jc w:val="both"/>
              <w:rPr>
                <w:rFonts w:cs="Lucida Sans Unicode"/>
                <w:sz w:val="18"/>
                <w:szCs w:val="18"/>
                <w:lang w:val="en-US"/>
              </w:rPr>
            </w:pPr>
            <w:r>
              <w:rPr>
                <w:sz w:val="18"/>
                <w:szCs w:val="18"/>
                <w:lang w:val="en-US"/>
              </w:rPr>
              <w:t>Performance Materials</w:t>
            </w:r>
          </w:p>
        </w:tc>
        <w:tc>
          <w:tcPr>
            <w:tcW w:w="1413" w:type="dxa"/>
            <w:tcBorders>
              <w:top w:val="single" w:sz="4" w:space="0" w:color="auto"/>
              <w:left w:val="single" w:sz="4" w:space="0" w:color="auto"/>
              <w:bottom w:val="single" w:sz="4" w:space="0" w:color="auto"/>
              <w:right w:val="single" w:sz="4" w:space="0" w:color="auto"/>
            </w:tcBorders>
            <w:shd w:val="clear" w:color="auto" w:fill="C0C0C0"/>
            <w:hideMark/>
          </w:tcPr>
          <w:p w14:paraId="6D827962" w14:textId="77777777" w:rsidR="00584651" w:rsidRDefault="00584651">
            <w:pPr>
              <w:jc w:val="right"/>
              <w:rPr>
                <w:rFonts w:cs="Lucida Sans Unicode"/>
                <w:sz w:val="18"/>
                <w:szCs w:val="18"/>
                <w:lang w:val="en-US"/>
              </w:rPr>
            </w:pPr>
            <w:r>
              <w:rPr>
                <w:rFonts w:cs="Lucida Sans Unicode"/>
                <w:sz w:val="18"/>
                <w:szCs w:val="18"/>
                <w:lang w:val="en-US"/>
              </w:rPr>
              <w:t>4.393</w:t>
            </w:r>
          </w:p>
        </w:tc>
        <w:tc>
          <w:tcPr>
            <w:tcW w:w="1414" w:type="dxa"/>
            <w:tcBorders>
              <w:top w:val="single" w:sz="4" w:space="0" w:color="auto"/>
              <w:left w:val="single" w:sz="4" w:space="0" w:color="auto"/>
              <w:bottom w:val="single" w:sz="4" w:space="0" w:color="auto"/>
              <w:right w:val="single" w:sz="4" w:space="0" w:color="auto"/>
            </w:tcBorders>
            <w:hideMark/>
          </w:tcPr>
          <w:p w14:paraId="417784F6" w14:textId="77777777" w:rsidR="00584651" w:rsidRDefault="00584651">
            <w:pPr>
              <w:jc w:val="right"/>
              <w:rPr>
                <w:rFonts w:cs="Lucida Sans Unicode"/>
                <w:sz w:val="18"/>
                <w:szCs w:val="18"/>
                <w:lang w:val="en-US"/>
              </w:rPr>
            </w:pPr>
            <w:r>
              <w:rPr>
                <w:rFonts w:cs="Lucida Sans Unicode"/>
                <w:sz w:val="18"/>
                <w:szCs w:val="18"/>
                <w:lang w:val="en-US"/>
              </w:rPr>
              <w:t>4.380</w:t>
            </w:r>
          </w:p>
        </w:tc>
      </w:tr>
      <w:tr w:rsidR="00584651" w14:paraId="03AA4B2A" w14:textId="77777777" w:rsidTr="003374E5">
        <w:tc>
          <w:tcPr>
            <w:tcW w:w="5296" w:type="dxa"/>
            <w:tcBorders>
              <w:top w:val="single" w:sz="4" w:space="0" w:color="auto"/>
              <w:left w:val="single" w:sz="4" w:space="0" w:color="auto"/>
              <w:bottom w:val="single" w:sz="4" w:space="0" w:color="auto"/>
              <w:right w:val="single" w:sz="4" w:space="0" w:color="auto"/>
            </w:tcBorders>
            <w:hideMark/>
          </w:tcPr>
          <w:p w14:paraId="7A42FCD3" w14:textId="77777777" w:rsidR="00584651" w:rsidRDefault="00584651">
            <w:pPr>
              <w:jc w:val="both"/>
              <w:rPr>
                <w:rFonts w:cs="Lucida Sans Unicode"/>
                <w:sz w:val="18"/>
                <w:szCs w:val="18"/>
                <w:lang w:val="en-US"/>
              </w:rPr>
            </w:pPr>
            <w:r>
              <w:rPr>
                <w:sz w:val="18"/>
                <w:szCs w:val="18"/>
                <w:lang w:val="en-US"/>
              </w:rPr>
              <w:t>Services</w:t>
            </w:r>
          </w:p>
        </w:tc>
        <w:tc>
          <w:tcPr>
            <w:tcW w:w="1413" w:type="dxa"/>
            <w:tcBorders>
              <w:top w:val="single" w:sz="4" w:space="0" w:color="auto"/>
              <w:left w:val="single" w:sz="4" w:space="0" w:color="auto"/>
              <w:bottom w:val="single" w:sz="4" w:space="0" w:color="auto"/>
              <w:right w:val="single" w:sz="4" w:space="0" w:color="auto"/>
            </w:tcBorders>
            <w:shd w:val="clear" w:color="auto" w:fill="C0C0C0"/>
            <w:hideMark/>
          </w:tcPr>
          <w:p w14:paraId="76EA113A" w14:textId="77777777" w:rsidR="00584651" w:rsidRDefault="00584651">
            <w:pPr>
              <w:jc w:val="right"/>
              <w:rPr>
                <w:rFonts w:cs="Lucida Sans Unicode"/>
                <w:sz w:val="18"/>
                <w:szCs w:val="18"/>
                <w:lang w:val="en-US"/>
              </w:rPr>
            </w:pPr>
            <w:r>
              <w:rPr>
                <w:rFonts w:cs="Lucida Sans Unicode"/>
                <w:sz w:val="18"/>
                <w:szCs w:val="18"/>
                <w:lang w:val="en-US"/>
              </w:rPr>
              <w:t>12.892</w:t>
            </w:r>
          </w:p>
        </w:tc>
        <w:tc>
          <w:tcPr>
            <w:tcW w:w="1414" w:type="dxa"/>
            <w:tcBorders>
              <w:top w:val="single" w:sz="4" w:space="0" w:color="auto"/>
              <w:left w:val="single" w:sz="4" w:space="0" w:color="auto"/>
              <w:bottom w:val="single" w:sz="4" w:space="0" w:color="auto"/>
              <w:right w:val="single" w:sz="4" w:space="0" w:color="auto"/>
            </w:tcBorders>
            <w:hideMark/>
          </w:tcPr>
          <w:p w14:paraId="0CA3D18A" w14:textId="77777777" w:rsidR="00584651" w:rsidRDefault="00584651">
            <w:pPr>
              <w:jc w:val="right"/>
              <w:rPr>
                <w:rFonts w:cs="Lucida Sans Unicode"/>
                <w:sz w:val="18"/>
                <w:szCs w:val="18"/>
                <w:lang w:val="en-US"/>
              </w:rPr>
            </w:pPr>
            <w:r>
              <w:rPr>
                <w:rFonts w:cs="Lucida Sans Unicode"/>
                <w:sz w:val="18"/>
                <w:szCs w:val="18"/>
                <w:lang w:val="en-US"/>
              </w:rPr>
              <w:t>12.668</w:t>
            </w:r>
          </w:p>
        </w:tc>
      </w:tr>
      <w:tr w:rsidR="00584651" w14:paraId="34988D16" w14:textId="77777777" w:rsidTr="003374E5">
        <w:tc>
          <w:tcPr>
            <w:tcW w:w="5296" w:type="dxa"/>
            <w:tcBorders>
              <w:top w:val="single" w:sz="4" w:space="0" w:color="auto"/>
              <w:left w:val="single" w:sz="4" w:space="0" w:color="auto"/>
              <w:bottom w:val="single" w:sz="4" w:space="0" w:color="auto"/>
              <w:right w:val="single" w:sz="4" w:space="0" w:color="auto"/>
            </w:tcBorders>
            <w:hideMark/>
          </w:tcPr>
          <w:p w14:paraId="37124E4B" w14:textId="77777777" w:rsidR="00584651" w:rsidRDefault="00584651">
            <w:pPr>
              <w:jc w:val="both"/>
              <w:rPr>
                <w:rFonts w:cs="Lucida Sans Unicode"/>
                <w:sz w:val="18"/>
                <w:szCs w:val="18"/>
                <w:lang w:val="en-US"/>
              </w:rPr>
            </w:pPr>
            <w:r>
              <w:rPr>
                <w:sz w:val="18"/>
                <w:szCs w:val="18"/>
                <w:lang w:val="en-US"/>
              </w:rPr>
              <w:t>Sonstige Aktivitäten</w:t>
            </w:r>
          </w:p>
        </w:tc>
        <w:tc>
          <w:tcPr>
            <w:tcW w:w="1413" w:type="dxa"/>
            <w:tcBorders>
              <w:top w:val="single" w:sz="4" w:space="0" w:color="auto"/>
              <w:left w:val="single" w:sz="4" w:space="0" w:color="auto"/>
              <w:bottom w:val="single" w:sz="4" w:space="0" w:color="auto"/>
              <w:right w:val="single" w:sz="4" w:space="0" w:color="auto"/>
            </w:tcBorders>
            <w:shd w:val="clear" w:color="auto" w:fill="C0C0C0"/>
            <w:hideMark/>
          </w:tcPr>
          <w:p w14:paraId="54526A63" w14:textId="77777777" w:rsidR="00584651" w:rsidRDefault="00584651">
            <w:pPr>
              <w:jc w:val="right"/>
              <w:rPr>
                <w:rFonts w:cs="Lucida Sans Unicode"/>
                <w:sz w:val="18"/>
                <w:szCs w:val="18"/>
                <w:lang w:val="en-US"/>
              </w:rPr>
            </w:pPr>
            <w:r>
              <w:rPr>
                <w:rFonts w:cs="Lucida Sans Unicode"/>
                <w:sz w:val="18"/>
                <w:szCs w:val="18"/>
                <w:lang w:val="en-US"/>
              </w:rPr>
              <w:t>544</w:t>
            </w:r>
          </w:p>
        </w:tc>
        <w:tc>
          <w:tcPr>
            <w:tcW w:w="1414" w:type="dxa"/>
            <w:tcBorders>
              <w:top w:val="single" w:sz="4" w:space="0" w:color="auto"/>
              <w:left w:val="single" w:sz="4" w:space="0" w:color="auto"/>
              <w:bottom w:val="single" w:sz="4" w:space="0" w:color="auto"/>
              <w:right w:val="single" w:sz="4" w:space="0" w:color="auto"/>
            </w:tcBorders>
            <w:hideMark/>
          </w:tcPr>
          <w:p w14:paraId="78C83B51" w14:textId="77777777" w:rsidR="00584651" w:rsidRDefault="00584651">
            <w:pPr>
              <w:jc w:val="right"/>
              <w:rPr>
                <w:rFonts w:cs="Lucida Sans Unicode"/>
                <w:sz w:val="18"/>
                <w:szCs w:val="18"/>
                <w:lang w:val="en-US"/>
              </w:rPr>
            </w:pPr>
            <w:r>
              <w:rPr>
                <w:rFonts w:cs="Lucida Sans Unicode"/>
                <w:sz w:val="18"/>
                <w:szCs w:val="18"/>
                <w:lang w:val="en-US"/>
              </w:rPr>
              <w:t>701</w:t>
            </w:r>
          </w:p>
        </w:tc>
      </w:tr>
      <w:tr w:rsidR="00584651" w14:paraId="7BFE3E26" w14:textId="77777777" w:rsidTr="003374E5">
        <w:tc>
          <w:tcPr>
            <w:tcW w:w="5296" w:type="dxa"/>
            <w:tcBorders>
              <w:top w:val="single" w:sz="4" w:space="0" w:color="auto"/>
              <w:left w:val="single" w:sz="4" w:space="0" w:color="auto"/>
              <w:bottom w:val="single" w:sz="4" w:space="0" w:color="auto"/>
              <w:right w:val="single" w:sz="4" w:space="0" w:color="auto"/>
            </w:tcBorders>
            <w:hideMark/>
          </w:tcPr>
          <w:p w14:paraId="1C336A2F" w14:textId="77777777" w:rsidR="00584651" w:rsidRDefault="00584651">
            <w:pPr>
              <w:jc w:val="both"/>
              <w:rPr>
                <w:rFonts w:cs="Lucida Sans Unicode"/>
                <w:b/>
                <w:sz w:val="18"/>
                <w:szCs w:val="18"/>
                <w:lang w:val="en-US"/>
              </w:rPr>
            </w:pPr>
            <w:r>
              <w:rPr>
                <w:b/>
                <w:sz w:val="18"/>
                <w:szCs w:val="18"/>
                <w:lang w:val="en-US"/>
              </w:rPr>
              <w:t>Evonik</w:t>
            </w:r>
          </w:p>
        </w:tc>
        <w:tc>
          <w:tcPr>
            <w:tcW w:w="1413" w:type="dxa"/>
            <w:tcBorders>
              <w:top w:val="single" w:sz="4" w:space="0" w:color="auto"/>
              <w:left w:val="single" w:sz="4" w:space="0" w:color="auto"/>
              <w:bottom w:val="single" w:sz="4" w:space="0" w:color="auto"/>
              <w:right w:val="single" w:sz="4" w:space="0" w:color="auto"/>
            </w:tcBorders>
            <w:shd w:val="clear" w:color="auto" w:fill="C0C0C0"/>
            <w:hideMark/>
          </w:tcPr>
          <w:p w14:paraId="7B7D56F4" w14:textId="77777777" w:rsidR="00584651" w:rsidRDefault="00584651">
            <w:pPr>
              <w:jc w:val="right"/>
              <w:rPr>
                <w:rFonts w:cs="Lucida Sans Unicode"/>
                <w:b/>
                <w:sz w:val="18"/>
                <w:szCs w:val="18"/>
                <w:lang w:val="en-US"/>
              </w:rPr>
            </w:pPr>
            <w:r>
              <w:rPr>
                <w:rFonts w:cs="Lucida Sans Unicode"/>
                <w:b/>
                <w:sz w:val="18"/>
                <w:szCs w:val="18"/>
                <w:lang w:val="en-US"/>
              </w:rPr>
              <w:t>34.351</w:t>
            </w:r>
          </w:p>
        </w:tc>
        <w:tc>
          <w:tcPr>
            <w:tcW w:w="1414" w:type="dxa"/>
            <w:tcBorders>
              <w:top w:val="single" w:sz="4" w:space="0" w:color="auto"/>
              <w:left w:val="single" w:sz="4" w:space="0" w:color="auto"/>
              <w:bottom w:val="single" w:sz="4" w:space="0" w:color="auto"/>
              <w:right w:val="single" w:sz="4" w:space="0" w:color="auto"/>
            </w:tcBorders>
            <w:hideMark/>
          </w:tcPr>
          <w:p w14:paraId="127DB7BB" w14:textId="77777777" w:rsidR="00584651" w:rsidRDefault="00584651">
            <w:pPr>
              <w:jc w:val="right"/>
              <w:rPr>
                <w:rFonts w:cs="Lucida Sans Unicode"/>
                <w:b/>
                <w:sz w:val="18"/>
                <w:szCs w:val="18"/>
                <w:lang w:val="en-US"/>
              </w:rPr>
            </w:pPr>
            <w:r>
              <w:rPr>
                <w:rFonts w:cs="Lucida Sans Unicode"/>
                <w:b/>
                <w:sz w:val="18"/>
                <w:szCs w:val="18"/>
                <w:lang w:val="en-US"/>
              </w:rPr>
              <w:t>33.576</w:t>
            </w:r>
          </w:p>
        </w:tc>
      </w:tr>
    </w:tbl>
    <w:p w14:paraId="63A32101" w14:textId="77777777" w:rsidR="00696BAB" w:rsidRDefault="00696BAB" w:rsidP="00696BAB">
      <w:pPr>
        <w:jc w:val="both"/>
        <w:rPr>
          <w:rFonts w:cs="Lucida Sans Unicode"/>
          <w:sz w:val="10"/>
          <w:szCs w:val="10"/>
          <w:lang w:val="en-US"/>
        </w:rPr>
      </w:pPr>
      <w:r>
        <w:rPr>
          <w:sz w:val="10"/>
          <w:szCs w:val="10"/>
          <w:lang w:val="en-US"/>
        </w:rPr>
        <w:t>Vorjahreszahlen angepasst</w:t>
      </w:r>
      <w:bookmarkStart w:id="0" w:name="_GoBack"/>
      <w:bookmarkEnd w:id="0"/>
    </w:p>
    <w:p w14:paraId="0435FE1B" w14:textId="77777777" w:rsidR="00584651" w:rsidRPr="00BD3D99" w:rsidRDefault="00584651" w:rsidP="00584651">
      <w:pPr>
        <w:spacing w:after="160" w:line="256" w:lineRule="auto"/>
        <w:rPr>
          <w:sz w:val="16"/>
        </w:rPr>
      </w:pPr>
    </w:p>
    <w:p w14:paraId="26620403" w14:textId="77777777" w:rsidR="0023497D" w:rsidRDefault="0023497D" w:rsidP="00584651">
      <w:pPr>
        <w:autoSpaceDE w:val="0"/>
        <w:autoSpaceDN w:val="0"/>
        <w:adjustRightInd w:val="0"/>
        <w:spacing w:line="220" w:lineRule="exact"/>
        <w:rPr>
          <w:rFonts w:cs="Lucida Sans Unicode"/>
          <w:b/>
          <w:bCs/>
          <w:sz w:val="18"/>
          <w:szCs w:val="18"/>
        </w:rPr>
      </w:pPr>
    </w:p>
    <w:p w14:paraId="1940B565" w14:textId="77777777" w:rsidR="0023497D" w:rsidRDefault="0023497D" w:rsidP="00584651">
      <w:pPr>
        <w:autoSpaceDE w:val="0"/>
        <w:autoSpaceDN w:val="0"/>
        <w:adjustRightInd w:val="0"/>
        <w:spacing w:line="220" w:lineRule="exact"/>
        <w:rPr>
          <w:rFonts w:cs="Lucida Sans Unicode"/>
          <w:b/>
          <w:bCs/>
          <w:sz w:val="18"/>
          <w:szCs w:val="18"/>
        </w:rPr>
      </w:pPr>
    </w:p>
    <w:p w14:paraId="627B900C" w14:textId="77777777" w:rsidR="0023497D" w:rsidRDefault="0023497D" w:rsidP="00584651">
      <w:pPr>
        <w:autoSpaceDE w:val="0"/>
        <w:autoSpaceDN w:val="0"/>
        <w:adjustRightInd w:val="0"/>
        <w:spacing w:line="220" w:lineRule="exact"/>
        <w:rPr>
          <w:rFonts w:cs="Lucida Sans Unicode"/>
          <w:b/>
          <w:bCs/>
          <w:sz w:val="18"/>
          <w:szCs w:val="18"/>
        </w:rPr>
      </w:pPr>
    </w:p>
    <w:p w14:paraId="39520A94" w14:textId="77777777" w:rsidR="00DA5C12" w:rsidRDefault="00DA5C12" w:rsidP="00584651">
      <w:pPr>
        <w:autoSpaceDE w:val="0"/>
        <w:autoSpaceDN w:val="0"/>
        <w:adjustRightInd w:val="0"/>
        <w:spacing w:line="220" w:lineRule="exact"/>
        <w:rPr>
          <w:rFonts w:cs="Lucida Sans Unicode"/>
          <w:b/>
          <w:bCs/>
          <w:sz w:val="18"/>
          <w:szCs w:val="18"/>
        </w:rPr>
      </w:pPr>
    </w:p>
    <w:p w14:paraId="1B6CB106" w14:textId="77777777" w:rsidR="00DA5C12" w:rsidRDefault="00DA5C12" w:rsidP="00584651">
      <w:pPr>
        <w:autoSpaceDE w:val="0"/>
        <w:autoSpaceDN w:val="0"/>
        <w:adjustRightInd w:val="0"/>
        <w:spacing w:line="220" w:lineRule="exact"/>
        <w:rPr>
          <w:rFonts w:cs="Lucida Sans Unicode"/>
          <w:b/>
          <w:bCs/>
          <w:sz w:val="18"/>
          <w:szCs w:val="18"/>
        </w:rPr>
      </w:pPr>
    </w:p>
    <w:p w14:paraId="33D0042E" w14:textId="77777777" w:rsidR="00DA5C12" w:rsidRDefault="00DA5C12" w:rsidP="00584651">
      <w:pPr>
        <w:autoSpaceDE w:val="0"/>
        <w:autoSpaceDN w:val="0"/>
        <w:adjustRightInd w:val="0"/>
        <w:spacing w:line="220" w:lineRule="exact"/>
        <w:rPr>
          <w:rFonts w:cs="Lucida Sans Unicode"/>
          <w:b/>
          <w:bCs/>
          <w:sz w:val="18"/>
          <w:szCs w:val="18"/>
        </w:rPr>
      </w:pPr>
    </w:p>
    <w:p w14:paraId="4E3D19C0" w14:textId="77777777" w:rsidR="00DA5C12" w:rsidRDefault="00DA5C12" w:rsidP="00584651">
      <w:pPr>
        <w:autoSpaceDE w:val="0"/>
        <w:autoSpaceDN w:val="0"/>
        <w:adjustRightInd w:val="0"/>
        <w:spacing w:line="220" w:lineRule="exact"/>
        <w:rPr>
          <w:rFonts w:cs="Lucida Sans Unicode"/>
          <w:b/>
          <w:bCs/>
          <w:sz w:val="18"/>
          <w:szCs w:val="18"/>
        </w:rPr>
      </w:pPr>
    </w:p>
    <w:p w14:paraId="1911A7B4" w14:textId="77777777" w:rsidR="00DA5C12" w:rsidRDefault="00DA5C12" w:rsidP="00584651">
      <w:pPr>
        <w:autoSpaceDE w:val="0"/>
        <w:autoSpaceDN w:val="0"/>
        <w:adjustRightInd w:val="0"/>
        <w:spacing w:line="220" w:lineRule="exact"/>
        <w:rPr>
          <w:rFonts w:cs="Lucida Sans Unicode"/>
          <w:b/>
          <w:bCs/>
          <w:sz w:val="18"/>
          <w:szCs w:val="18"/>
        </w:rPr>
      </w:pPr>
    </w:p>
    <w:p w14:paraId="555B6CC5" w14:textId="77777777" w:rsidR="00DA5C12" w:rsidRDefault="00DA5C12" w:rsidP="00584651">
      <w:pPr>
        <w:autoSpaceDE w:val="0"/>
        <w:autoSpaceDN w:val="0"/>
        <w:adjustRightInd w:val="0"/>
        <w:spacing w:line="220" w:lineRule="exact"/>
        <w:rPr>
          <w:rFonts w:cs="Lucida Sans Unicode"/>
          <w:b/>
          <w:bCs/>
          <w:sz w:val="18"/>
          <w:szCs w:val="18"/>
        </w:rPr>
      </w:pPr>
    </w:p>
    <w:p w14:paraId="2F68AD3D" w14:textId="77777777" w:rsidR="00DA5C12" w:rsidRDefault="00DA5C12" w:rsidP="00584651">
      <w:pPr>
        <w:autoSpaceDE w:val="0"/>
        <w:autoSpaceDN w:val="0"/>
        <w:adjustRightInd w:val="0"/>
        <w:spacing w:line="220" w:lineRule="exact"/>
        <w:rPr>
          <w:rFonts w:cs="Lucida Sans Unicode"/>
          <w:b/>
          <w:bCs/>
          <w:sz w:val="18"/>
          <w:szCs w:val="18"/>
        </w:rPr>
      </w:pPr>
    </w:p>
    <w:p w14:paraId="5DCAD7AC" w14:textId="77777777" w:rsidR="00DA5C12" w:rsidRDefault="00DA5C12" w:rsidP="00584651">
      <w:pPr>
        <w:autoSpaceDE w:val="0"/>
        <w:autoSpaceDN w:val="0"/>
        <w:adjustRightInd w:val="0"/>
        <w:spacing w:line="220" w:lineRule="exact"/>
        <w:rPr>
          <w:rFonts w:cs="Lucida Sans Unicode"/>
          <w:b/>
          <w:bCs/>
          <w:sz w:val="18"/>
          <w:szCs w:val="18"/>
        </w:rPr>
      </w:pPr>
    </w:p>
    <w:p w14:paraId="49C0CB82" w14:textId="77777777" w:rsidR="00DA5C12" w:rsidRDefault="00DA5C12" w:rsidP="00584651">
      <w:pPr>
        <w:autoSpaceDE w:val="0"/>
        <w:autoSpaceDN w:val="0"/>
        <w:adjustRightInd w:val="0"/>
        <w:spacing w:line="220" w:lineRule="exact"/>
        <w:rPr>
          <w:rFonts w:cs="Lucida Sans Unicode"/>
          <w:b/>
          <w:bCs/>
          <w:sz w:val="18"/>
          <w:szCs w:val="18"/>
        </w:rPr>
      </w:pPr>
    </w:p>
    <w:p w14:paraId="044C14E5" w14:textId="77777777" w:rsidR="00DA5C12" w:rsidRDefault="00DA5C12" w:rsidP="00584651">
      <w:pPr>
        <w:autoSpaceDE w:val="0"/>
        <w:autoSpaceDN w:val="0"/>
        <w:adjustRightInd w:val="0"/>
        <w:spacing w:line="220" w:lineRule="exact"/>
        <w:rPr>
          <w:rFonts w:cs="Lucida Sans Unicode"/>
          <w:b/>
          <w:bCs/>
          <w:sz w:val="18"/>
          <w:szCs w:val="18"/>
        </w:rPr>
      </w:pPr>
    </w:p>
    <w:p w14:paraId="75CA406C" w14:textId="77777777" w:rsidR="00DA5C12" w:rsidRDefault="00DA5C12" w:rsidP="00584651">
      <w:pPr>
        <w:autoSpaceDE w:val="0"/>
        <w:autoSpaceDN w:val="0"/>
        <w:adjustRightInd w:val="0"/>
        <w:spacing w:line="220" w:lineRule="exact"/>
        <w:rPr>
          <w:rFonts w:cs="Lucida Sans Unicode"/>
          <w:b/>
          <w:bCs/>
          <w:sz w:val="18"/>
          <w:szCs w:val="18"/>
        </w:rPr>
      </w:pPr>
    </w:p>
    <w:p w14:paraId="6B166804" w14:textId="77777777" w:rsidR="00DA5C12" w:rsidRDefault="00DA5C12" w:rsidP="00584651">
      <w:pPr>
        <w:autoSpaceDE w:val="0"/>
        <w:autoSpaceDN w:val="0"/>
        <w:adjustRightInd w:val="0"/>
        <w:spacing w:line="220" w:lineRule="exact"/>
        <w:rPr>
          <w:rFonts w:cs="Lucida Sans Unicode"/>
          <w:b/>
          <w:bCs/>
          <w:sz w:val="18"/>
          <w:szCs w:val="18"/>
        </w:rPr>
      </w:pPr>
    </w:p>
    <w:p w14:paraId="55A15A29" w14:textId="77777777" w:rsidR="00DA5C12" w:rsidRDefault="00DA5C12" w:rsidP="00584651">
      <w:pPr>
        <w:autoSpaceDE w:val="0"/>
        <w:autoSpaceDN w:val="0"/>
        <w:adjustRightInd w:val="0"/>
        <w:spacing w:line="220" w:lineRule="exact"/>
        <w:rPr>
          <w:rFonts w:cs="Lucida Sans Unicode"/>
          <w:b/>
          <w:bCs/>
          <w:sz w:val="18"/>
          <w:szCs w:val="18"/>
        </w:rPr>
      </w:pPr>
    </w:p>
    <w:p w14:paraId="2A0CC8B6" w14:textId="77777777" w:rsidR="00584651" w:rsidRDefault="00584651" w:rsidP="00584651">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477CC496" w14:textId="6A9D24C4" w:rsidR="00584651" w:rsidRDefault="00584651" w:rsidP="0023497D">
      <w:pPr>
        <w:autoSpaceDE w:val="0"/>
        <w:autoSpaceDN w:val="0"/>
        <w:adjustRightInd w:val="0"/>
        <w:spacing w:line="220" w:lineRule="exact"/>
        <w:rPr>
          <w:sz w:val="18"/>
          <w:szCs w:val="18"/>
        </w:rPr>
      </w:pPr>
      <w:r>
        <w:rPr>
          <w:rFonts w:cs="Lucida Sans Unicode"/>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w:t>
      </w:r>
      <w:r w:rsidR="00E50A08">
        <w:rPr>
          <w:rFonts w:cs="Lucida Sans Unicode"/>
          <w:sz w:val="18"/>
          <w:szCs w:val="18"/>
        </w:rPr>
        <w:t>it rund 35</w:t>
      </w:r>
      <w:r>
        <w:rPr>
          <w:rFonts w:cs="Lucida Sans Unicode"/>
          <w:sz w:val="18"/>
          <w:szCs w:val="18"/>
        </w:rPr>
        <w:t xml:space="preserve">.000 Mitarbeitern in mehr als 100 Ländern der Welt aktiv und profitiert besonders von seiner Innovationskraft und seinen integrierten Technologieplattformen. </w:t>
      </w:r>
      <w:r w:rsidR="00E50A08">
        <w:rPr>
          <w:rFonts w:cs="Lucida Sans Unicode"/>
          <w:sz w:val="18"/>
          <w:szCs w:val="18"/>
        </w:rPr>
        <w:t>Im Geschäftsjahr 2016 erwirtschaftete das Unternehmen bei einem Umsatz von 12,7 Mrd. Euro einen Gewinn (bereinigtes EBITDA) von 2,165 Mrd. Euro.</w:t>
      </w:r>
    </w:p>
    <w:p w14:paraId="188E7980" w14:textId="77777777" w:rsidR="00584651" w:rsidRDefault="00584651" w:rsidP="00584651">
      <w:pPr>
        <w:autoSpaceDE w:val="0"/>
        <w:autoSpaceDN w:val="0"/>
        <w:adjustRightInd w:val="0"/>
        <w:spacing w:line="220" w:lineRule="exact"/>
        <w:rPr>
          <w:rFonts w:cs="Lucida Sans Unicode"/>
          <w:sz w:val="18"/>
          <w:szCs w:val="18"/>
        </w:rPr>
      </w:pPr>
    </w:p>
    <w:p w14:paraId="2CD7D029" w14:textId="77777777" w:rsidR="00584651" w:rsidRDefault="00584651" w:rsidP="00584651">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6E597242" w14:textId="77777777" w:rsidR="00584651" w:rsidRDefault="00584651" w:rsidP="0023497D">
      <w:pPr>
        <w:autoSpaceDE w:val="0"/>
        <w:autoSpaceDN w:val="0"/>
        <w:adjustRightInd w:val="0"/>
        <w:spacing w:line="220" w:lineRule="exact"/>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881451C" w14:textId="77777777" w:rsidR="00584651" w:rsidRDefault="00584651">
      <w:pPr>
        <w:spacing w:line="240" w:lineRule="auto"/>
        <w:rPr>
          <w:rFonts w:cs="Lucida Sans Unicode"/>
          <w:b/>
          <w:bCs/>
          <w:sz w:val="18"/>
          <w:szCs w:val="18"/>
        </w:rPr>
      </w:pPr>
    </w:p>
    <w:sectPr w:rsidR="00584651" w:rsidSect="00282910">
      <w:headerReference w:type="default" r:id="rId8"/>
      <w:footerReference w:type="default" r:id="rId9"/>
      <w:headerReference w:type="first" r:id="rId10"/>
      <w:footerReference w:type="first" r:id="rId11"/>
      <w:type w:val="continuous"/>
      <w:pgSz w:w="11906" w:h="16838" w:code="9"/>
      <w:pgMar w:top="2836" w:right="3402" w:bottom="737" w:left="1361" w:header="737"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ECCD9" w14:textId="77777777" w:rsidR="00171DE0" w:rsidRDefault="00171DE0" w:rsidP="00FD1184">
      <w:r>
        <w:separator/>
      </w:r>
    </w:p>
  </w:endnote>
  <w:endnote w:type="continuationSeparator" w:id="0">
    <w:p w14:paraId="4CF1C29D" w14:textId="77777777" w:rsidR="00171DE0" w:rsidRDefault="00171DE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2123D" w14:textId="77777777" w:rsidR="00C144BC" w:rsidRDefault="00C144BC">
    <w:pPr>
      <w:pStyle w:val="Fuzeile"/>
    </w:pPr>
  </w:p>
  <w:p w14:paraId="43D2598B"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67772">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67772">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69DCB" w14:textId="77777777" w:rsidR="00C144BC" w:rsidRDefault="00C144BC" w:rsidP="00316EC0">
    <w:pPr>
      <w:pStyle w:val="Fuzeile"/>
    </w:pPr>
  </w:p>
  <w:p w14:paraId="49C03CE7"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6777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67772">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DE22E" w14:textId="77777777" w:rsidR="00171DE0" w:rsidRDefault="00171DE0" w:rsidP="00FD1184">
      <w:r>
        <w:separator/>
      </w:r>
    </w:p>
  </w:footnote>
  <w:footnote w:type="continuationSeparator" w:id="0">
    <w:p w14:paraId="69E4775D" w14:textId="77777777" w:rsidR="00171DE0" w:rsidRDefault="00171DE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CB645" w14:textId="77777777" w:rsidR="00C144BC" w:rsidRDefault="00250D4B" w:rsidP="00574213">
    <w:pPr>
      <w:pStyle w:val="Kopfzeile"/>
      <w:tabs>
        <w:tab w:val="clear" w:pos="4536"/>
        <w:tab w:val="clear" w:pos="9072"/>
        <w:tab w:val="left" w:pos="900"/>
      </w:tabs>
      <w:spacing w:after="1880"/>
    </w:pPr>
    <w:r>
      <w:rPr>
        <w:noProof/>
        <w:lang w:eastAsia="zh-CN"/>
      </w:rPr>
      <w:drawing>
        <wp:anchor distT="0" distB="0" distL="114300" distR="114300" simplePos="0" relativeHeight="251664384" behindDoc="0" locked="0" layoutInCell="1" allowOverlap="1" wp14:anchorId="479C04C0" wp14:editId="476F25F2">
          <wp:simplePos x="0" y="0"/>
          <wp:positionH relativeFrom="column">
            <wp:posOffset>0</wp:posOffset>
          </wp:positionH>
          <wp:positionV relativeFrom="paragraph">
            <wp:posOffset>-17780</wp:posOffset>
          </wp:positionV>
          <wp:extent cx="1296000" cy="187200"/>
          <wp:effectExtent l="0" t="0" r="0" b="3810"/>
          <wp:wrapNone/>
          <wp:docPr id="6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noProof/>
        <w:lang w:eastAsia="zh-CN"/>
      </w:rPr>
      <w:drawing>
        <wp:anchor distT="0" distB="0" distL="114300" distR="114300" simplePos="0" relativeHeight="251660288" behindDoc="1" locked="0" layoutInCell="1" allowOverlap="1" wp14:anchorId="0E0F99D9" wp14:editId="078DC0A6">
          <wp:simplePos x="0" y="0"/>
          <wp:positionH relativeFrom="column">
            <wp:posOffset>4266565</wp:posOffset>
          </wp:positionH>
          <wp:positionV relativeFrom="paragraph">
            <wp:posOffset>-144145</wp:posOffset>
          </wp:positionV>
          <wp:extent cx="1872000" cy="500400"/>
          <wp:effectExtent l="0" t="0" r="0" b="0"/>
          <wp:wrapNone/>
          <wp:docPr id="66" name="Grafi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574213">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0E0A9" w14:textId="77777777" w:rsidR="00C144BC" w:rsidRPr="00B128FD" w:rsidRDefault="00250D4B">
    <w:pPr>
      <w:pStyle w:val="Kopfzeile"/>
      <w:rPr>
        <w:b/>
        <w:sz w:val="26"/>
        <w:szCs w:val="26"/>
      </w:rPr>
    </w:pPr>
    <w:r>
      <w:rPr>
        <w:noProof/>
        <w:lang w:eastAsia="zh-CN"/>
      </w:rPr>
      <w:drawing>
        <wp:anchor distT="0" distB="0" distL="114300" distR="114300" simplePos="0" relativeHeight="251662336" behindDoc="0" locked="0" layoutInCell="1" allowOverlap="1" wp14:anchorId="6424573A" wp14:editId="61332B61">
          <wp:simplePos x="0" y="0"/>
          <wp:positionH relativeFrom="column">
            <wp:posOffset>0</wp:posOffset>
          </wp:positionH>
          <wp:positionV relativeFrom="paragraph">
            <wp:posOffset>-17780</wp:posOffset>
          </wp:positionV>
          <wp:extent cx="1296000" cy="187200"/>
          <wp:effectExtent l="0" t="0" r="0" b="3810"/>
          <wp:wrapNone/>
          <wp:docPr id="6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b/>
        <w:noProof/>
        <w:sz w:val="26"/>
        <w:szCs w:val="26"/>
        <w:lang w:eastAsia="zh-CN"/>
      </w:rPr>
      <w:drawing>
        <wp:anchor distT="0" distB="0" distL="114300" distR="114300" simplePos="0" relativeHeight="251659264" behindDoc="1" locked="0" layoutInCell="1" allowOverlap="1" wp14:anchorId="031403E1" wp14:editId="31E587D6">
          <wp:simplePos x="0" y="0"/>
          <wp:positionH relativeFrom="column">
            <wp:posOffset>4266565</wp:posOffset>
          </wp:positionH>
          <wp:positionV relativeFrom="paragraph">
            <wp:posOffset>-144145</wp:posOffset>
          </wp:positionV>
          <wp:extent cx="1872000" cy="500400"/>
          <wp:effectExtent l="0" t="0" r="0" b="0"/>
          <wp:wrapNone/>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07"/>
    <w:rsid w:val="00007459"/>
    <w:rsid w:val="00035360"/>
    <w:rsid w:val="00044EB8"/>
    <w:rsid w:val="00047E57"/>
    <w:rsid w:val="0006177F"/>
    <w:rsid w:val="00084555"/>
    <w:rsid w:val="000846DA"/>
    <w:rsid w:val="00086556"/>
    <w:rsid w:val="000902FA"/>
    <w:rsid w:val="00092F83"/>
    <w:rsid w:val="000A0DDB"/>
    <w:rsid w:val="000B4D73"/>
    <w:rsid w:val="000D1DD8"/>
    <w:rsid w:val="000E06AB"/>
    <w:rsid w:val="000F5E2E"/>
    <w:rsid w:val="000F70A3"/>
    <w:rsid w:val="001175D3"/>
    <w:rsid w:val="00124443"/>
    <w:rsid w:val="00130512"/>
    <w:rsid w:val="00135D0D"/>
    <w:rsid w:val="00153DD3"/>
    <w:rsid w:val="001625AF"/>
    <w:rsid w:val="001631E8"/>
    <w:rsid w:val="00165932"/>
    <w:rsid w:val="001673D6"/>
    <w:rsid w:val="00171DE0"/>
    <w:rsid w:val="0017414F"/>
    <w:rsid w:val="00176FF9"/>
    <w:rsid w:val="0018765B"/>
    <w:rsid w:val="00196518"/>
    <w:rsid w:val="001B206A"/>
    <w:rsid w:val="001F00B7"/>
    <w:rsid w:val="001F7C26"/>
    <w:rsid w:val="002125B8"/>
    <w:rsid w:val="002159BA"/>
    <w:rsid w:val="00221C32"/>
    <w:rsid w:val="0022399B"/>
    <w:rsid w:val="0023466C"/>
    <w:rsid w:val="0023497D"/>
    <w:rsid w:val="0024351A"/>
    <w:rsid w:val="0024351E"/>
    <w:rsid w:val="002465EB"/>
    <w:rsid w:val="00247D5A"/>
    <w:rsid w:val="00250D4B"/>
    <w:rsid w:val="00261A37"/>
    <w:rsid w:val="00266B39"/>
    <w:rsid w:val="00267D91"/>
    <w:rsid w:val="002771D9"/>
    <w:rsid w:val="00282910"/>
    <w:rsid w:val="00287090"/>
    <w:rsid w:val="00290F07"/>
    <w:rsid w:val="002922C1"/>
    <w:rsid w:val="002B6293"/>
    <w:rsid w:val="002B645E"/>
    <w:rsid w:val="002B6B13"/>
    <w:rsid w:val="002C10C6"/>
    <w:rsid w:val="002C12A0"/>
    <w:rsid w:val="002D206A"/>
    <w:rsid w:val="002D2996"/>
    <w:rsid w:val="00300F48"/>
    <w:rsid w:val="00301998"/>
    <w:rsid w:val="003067D4"/>
    <w:rsid w:val="00316EC0"/>
    <w:rsid w:val="0032020A"/>
    <w:rsid w:val="003374E5"/>
    <w:rsid w:val="003402B9"/>
    <w:rsid w:val="003449DC"/>
    <w:rsid w:val="00344E3B"/>
    <w:rsid w:val="003451D5"/>
    <w:rsid w:val="003508E4"/>
    <w:rsid w:val="00367974"/>
    <w:rsid w:val="00380845"/>
    <w:rsid w:val="00384C52"/>
    <w:rsid w:val="003A023D"/>
    <w:rsid w:val="003C0198"/>
    <w:rsid w:val="003D3C20"/>
    <w:rsid w:val="003D6E84"/>
    <w:rsid w:val="003E4161"/>
    <w:rsid w:val="003F01FD"/>
    <w:rsid w:val="004016F5"/>
    <w:rsid w:val="004035FC"/>
    <w:rsid w:val="004055B5"/>
    <w:rsid w:val="004146D3"/>
    <w:rsid w:val="00422338"/>
    <w:rsid w:val="00425650"/>
    <w:rsid w:val="00430B91"/>
    <w:rsid w:val="00432732"/>
    <w:rsid w:val="004676F7"/>
    <w:rsid w:val="00476F6F"/>
    <w:rsid w:val="0048125C"/>
    <w:rsid w:val="004815AA"/>
    <w:rsid w:val="004820F9"/>
    <w:rsid w:val="00491C7E"/>
    <w:rsid w:val="0049367A"/>
    <w:rsid w:val="004A5E45"/>
    <w:rsid w:val="004C4DB6"/>
    <w:rsid w:val="004C520C"/>
    <w:rsid w:val="004C5E53"/>
    <w:rsid w:val="004E04B2"/>
    <w:rsid w:val="004E1DCE"/>
    <w:rsid w:val="004E27F6"/>
    <w:rsid w:val="004E3505"/>
    <w:rsid w:val="004F0B24"/>
    <w:rsid w:val="004F1444"/>
    <w:rsid w:val="005020EF"/>
    <w:rsid w:val="005154A4"/>
    <w:rsid w:val="005225EC"/>
    <w:rsid w:val="005337DD"/>
    <w:rsid w:val="00541F97"/>
    <w:rsid w:val="00552ADA"/>
    <w:rsid w:val="00554C5A"/>
    <w:rsid w:val="00574213"/>
    <w:rsid w:val="0057548A"/>
    <w:rsid w:val="0057579A"/>
    <w:rsid w:val="00582643"/>
    <w:rsid w:val="00582C0E"/>
    <w:rsid w:val="00584651"/>
    <w:rsid w:val="00587C52"/>
    <w:rsid w:val="005A119C"/>
    <w:rsid w:val="005A73EC"/>
    <w:rsid w:val="005B3BD7"/>
    <w:rsid w:val="005B6507"/>
    <w:rsid w:val="005E0397"/>
    <w:rsid w:val="005E799F"/>
    <w:rsid w:val="005F234C"/>
    <w:rsid w:val="005F50D9"/>
    <w:rsid w:val="00605C02"/>
    <w:rsid w:val="00606A38"/>
    <w:rsid w:val="00623460"/>
    <w:rsid w:val="00636C35"/>
    <w:rsid w:val="00645F2F"/>
    <w:rsid w:val="00652A75"/>
    <w:rsid w:val="006651E2"/>
    <w:rsid w:val="006729D2"/>
    <w:rsid w:val="00696BAB"/>
    <w:rsid w:val="0069747B"/>
    <w:rsid w:val="006A06CA"/>
    <w:rsid w:val="006A3822"/>
    <w:rsid w:val="006A581A"/>
    <w:rsid w:val="006C295E"/>
    <w:rsid w:val="006C388A"/>
    <w:rsid w:val="006D18BB"/>
    <w:rsid w:val="006D601A"/>
    <w:rsid w:val="006E2F15"/>
    <w:rsid w:val="006F3AB9"/>
    <w:rsid w:val="00714DDE"/>
    <w:rsid w:val="00717EDA"/>
    <w:rsid w:val="00720B79"/>
    <w:rsid w:val="0072366D"/>
    <w:rsid w:val="00727192"/>
    <w:rsid w:val="00731495"/>
    <w:rsid w:val="00744FA6"/>
    <w:rsid w:val="00763004"/>
    <w:rsid w:val="00770879"/>
    <w:rsid w:val="00775D2E"/>
    <w:rsid w:val="0077792D"/>
    <w:rsid w:val="00784360"/>
    <w:rsid w:val="00793129"/>
    <w:rsid w:val="007A2C47"/>
    <w:rsid w:val="007C42FA"/>
    <w:rsid w:val="007D4D72"/>
    <w:rsid w:val="007E025C"/>
    <w:rsid w:val="007E5A2B"/>
    <w:rsid w:val="007E7C76"/>
    <w:rsid w:val="007F1506"/>
    <w:rsid w:val="007F200A"/>
    <w:rsid w:val="00800AA9"/>
    <w:rsid w:val="0081000E"/>
    <w:rsid w:val="00826AB1"/>
    <w:rsid w:val="00834E44"/>
    <w:rsid w:val="00836B9A"/>
    <w:rsid w:val="0084389E"/>
    <w:rsid w:val="00860A6B"/>
    <w:rsid w:val="00861AF6"/>
    <w:rsid w:val="00885442"/>
    <w:rsid w:val="00894378"/>
    <w:rsid w:val="008A0D35"/>
    <w:rsid w:val="008A1840"/>
    <w:rsid w:val="008B03E0"/>
    <w:rsid w:val="008B4D0E"/>
    <w:rsid w:val="008B7AFE"/>
    <w:rsid w:val="008C00D3"/>
    <w:rsid w:val="008C06FF"/>
    <w:rsid w:val="008C2187"/>
    <w:rsid w:val="008D1F4C"/>
    <w:rsid w:val="008D5A15"/>
    <w:rsid w:val="008E1FD0"/>
    <w:rsid w:val="008E7921"/>
    <w:rsid w:val="008F49C5"/>
    <w:rsid w:val="009031FF"/>
    <w:rsid w:val="0090621C"/>
    <w:rsid w:val="00915840"/>
    <w:rsid w:val="00915982"/>
    <w:rsid w:val="00921EF8"/>
    <w:rsid w:val="00922A0A"/>
    <w:rsid w:val="0092775B"/>
    <w:rsid w:val="00934DE5"/>
    <w:rsid w:val="00935881"/>
    <w:rsid w:val="00954509"/>
    <w:rsid w:val="009560C1"/>
    <w:rsid w:val="00966112"/>
    <w:rsid w:val="00971345"/>
    <w:rsid w:val="009752DC"/>
    <w:rsid w:val="0097547F"/>
    <w:rsid w:val="00977987"/>
    <w:rsid w:val="00992553"/>
    <w:rsid w:val="009A2F60"/>
    <w:rsid w:val="009A7CDC"/>
    <w:rsid w:val="009B1AD8"/>
    <w:rsid w:val="009C4061"/>
    <w:rsid w:val="009C40DA"/>
    <w:rsid w:val="009C5F4B"/>
    <w:rsid w:val="009E3A1C"/>
    <w:rsid w:val="009F05F2"/>
    <w:rsid w:val="009F07B1"/>
    <w:rsid w:val="009F6DFC"/>
    <w:rsid w:val="00A05C34"/>
    <w:rsid w:val="00A1593C"/>
    <w:rsid w:val="00A16154"/>
    <w:rsid w:val="00A30BD0"/>
    <w:rsid w:val="00A333FB"/>
    <w:rsid w:val="00A3644E"/>
    <w:rsid w:val="00A41C88"/>
    <w:rsid w:val="00A54F49"/>
    <w:rsid w:val="00A60CE5"/>
    <w:rsid w:val="00A70C5E"/>
    <w:rsid w:val="00A712B8"/>
    <w:rsid w:val="00A777B7"/>
    <w:rsid w:val="00A81F2D"/>
    <w:rsid w:val="00AB0E5B"/>
    <w:rsid w:val="00AB2F6E"/>
    <w:rsid w:val="00AE3848"/>
    <w:rsid w:val="00AF0606"/>
    <w:rsid w:val="00B07A7A"/>
    <w:rsid w:val="00B128FD"/>
    <w:rsid w:val="00B2025B"/>
    <w:rsid w:val="00B2500C"/>
    <w:rsid w:val="00B300C4"/>
    <w:rsid w:val="00B31D5A"/>
    <w:rsid w:val="00B35464"/>
    <w:rsid w:val="00B36F41"/>
    <w:rsid w:val="00B46BD0"/>
    <w:rsid w:val="00B50494"/>
    <w:rsid w:val="00B811DE"/>
    <w:rsid w:val="00B84029"/>
    <w:rsid w:val="00BA41A7"/>
    <w:rsid w:val="00BA4EB5"/>
    <w:rsid w:val="00BA584D"/>
    <w:rsid w:val="00BA6649"/>
    <w:rsid w:val="00BC1D7E"/>
    <w:rsid w:val="00BD10E1"/>
    <w:rsid w:val="00BD3D99"/>
    <w:rsid w:val="00BE1628"/>
    <w:rsid w:val="00BE17F7"/>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46C6A"/>
    <w:rsid w:val="00C60F15"/>
    <w:rsid w:val="00C62002"/>
    <w:rsid w:val="00C718AE"/>
    <w:rsid w:val="00C77441"/>
    <w:rsid w:val="00C930F0"/>
    <w:rsid w:val="00CB3A53"/>
    <w:rsid w:val="00CC69A5"/>
    <w:rsid w:val="00CD18DB"/>
    <w:rsid w:val="00CE2A79"/>
    <w:rsid w:val="00CE2E92"/>
    <w:rsid w:val="00CF2E07"/>
    <w:rsid w:val="00CF3942"/>
    <w:rsid w:val="00D35567"/>
    <w:rsid w:val="00D418FB"/>
    <w:rsid w:val="00D46695"/>
    <w:rsid w:val="00D46DAB"/>
    <w:rsid w:val="00D50B3E"/>
    <w:rsid w:val="00D55961"/>
    <w:rsid w:val="00D60C11"/>
    <w:rsid w:val="00D60EE3"/>
    <w:rsid w:val="00D67640"/>
    <w:rsid w:val="00D67772"/>
    <w:rsid w:val="00D72A07"/>
    <w:rsid w:val="00D84239"/>
    <w:rsid w:val="00D90774"/>
    <w:rsid w:val="00D95388"/>
    <w:rsid w:val="00D96E15"/>
    <w:rsid w:val="00DA5C12"/>
    <w:rsid w:val="00DA639C"/>
    <w:rsid w:val="00DB3E3C"/>
    <w:rsid w:val="00DD310A"/>
    <w:rsid w:val="00DD3173"/>
    <w:rsid w:val="00DD3AFB"/>
    <w:rsid w:val="00DE534A"/>
    <w:rsid w:val="00DE7850"/>
    <w:rsid w:val="00DE79ED"/>
    <w:rsid w:val="00E05BB2"/>
    <w:rsid w:val="00E107C8"/>
    <w:rsid w:val="00E120CF"/>
    <w:rsid w:val="00E13506"/>
    <w:rsid w:val="00E16BA4"/>
    <w:rsid w:val="00E172A1"/>
    <w:rsid w:val="00E363F0"/>
    <w:rsid w:val="00E430EA"/>
    <w:rsid w:val="00E44B62"/>
    <w:rsid w:val="00E50A08"/>
    <w:rsid w:val="00E52CBE"/>
    <w:rsid w:val="00E67709"/>
    <w:rsid w:val="00E8576B"/>
    <w:rsid w:val="00E97290"/>
    <w:rsid w:val="00EB0C3E"/>
    <w:rsid w:val="00EB0D7A"/>
    <w:rsid w:val="00EC012C"/>
    <w:rsid w:val="00EC2C4D"/>
    <w:rsid w:val="00EE2732"/>
    <w:rsid w:val="00EF353E"/>
    <w:rsid w:val="00EF6FE8"/>
    <w:rsid w:val="00EF7EB3"/>
    <w:rsid w:val="00F02BAF"/>
    <w:rsid w:val="00F07F0E"/>
    <w:rsid w:val="00F13E2A"/>
    <w:rsid w:val="00F24D2F"/>
    <w:rsid w:val="00F3696F"/>
    <w:rsid w:val="00F36A1E"/>
    <w:rsid w:val="00F47702"/>
    <w:rsid w:val="00F5602B"/>
    <w:rsid w:val="00F5608E"/>
    <w:rsid w:val="00F66FEE"/>
    <w:rsid w:val="00F708E8"/>
    <w:rsid w:val="00F711E1"/>
    <w:rsid w:val="00F77541"/>
    <w:rsid w:val="00F87DB6"/>
    <w:rsid w:val="00F94E80"/>
    <w:rsid w:val="00FA151A"/>
    <w:rsid w:val="00FA30D7"/>
    <w:rsid w:val="00FA5164"/>
    <w:rsid w:val="00FA5F5C"/>
    <w:rsid w:val="00FA6612"/>
    <w:rsid w:val="00FD0461"/>
    <w:rsid w:val="00FD1184"/>
    <w:rsid w:val="00FD6A90"/>
    <w:rsid w:val="00FE2C33"/>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F86B62D"/>
  <w15:docId w15:val="{5AFFF832-58CD-4BC5-86CD-0DA7F7FA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styleId="Listenabsatz">
    <w:name w:val="List Paragraph"/>
    <w:basedOn w:val="Standard"/>
    <w:uiPriority w:val="34"/>
    <w:qFormat/>
    <w:rsid w:val="008B4D0E"/>
    <w:pPr>
      <w:spacing w:line="240" w:lineRule="exact"/>
      <w:ind w:left="720" w:right="85"/>
      <w:contextualSpacing/>
    </w:pPr>
    <w:rPr>
      <w:position w:val="-2"/>
      <w:sz w:val="18"/>
    </w:rPr>
  </w:style>
  <w:style w:type="paragraph" w:customStyle="1" w:styleId="M8">
    <w:name w:val="M8"/>
    <w:basedOn w:val="Standard"/>
    <w:rsid w:val="008B4D0E"/>
    <w:pPr>
      <w:framePr w:wrap="around" w:vAnchor="page" w:hAnchor="page" w:x="8971" w:y="3222"/>
      <w:tabs>
        <w:tab w:val="left" w:pos="518"/>
      </w:tabs>
      <w:spacing w:line="180" w:lineRule="exact"/>
      <w:suppressOverlap/>
    </w:pPr>
    <w:rPr>
      <w:sz w:val="13"/>
    </w:rPr>
  </w:style>
  <w:style w:type="paragraph" w:styleId="berarbeitung">
    <w:name w:val="Revision"/>
    <w:hidden/>
    <w:uiPriority w:val="99"/>
    <w:semiHidden/>
    <w:rsid w:val="00696BAB"/>
    <w:rPr>
      <w:rFonts w:ascii="Lucida Sans Unicode" w:hAnsi="Lucida Sans Unicode"/>
      <w:sz w:val="22"/>
      <w:szCs w:val="24"/>
    </w:rPr>
  </w:style>
  <w:style w:type="character" w:styleId="Kommentarzeichen">
    <w:name w:val="annotation reference"/>
    <w:basedOn w:val="Absatz-Standardschriftart"/>
    <w:semiHidden/>
    <w:unhideWhenUsed/>
    <w:rsid w:val="00696BAB"/>
    <w:rPr>
      <w:sz w:val="16"/>
      <w:szCs w:val="16"/>
    </w:rPr>
  </w:style>
  <w:style w:type="paragraph" w:styleId="Kommentartext">
    <w:name w:val="annotation text"/>
    <w:basedOn w:val="Standard"/>
    <w:link w:val="KommentartextZchn"/>
    <w:semiHidden/>
    <w:unhideWhenUsed/>
    <w:rsid w:val="00696BAB"/>
    <w:pPr>
      <w:spacing w:line="240" w:lineRule="auto"/>
    </w:pPr>
    <w:rPr>
      <w:sz w:val="20"/>
      <w:szCs w:val="20"/>
    </w:rPr>
  </w:style>
  <w:style w:type="character" w:customStyle="1" w:styleId="KommentartextZchn">
    <w:name w:val="Kommentartext Zchn"/>
    <w:basedOn w:val="Absatz-Standardschriftart"/>
    <w:link w:val="Kommentartext"/>
    <w:semiHidden/>
    <w:rsid w:val="00696BAB"/>
    <w:rPr>
      <w:rFonts w:ascii="Lucida Sans Unicode" w:hAnsi="Lucida Sans Unicode"/>
    </w:rPr>
  </w:style>
  <w:style w:type="paragraph" w:styleId="Kommentarthema">
    <w:name w:val="annotation subject"/>
    <w:basedOn w:val="Kommentartext"/>
    <w:next w:val="Kommentartext"/>
    <w:link w:val="KommentarthemaZchn"/>
    <w:semiHidden/>
    <w:unhideWhenUsed/>
    <w:rsid w:val="00696BAB"/>
    <w:rPr>
      <w:b/>
      <w:bCs/>
    </w:rPr>
  </w:style>
  <w:style w:type="character" w:customStyle="1" w:styleId="KommentarthemaZchn">
    <w:name w:val="Kommentarthema Zchn"/>
    <w:basedOn w:val="KommentartextZchn"/>
    <w:link w:val="Kommentarthema"/>
    <w:semiHidden/>
    <w:rsid w:val="00696BAB"/>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3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hias.ruch@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3387\AppData\Local\Temp\notesC3B990\mit_WBM_Pressemitteilung_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mit_WBM_Pressemitteilung_d.dotx</Template>
  <TotalTime>0</TotalTime>
  <Pages>4</Pages>
  <Words>932</Words>
  <Characters>5762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6681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Holtkamp, Verena</dc:creator>
  <dc:description>Im Auftrag von Konzernmarketing und PR_x000d_
Bearbeitung durch Dr. H. Neubauer, PC-Verkauf, Beratung und Schulung (E-Mail hendrikn@t-online.de)</dc:description>
  <cp:lastModifiedBy>Holtkamp, Verena</cp:lastModifiedBy>
  <cp:revision>9</cp:revision>
  <cp:lastPrinted>2017-03-01T09:28:00Z</cp:lastPrinted>
  <dcterms:created xsi:type="dcterms:W3CDTF">2017-02-24T16:44:00Z</dcterms:created>
  <dcterms:modified xsi:type="dcterms:W3CDTF">2017-03-01T09:28:00Z</dcterms:modified>
</cp:coreProperties>
</file>