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8C0FC2" w:rsidP="000B1B97">
            <w:pPr>
              <w:pStyle w:val="M8"/>
              <w:framePr w:wrap="auto" w:vAnchor="margin" w:hAnchor="text" w:xAlign="left" w:yAlign="inline"/>
              <w:suppressOverlap w:val="0"/>
              <w:rPr>
                <w:sz w:val="18"/>
                <w:szCs w:val="18"/>
              </w:rPr>
            </w:pPr>
            <w:r>
              <w:rPr>
                <w:sz w:val="18"/>
                <w:szCs w:val="18"/>
              </w:rPr>
              <w:t>17. Juli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110640">
              <w:rPr>
                <w:b/>
              </w:rPr>
              <w:t>Matthias Ruch</w:t>
            </w:r>
          </w:p>
          <w:p w:rsidR="00242A50" w:rsidRPr="001F2C0A" w:rsidRDefault="00110640"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rsidR="00110640" w:rsidRDefault="000B1B97" w:rsidP="000B1B97">
            <w:pPr>
              <w:pStyle w:val="M9"/>
              <w:framePr w:wrap="auto" w:vAnchor="margin" w:hAnchor="text" w:xAlign="left" w:yAlign="inline"/>
              <w:suppressOverlap w:val="0"/>
            </w:pPr>
            <w:r>
              <w:t xml:space="preserve">Telefon +49 </w:t>
            </w:r>
            <w:r w:rsidR="004D1521">
              <w:t xml:space="preserve">201 177 </w:t>
            </w:r>
            <w:r w:rsidR="00110640">
              <w:t>3348</w:t>
            </w:r>
          </w:p>
          <w:p w:rsidR="000B1B97" w:rsidRDefault="008C0FC2" w:rsidP="000B1B97">
            <w:pPr>
              <w:pStyle w:val="M9"/>
              <w:framePr w:wrap="auto" w:vAnchor="margin" w:hAnchor="text" w:xAlign="left" w:yAlign="inline"/>
              <w:suppressOverlap w:val="0"/>
            </w:pPr>
            <w:r>
              <w:t xml:space="preserve">Mobil </w:t>
            </w:r>
            <w:r w:rsidR="00110640">
              <w:t xml:space="preserve">   +49 174 325 9942</w:t>
            </w:r>
            <w:r w:rsidR="000B1B97">
              <w:t xml:space="preserve"> </w:t>
            </w:r>
          </w:p>
          <w:p w:rsidR="000B1B97" w:rsidRDefault="004D1521" w:rsidP="000B1B97">
            <w:pPr>
              <w:pStyle w:val="M10"/>
              <w:framePr w:wrap="auto" w:vAnchor="margin" w:hAnchor="text" w:xAlign="left" w:yAlign="inline"/>
              <w:suppressOverlap w:val="0"/>
            </w:pPr>
            <w:r>
              <w:t>Matthias</w:t>
            </w:r>
            <w:r w:rsidR="000B1B97">
              <w:t>.</w:t>
            </w:r>
            <w:r>
              <w:t>Ruch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10640">
            <w:pPr>
              <w:pStyle w:val="M10"/>
              <w:framePr w:wrap="auto" w:vAnchor="margin" w:hAnchor="text" w:xAlign="left" w:yAlign="inline"/>
              <w:suppressOverlap w:val="0"/>
            </w:pPr>
          </w:p>
        </w:tc>
      </w:tr>
    </w:tbl>
    <w:p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rsidR="00D333AA" w:rsidRDefault="00D333AA" w:rsidP="009577A8">
      <w:pPr>
        <w:framePr w:w="2821" w:wrap="around" w:vAnchor="page" w:hAnchor="page" w:x="8821" w:y="12433" w:anchorLock="1"/>
        <w:spacing w:line="180" w:lineRule="exact"/>
        <w:rPr>
          <w:noProof/>
          <w:sz w:val="13"/>
          <w:szCs w:val="13"/>
        </w:rPr>
      </w:pPr>
    </w:p>
    <w:p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rsidR="00276C89" w:rsidRDefault="00276C89" w:rsidP="009577A8">
      <w:pPr>
        <w:framePr w:w="2821" w:wrap="around" w:vAnchor="page" w:hAnchor="page" w:x="8821" w:y="12433" w:anchorLock="1"/>
        <w:spacing w:line="180" w:lineRule="exact"/>
        <w:rPr>
          <w:noProof/>
          <w:sz w:val="13"/>
          <w:szCs w:val="13"/>
        </w:rPr>
      </w:pPr>
    </w:p>
    <w:p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rsidR="008C0FC2" w:rsidRDefault="002227F7" w:rsidP="002227F7">
      <w:pPr>
        <w:outlineLvl w:val="0"/>
        <w:rPr>
          <w:rFonts w:cs="Arial"/>
          <w:b/>
          <w:bCs/>
          <w:color w:val="000000" w:themeColor="text1"/>
          <w:kern w:val="28"/>
          <w:sz w:val="24"/>
          <w:szCs w:val="32"/>
        </w:rPr>
      </w:pPr>
      <w:bookmarkStart w:id="0" w:name="_GoBack"/>
      <w:r w:rsidRPr="002227F7">
        <w:rPr>
          <w:rFonts w:cs="Arial"/>
          <w:b/>
          <w:bCs/>
          <w:color w:val="000000" w:themeColor="text1"/>
          <w:kern w:val="28"/>
          <w:sz w:val="24"/>
          <w:szCs w:val="32"/>
        </w:rPr>
        <w:t xml:space="preserve">Vorläufige Ergebnisse </w:t>
      </w:r>
      <w:bookmarkEnd w:id="0"/>
      <w:r w:rsidRPr="002227F7">
        <w:rPr>
          <w:rFonts w:cs="Arial"/>
          <w:b/>
          <w:bCs/>
          <w:color w:val="000000" w:themeColor="text1"/>
          <w:kern w:val="28"/>
          <w:sz w:val="24"/>
          <w:szCs w:val="32"/>
        </w:rPr>
        <w:t>für da</w:t>
      </w:r>
      <w:r w:rsidR="008C0FC2">
        <w:rPr>
          <w:rFonts w:cs="Arial"/>
          <w:b/>
          <w:bCs/>
          <w:color w:val="000000" w:themeColor="text1"/>
          <w:kern w:val="28"/>
          <w:sz w:val="24"/>
          <w:szCs w:val="32"/>
        </w:rPr>
        <w:t>s zweite Quartal über Erwartung</w:t>
      </w:r>
    </w:p>
    <w:p w:rsidR="002227F7" w:rsidRPr="002227F7" w:rsidRDefault="002227F7" w:rsidP="002227F7">
      <w:pPr>
        <w:outlineLvl w:val="0"/>
        <w:rPr>
          <w:rFonts w:cs="Arial"/>
          <w:bCs/>
          <w:color w:val="000000" w:themeColor="text1"/>
          <w:kern w:val="28"/>
          <w:sz w:val="24"/>
          <w:szCs w:val="32"/>
        </w:rPr>
      </w:pPr>
      <w:r w:rsidRPr="002227F7">
        <w:rPr>
          <w:rFonts w:cs="Arial"/>
          <w:b/>
          <w:bCs/>
          <w:color w:val="000000" w:themeColor="text1"/>
          <w:kern w:val="28"/>
          <w:sz w:val="24"/>
          <w:szCs w:val="32"/>
        </w:rPr>
        <w:t>– Ausblick für das Geschäftsjahr 2018 angehoben</w:t>
      </w:r>
    </w:p>
    <w:p w:rsidR="002227F7" w:rsidRPr="002227F7" w:rsidRDefault="002227F7" w:rsidP="002227F7">
      <w:pPr>
        <w:outlineLvl w:val="0"/>
        <w:rPr>
          <w:rFonts w:cs="Arial"/>
          <w:b/>
          <w:bCs/>
          <w:kern w:val="28"/>
          <w:sz w:val="24"/>
          <w:szCs w:val="32"/>
        </w:rPr>
      </w:pPr>
    </w:p>
    <w:p w:rsidR="002227F7" w:rsidRPr="002227F7" w:rsidRDefault="002227F7" w:rsidP="002227F7">
      <w:pPr>
        <w:numPr>
          <w:ilvl w:val="0"/>
          <w:numId w:val="33"/>
        </w:numPr>
        <w:spacing w:after="160" w:line="240" w:lineRule="auto"/>
        <w:ind w:left="142" w:hanging="218"/>
        <w:contextualSpacing/>
        <w:rPr>
          <w:sz w:val="24"/>
        </w:rPr>
      </w:pPr>
      <w:r w:rsidRPr="002227F7">
        <w:rPr>
          <w:sz w:val="24"/>
        </w:rPr>
        <w:t>Umsatz steigt um 7 Prozent auf 3,9 Milliarden €</w:t>
      </w:r>
    </w:p>
    <w:p w:rsidR="002227F7" w:rsidRPr="002227F7" w:rsidRDefault="002227F7" w:rsidP="002227F7">
      <w:pPr>
        <w:numPr>
          <w:ilvl w:val="0"/>
          <w:numId w:val="33"/>
        </w:numPr>
        <w:spacing w:after="160" w:line="240" w:lineRule="auto"/>
        <w:ind w:left="142" w:hanging="218"/>
        <w:contextualSpacing/>
        <w:rPr>
          <w:sz w:val="24"/>
        </w:rPr>
      </w:pPr>
      <w:r w:rsidRPr="002227F7">
        <w:rPr>
          <w:sz w:val="24"/>
        </w:rPr>
        <w:t>Bereinigtes EBITDA steigt um 16 Prozent auf 742 Millionen €</w:t>
      </w:r>
    </w:p>
    <w:p w:rsidR="002227F7" w:rsidRDefault="002227F7" w:rsidP="002227F7">
      <w:pPr>
        <w:numPr>
          <w:ilvl w:val="0"/>
          <w:numId w:val="33"/>
        </w:numPr>
        <w:spacing w:after="160" w:line="240" w:lineRule="auto"/>
        <w:ind w:left="142" w:hanging="218"/>
        <w:contextualSpacing/>
        <w:rPr>
          <w:sz w:val="24"/>
        </w:rPr>
      </w:pPr>
      <w:r w:rsidRPr="002227F7">
        <w:rPr>
          <w:sz w:val="24"/>
        </w:rPr>
        <w:t xml:space="preserve">Ausblick für das Gesamtjahr angehoben: bereinigtes EBITDA zwischen 2,6 und 2,65 Milliarden € </w:t>
      </w:r>
    </w:p>
    <w:p w:rsidR="008C0FC2" w:rsidRPr="002227F7" w:rsidRDefault="008C0FC2" w:rsidP="008C0FC2">
      <w:pPr>
        <w:spacing w:after="160" w:line="240" w:lineRule="auto"/>
        <w:ind w:left="142"/>
        <w:contextualSpacing/>
        <w:rPr>
          <w:sz w:val="24"/>
        </w:rPr>
      </w:pPr>
    </w:p>
    <w:p w:rsidR="002227F7" w:rsidRPr="002227F7" w:rsidRDefault="002227F7" w:rsidP="009836C4">
      <w:pPr>
        <w:autoSpaceDE w:val="0"/>
        <w:autoSpaceDN w:val="0"/>
        <w:adjustRightInd w:val="0"/>
        <w:ind w:right="-87"/>
        <w:rPr>
          <w:rFonts w:cs="Lucida Sans Unicode"/>
          <w:color w:val="000000" w:themeColor="text1"/>
          <w:szCs w:val="22"/>
        </w:rPr>
      </w:pPr>
      <w:r w:rsidRPr="002227F7">
        <w:rPr>
          <w:rFonts w:cs="Lucida Sans Unicode"/>
          <w:b/>
          <w:color w:val="000000" w:themeColor="text1"/>
          <w:szCs w:val="22"/>
        </w:rPr>
        <w:t>Essen.</w:t>
      </w:r>
      <w:r w:rsidRPr="002227F7">
        <w:rPr>
          <w:rFonts w:cs="Lucida Sans Unicode"/>
          <w:color w:val="000000" w:themeColor="text1"/>
          <w:szCs w:val="22"/>
        </w:rPr>
        <w:t xml:space="preserve"> Evonik hat im zweiten Quartal 2018 das bereinigte EBITDA auf 742 Millionen € (Vorjahr: 640 Millionen €) gesteigert. Zu diesem deutlichen Anstieg trugen alle drei Chemie-Segmente mit ihrer sehr guten oper</w:t>
      </w:r>
      <w:r w:rsidR="00F25CD9">
        <w:rPr>
          <w:rFonts w:cs="Lucida Sans Unicode"/>
          <w:color w:val="000000" w:themeColor="text1"/>
          <w:szCs w:val="22"/>
        </w:rPr>
        <w:t>ativen Geschäftsentwicklung bei.</w:t>
      </w:r>
      <w:r w:rsidRPr="002227F7">
        <w:rPr>
          <w:rFonts w:cs="Lucida Sans Unicode"/>
          <w:color w:val="000000" w:themeColor="text1"/>
          <w:szCs w:val="22"/>
        </w:rPr>
        <w:t xml:space="preserve"> Alle drei Segmente konnten sowohl das bereinigte EBITDA als auch die EBITDA-Marge gegenüber dem Vorjahresquartal steigern.</w:t>
      </w:r>
    </w:p>
    <w:p w:rsidR="002227F7" w:rsidRPr="002227F7" w:rsidRDefault="002227F7" w:rsidP="009836C4">
      <w:pPr>
        <w:autoSpaceDE w:val="0"/>
        <w:autoSpaceDN w:val="0"/>
        <w:adjustRightInd w:val="0"/>
        <w:rPr>
          <w:rFonts w:cs="Lucida Sans Unicode"/>
          <w:color w:val="000000" w:themeColor="text1"/>
          <w:szCs w:val="22"/>
        </w:rPr>
      </w:pPr>
    </w:p>
    <w:p w:rsidR="002227F7" w:rsidRPr="002227F7"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szCs w:val="22"/>
        </w:rPr>
        <w:t>Der Umsatz erhöhte sich im zweiten Quartal auf 3,9 Milliarden €</w:t>
      </w:r>
      <w:r w:rsidRPr="002227F7">
        <w:rPr>
          <w:rFonts w:cs="Lucida Sans Unicode"/>
          <w:color w:val="000000"/>
          <w:sz w:val="24"/>
        </w:rPr>
        <w:t xml:space="preserve">, </w:t>
      </w:r>
      <w:r w:rsidRPr="002227F7">
        <w:rPr>
          <w:rFonts w:cs="Lucida Sans Unicode"/>
          <w:color w:val="000000"/>
          <w:szCs w:val="22"/>
        </w:rPr>
        <w:t xml:space="preserve">maßgeblich durch gestiegene Absatzmengen sowie höhere Verkaufspreise </w:t>
      </w:r>
      <w:r w:rsidRPr="002227F7">
        <w:rPr>
          <w:rFonts w:cs="Lucida Sans Unicode"/>
          <w:color w:val="000000" w:themeColor="text1"/>
          <w:szCs w:val="22"/>
        </w:rPr>
        <w:t>(Vorjahr: 3,6 Milliarden €)</w:t>
      </w:r>
      <w:r w:rsidRPr="002227F7">
        <w:rPr>
          <w:rFonts w:cs="Lucida Sans Unicode"/>
          <w:color w:val="000000"/>
          <w:szCs w:val="22"/>
        </w:rPr>
        <w:t xml:space="preserve">. </w:t>
      </w:r>
      <w:r w:rsidRPr="002227F7">
        <w:rPr>
          <w:rFonts w:cs="Lucida Sans Unicode"/>
          <w:color w:val="000000" w:themeColor="text1"/>
          <w:szCs w:val="22"/>
        </w:rPr>
        <w:t>Das bereinigte Konzernergebnis betrug 354 Millionen €, das entspricht einem Ergebnis je Aktie von 0,76 €. Die bereinigte EBITDA-Marge verbesserte sich auf 19,2 Prozent und liegt damit um rund</w:t>
      </w:r>
      <w:r w:rsidRPr="002227F7">
        <w:rPr>
          <w:rFonts w:cs="Lucida Sans Unicode"/>
          <w:color w:val="000000" w:themeColor="text1"/>
          <w:szCs w:val="22"/>
        </w:rPr>
        <w:br/>
        <w:t>1,5 Prozentpunkte höher als im Vorjahreszeitraum.</w:t>
      </w:r>
    </w:p>
    <w:p w:rsidR="002227F7" w:rsidRPr="002227F7" w:rsidRDefault="002227F7" w:rsidP="009836C4">
      <w:pPr>
        <w:autoSpaceDE w:val="0"/>
        <w:autoSpaceDN w:val="0"/>
        <w:adjustRightInd w:val="0"/>
        <w:rPr>
          <w:rFonts w:cs="Lucida Sans Unicode"/>
          <w:color w:val="000000" w:themeColor="text1"/>
          <w:szCs w:val="22"/>
        </w:rPr>
      </w:pPr>
    </w:p>
    <w:p w:rsidR="009836C4" w:rsidRDefault="002227F7" w:rsidP="009836C4">
      <w:pPr>
        <w:autoSpaceDE w:val="0"/>
        <w:autoSpaceDN w:val="0"/>
        <w:adjustRightInd w:val="0"/>
        <w:rPr>
          <w:rFonts w:cs="Lucida Sans Unicode"/>
          <w:color w:val="000000" w:themeColor="text1"/>
        </w:rPr>
      </w:pPr>
      <w:r w:rsidRPr="002227F7">
        <w:rPr>
          <w:rFonts w:cs="Lucida Sans Unicode"/>
          <w:color w:val="000000" w:themeColor="text1"/>
        </w:rPr>
        <w:t xml:space="preserve">Das bereinigte EBITDA und </w:t>
      </w:r>
      <w:r w:rsidR="008C0FC2" w:rsidRPr="00F25CD9">
        <w:rPr>
          <w:rFonts w:cs="Lucida Sans Unicode"/>
        </w:rPr>
        <w:t xml:space="preserve">das </w:t>
      </w:r>
      <w:r w:rsidRPr="002227F7">
        <w:rPr>
          <w:rFonts w:cs="Lucida Sans Unicode"/>
          <w:color w:val="000000" w:themeColor="text1"/>
        </w:rPr>
        <w:t>bereinigte Ergebnis je Aktie liegen damit deutlich über den aktuellen Markterwartungen (Analys</w:t>
      </w:r>
      <w:r w:rsidR="00F25CD9">
        <w:rPr>
          <w:rFonts w:cs="Lucida Sans Unicode"/>
          <w:color w:val="000000" w:themeColor="text1"/>
        </w:rPr>
        <w:t xml:space="preserve">ten-Konsensus: 691 Millionen € und </w:t>
      </w:r>
      <w:r w:rsidRPr="002227F7">
        <w:rPr>
          <w:rFonts w:cs="Lucida Sans Unicode"/>
          <w:color w:val="000000" w:themeColor="text1"/>
        </w:rPr>
        <w:t>0,70 € je Aktie).</w:t>
      </w:r>
      <w:r w:rsidRPr="002227F7">
        <w:rPr>
          <w:rFonts w:cs="Lucida Sans Unicode"/>
          <w:color w:val="000000" w:themeColor="text1"/>
          <w:szCs w:val="22"/>
        </w:rPr>
        <w:t xml:space="preserve"> Daher ist Evonik verpflichtet, vorläufige Zahlen zu veröffentlichen. </w:t>
      </w:r>
      <w:r w:rsidRPr="002227F7">
        <w:rPr>
          <w:rFonts w:cs="Lucida Sans Unicode"/>
          <w:color w:val="000000" w:themeColor="text1"/>
          <w:szCs w:val="20"/>
        </w:rPr>
        <w:t>Die endgültigen Geschäftszahlen legt Evonik am 2. August 2018 vor.</w:t>
      </w:r>
      <w:r w:rsidRPr="002227F7">
        <w:rPr>
          <w:rFonts w:cs="Lucida Sans Unicode"/>
          <w:color w:val="000000" w:themeColor="text1"/>
          <w:szCs w:val="22"/>
        </w:rPr>
        <w:br/>
      </w:r>
      <w:r w:rsidRPr="002227F7">
        <w:rPr>
          <w:rFonts w:cs="Lucida Sans Unicode"/>
          <w:color w:val="000000" w:themeColor="text1"/>
          <w:szCs w:val="22"/>
        </w:rPr>
        <w:br/>
      </w:r>
      <w:r w:rsidRPr="002227F7">
        <w:rPr>
          <w:rFonts w:cs="Lucida Sans Unicode"/>
          <w:color w:val="000000" w:themeColor="text1"/>
        </w:rPr>
        <w:t>„Wir setzen unsere Strategie weiter konsequent um“, sagt Vorstandschef Christian Kullmann. „Dies spiegelt sich nun auch mehr und mehr in unserer operativen Geschäftsentwicklung wider. Neben der weiterhin robusten Nachfrage in unseren Wachstumskernen tragen erste sichtbare Erfolge aus unserem Programm zur Senkung der Ko</w:t>
      </w:r>
      <w:r w:rsidR="009836C4">
        <w:rPr>
          <w:rFonts w:cs="Lucida Sans Unicode"/>
          <w:color w:val="000000" w:themeColor="text1"/>
        </w:rPr>
        <w:t>sten in Verwaltung und Vertrieb</w:t>
      </w:r>
    </w:p>
    <w:p w:rsidR="002227F7" w:rsidRPr="002227F7"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rPr>
        <w:t>zum starken Quartalsergebnis bei.“</w:t>
      </w:r>
      <w:r w:rsidRPr="002227F7">
        <w:rPr>
          <w:rFonts w:cs="Lucida Sans Unicode"/>
          <w:color w:val="000000" w:themeColor="text1"/>
          <w:szCs w:val="22"/>
        </w:rPr>
        <w:br/>
      </w:r>
    </w:p>
    <w:p w:rsidR="009836C4"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szCs w:val="22"/>
        </w:rPr>
        <w:t xml:space="preserve">Im ersten Halbjahr erwirtschaftete Evonik bei einem Umsatz von </w:t>
      </w:r>
      <w:r w:rsidRPr="002227F7">
        <w:rPr>
          <w:rFonts w:cs="Lucida Sans Unicode"/>
          <w:color w:val="000000" w:themeColor="text1"/>
          <w:szCs w:val="22"/>
        </w:rPr>
        <w:br/>
        <w:t xml:space="preserve">7,5 </w:t>
      </w:r>
      <w:r w:rsidR="008C0FC2" w:rsidRPr="002227F7">
        <w:rPr>
          <w:rFonts w:cs="Lucida Sans Unicode"/>
          <w:color w:val="000000" w:themeColor="text1"/>
          <w:szCs w:val="22"/>
        </w:rPr>
        <w:t>Milliarden</w:t>
      </w:r>
      <w:r w:rsidRPr="002227F7">
        <w:rPr>
          <w:rFonts w:cs="Lucida Sans Unicode"/>
          <w:color w:val="000000" w:themeColor="text1"/>
          <w:szCs w:val="22"/>
        </w:rPr>
        <w:t xml:space="preserve"> € ein bereinigtes EBITDA von 1,4 </w:t>
      </w:r>
      <w:r w:rsidR="008C0FC2" w:rsidRPr="002227F7">
        <w:rPr>
          <w:rFonts w:cs="Lucida Sans Unicode"/>
          <w:color w:val="000000" w:themeColor="text1"/>
          <w:szCs w:val="22"/>
        </w:rPr>
        <w:t>Milliarden</w:t>
      </w:r>
      <w:r w:rsidR="009836C4">
        <w:rPr>
          <w:rFonts w:cs="Lucida Sans Unicode"/>
          <w:color w:val="000000" w:themeColor="text1"/>
          <w:szCs w:val="22"/>
        </w:rPr>
        <w:t xml:space="preserve"> €.</w:t>
      </w:r>
    </w:p>
    <w:p w:rsidR="00F25CD9"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szCs w:val="22"/>
        </w:rPr>
        <w:lastRenderedPageBreak/>
        <w:t>Im Vergleich zum Vorjah</w:t>
      </w:r>
      <w:r w:rsidR="00F25CD9">
        <w:rPr>
          <w:rFonts w:cs="Lucida Sans Unicode"/>
          <w:color w:val="000000" w:themeColor="text1"/>
          <w:szCs w:val="22"/>
        </w:rPr>
        <w:t xml:space="preserve">reszeitraum </w:t>
      </w:r>
      <w:proofErr w:type="gramStart"/>
      <w:r w:rsidR="00F25CD9">
        <w:rPr>
          <w:rFonts w:cs="Lucida Sans Unicode"/>
          <w:color w:val="000000" w:themeColor="text1"/>
          <w:szCs w:val="22"/>
        </w:rPr>
        <w:t>stiegen</w:t>
      </w:r>
      <w:proofErr w:type="gramEnd"/>
      <w:r w:rsidR="00F25CD9">
        <w:rPr>
          <w:rFonts w:cs="Lucida Sans Unicode"/>
          <w:color w:val="000000" w:themeColor="text1"/>
          <w:szCs w:val="22"/>
        </w:rPr>
        <w:t xml:space="preserve"> der Umsatz um</w:t>
      </w:r>
    </w:p>
    <w:p w:rsidR="002227F7" w:rsidRPr="002227F7"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szCs w:val="22"/>
        </w:rPr>
        <w:t xml:space="preserve">4 Prozent und das bereinigte EBITDA um 15 Prozent. Die bereinigte EBITDA-Marge verbesserte sich von 17,0 Prozent auf 18,8 Prozent. </w:t>
      </w:r>
    </w:p>
    <w:p w:rsidR="002227F7" w:rsidRPr="002227F7" w:rsidRDefault="002227F7" w:rsidP="009836C4">
      <w:pPr>
        <w:autoSpaceDE w:val="0"/>
        <w:autoSpaceDN w:val="0"/>
        <w:adjustRightInd w:val="0"/>
        <w:rPr>
          <w:rFonts w:cs="Lucida Sans Unicode"/>
          <w:color w:val="000000" w:themeColor="text1"/>
          <w:szCs w:val="22"/>
        </w:rPr>
      </w:pPr>
    </w:p>
    <w:p w:rsidR="002227F7" w:rsidRPr="002227F7" w:rsidRDefault="002227F7" w:rsidP="009836C4">
      <w:pPr>
        <w:autoSpaceDE w:val="0"/>
        <w:autoSpaceDN w:val="0"/>
        <w:adjustRightInd w:val="0"/>
        <w:rPr>
          <w:rFonts w:cs="Lucida Sans Unicode"/>
          <w:color w:val="000000"/>
          <w:sz w:val="24"/>
        </w:rPr>
      </w:pPr>
      <w:r w:rsidRPr="002227F7">
        <w:rPr>
          <w:rFonts w:cs="Lucida Sans Unicode"/>
          <w:color w:val="000000" w:themeColor="text1"/>
          <w:szCs w:val="22"/>
        </w:rPr>
        <w:t>Auch bei der Entwicklung des Free Cashflow</w:t>
      </w:r>
      <w:r w:rsidR="007F5FB6" w:rsidRPr="00F25CD9">
        <w:rPr>
          <w:rFonts w:cs="Lucida Sans Unicode"/>
          <w:szCs w:val="22"/>
        </w:rPr>
        <w:t>s</w:t>
      </w:r>
      <w:r w:rsidRPr="002227F7">
        <w:rPr>
          <w:rFonts w:cs="Lucida Sans Unicode"/>
          <w:color w:val="000000" w:themeColor="text1"/>
          <w:szCs w:val="22"/>
        </w:rPr>
        <w:t xml:space="preserve"> ist Evonik auf einem guten Weg: Im Gegensatz zum Vorjahr (H1 2017: -135 Millionen €) </w:t>
      </w:r>
      <w:r w:rsidRPr="002227F7">
        <w:rPr>
          <w:rFonts w:cs="Lucida Sans Unicode"/>
          <w:szCs w:val="22"/>
        </w:rPr>
        <w:t>war der Free Cashflow im ersten Halbjahr 2018 positiv</w:t>
      </w:r>
      <w:r w:rsidRPr="002227F7">
        <w:rPr>
          <w:rFonts w:cs="Lucida Sans Unicode"/>
          <w:color w:val="000000" w:themeColor="text1"/>
          <w:szCs w:val="22"/>
        </w:rPr>
        <w:t>.</w:t>
      </w:r>
    </w:p>
    <w:p w:rsidR="002227F7" w:rsidRPr="002227F7" w:rsidRDefault="002227F7" w:rsidP="009836C4">
      <w:pPr>
        <w:autoSpaceDE w:val="0"/>
        <w:autoSpaceDN w:val="0"/>
        <w:adjustRightInd w:val="0"/>
        <w:rPr>
          <w:rFonts w:cs="Lucida Sans Unicode"/>
          <w:color w:val="000000" w:themeColor="text1"/>
          <w:szCs w:val="22"/>
        </w:rPr>
      </w:pPr>
    </w:p>
    <w:p w:rsidR="002227F7" w:rsidRPr="002227F7" w:rsidRDefault="002227F7" w:rsidP="009836C4">
      <w:pPr>
        <w:rPr>
          <w:b/>
          <w:color w:val="000000" w:themeColor="text1"/>
          <w:szCs w:val="22"/>
        </w:rPr>
      </w:pPr>
      <w:r w:rsidRPr="002227F7">
        <w:rPr>
          <w:b/>
          <w:color w:val="000000" w:themeColor="text1"/>
          <w:szCs w:val="22"/>
        </w:rPr>
        <w:t>Ausblick angehoben</w:t>
      </w:r>
    </w:p>
    <w:p w:rsidR="002227F7" w:rsidRPr="002227F7" w:rsidRDefault="002227F7" w:rsidP="009836C4">
      <w:pPr>
        <w:rPr>
          <w:color w:val="000000" w:themeColor="text1"/>
          <w:szCs w:val="22"/>
        </w:rPr>
      </w:pPr>
    </w:p>
    <w:p w:rsidR="002227F7" w:rsidRPr="002227F7" w:rsidRDefault="002227F7" w:rsidP="009836C4">
      <w:pPr>
        <w:rPr>
          <w:color w:val="000000" w:themeColor="text1"/>
          <w:szCs w:val="22"/>
        </w:rPr>
      </w:pPr>
      <w:r w:rsidRPr="002227F7">
        <w:rPr>
          <w:color w:val="000000" w:themeColor="text1"/>
          <w:szCs w:val="22"/>
        </w:rPr>
        <w:t xml:space="preserve">Nach dem sehr guten Verlauf des ersten Halbjahres erhöht Evonik den Ausblick für das Gesamtjahr 2018 und erwartet nun ein bereinigtes EBITDA zwischen 2,6 und 2,65 Milliarden €. Bisher hatte das Unternehmen mit einem bereinigten EBITDA zwischen 2,4 und 2,6 Milliarden € gerechnet. </w:t>
      </w:r>
    </w:p>
    <w:p w:rsidR="002227F7" w:rsidRPr="002227F7" w:rsidRDefault="002227F7" w:rsidP="009836C4">
      <w:pPr>
        <w:rPr>
          <w:color w:val="000000" w:themeColor="text1"/>
          <w:szCs w:val="22"/>
        </w:rPr>
      </w:pPr>
    </w:p>
    <w:p w:rsidR="002227F7" w:rsidRPr="002227F7" w:rsidRDefault="002227F7" w:rsidP="009836C4">
      <w:pPr>
        <w:rPr>
          <w:color w:val="000000" w:themeColor="text1"/>
          <w:szCs w:val="22"/>
        </w:rPr>
      </w:pPr>
      <w:r w:rsidRPr="002227F7">
        <w:rPr>
          <w:color w:val="000000" w:themeColor="text1"/>
          <w:szCs w:val="22"/>
        </w:rPr>
        <w:t>Angehoben wird zugleich der Ausblick für den Free Cashflow: Für das Geschäftsjahr 2018 erwartet Evonik nun einen spürbar höheren Free Cashflow gegenüber dem Vorjahr. Bisher hatte Evonik einen leicht höheren Free Cashflow prognostiziert.</w:t>
      </w:r>
      <w:r w:rsidRPr="002227F7">
        <w:rPr>
          <w:color w:val="000000" w:themeColor="text1"/>
          <w:szCs w:val="22"/>
        </w:rPr>
        <w:br/>
      </w:r>
    </w:p>
    <w:p w:rsidR="002227F7" w:rsidRPr="002227F7" w:rsidRDefault="002227F7" w:rsidP="009836C4">
      <w:pPr>
        <w:rPr>
          <w:b/>
          <w:color w:val="000000" w:themeColor="text1"/>
          <w:szCs w:val="22"/>
        </w:rPr>
      </w:pPr>
      <w:r w:rsidRPr="002227F7">
        <w:rPr>
          <w:b/>
          <w:color w:val="000000" w:themeColor="text1"/>
          <w:szCs w:val="22"/>
        </w:rPr>
        <w:t>Entwicklung in den Segmenten</w:t>
      </w:r>
    </w:p>
    <w:p w:rsidR="002227F7" w:rsidRPr="002227F7" w:rsidRDefault="002227F7" w:rsidP="009836C4">
      <w:pPr>
        <w:rPr>
          <w:color w:val="000000" w:themeColor="text1"/>
          <w:szCs w:val="22"/>
        </w:rPr>
      </w:pPr>
    </w:p>
    <w:p w:rsidR="00F25CD9" w:rsidRDefault="002227F7" w:rsidP="009836C4">
      <w:pPr>
        <w:rPr>
          <w:color w:val="000000" w:themeColor="text1"/>
          <w:szCs w:val="22"/>
        </w:rPr>
      </w:pPr>
      <w:r w:rsidRPr="002227F7">
        <w:rPr>
          <w:color w:val="000000" w:themeColor="text1"/>
          <w:szCs w:val="22"/>
        </w:rPr>
        <w:t xml:space="preserve">Das Segment </w:t>
      </w:r>
      <w:r w:rsidRPr="002227F7">
        <w:rPr>
          <w:b/>
          <w:color w:val="000000" w:themeColor="text1"/>
          <w:szCs w:val="22"/>
        </w:rPr>
        <w:t>Resource Efficiency</w:t>
      </w:r>
      <w:r w:rsidRPr="002227F7">
        <w:rPr>
          <w:color w:val="000000" w:themeColor="text1"/>
          <w:szCs w:val="22"/>
        </w:rPr>
        <w:t xml:space="preserve"> setzte seine äußerst stabile und profitable Entwicklung im zweiten Quartal fort. Der Umsatz erhöhte sich um 8 Prozent auf 1,5 Milliarden € (Vorjahr: 1,4 Milliarden €), während das bereinigte Ergebnis mit 366 Millionen € rund </w:t>
      </w:r>
      <w:r w:rsidRPr="002227F7">
        <w:rPr>
          <w:color w:val="000000" w:themeColor="text1"/>
          <w:szCs w:val="22"/>
        </w:rPr>
        <w:br/>
        <w:t>15 Prozent über dem Vorjahresquartal lag. Die bereinigte EBITDA-Marge im Segment erhöhte sich um 1,4 Prozentpunkte auf hervorragende 24,7 Prozent. Das Segment profitierte von einer insgesamt hohen Anlagenauslastung und einer weiterhin hohen Nachfrage nach Kieselsäuren (Silica), Hochleistungskunststoffen</w:t>
      </w:r>
      <w:r w:rsidR="004D1521" w:rsidRPr="00F25CD9">
        <w:rPr>
          <w:szCs w:val="22"/>
        </w:rPr>
        <w:t>,</w:t>
      </w:r>
      <w:r w:rsidRPr="00F25CD9">
        <w:rPr>
          <w:szCs w:val="22"/>
        </w:rPr>
        <w:t xml:space="preserve"> unter anderem für den Leicht</w:t>
      </w:r>
      <w:r w:rsidR="004D1521" w:rsidRPr="00F25CD9">
        <w:rPr>
          <w:szCs w:val="22"/>
        </w:rPr>
        <w:t xml:space="preserve">bau (High Performance Polymers), </w:t>
      </w:r>
      <w:r w:rsidRPr="002227F7">
        <w:rPr>
          <w:color w:val="000000" w:themeColor="text1"/>
          <w:szCs w:val="22"/>
        </w:rPr>
        <w:t xml:space="preserve">sowie nach wasserbasierten, umweltfreundlichen Farben und Lacken aus dem Geschäftsgebiet </w:t>
      </w:r>
      <w:proofErr w:type="spellStart"/>
      <w:r w:rsidRPr="002227F7">
        <w:rPr>
          <w:color w:val="000000" w:themeColor="text1"/>
          <w:szCs w:val="22"/>
        </w:rPr>
        <w:t>Coating</w:t>
      </w:r>
      <w:proofErr w:type="spellEnd"/>
      <w:r w:rsidRPr="002227F7">
        <w:rPr>
          <w:color w:val="000000" w:themeColor="text1"/>
          <w:szCs w:val="22"/>
        </w:rPr>
        <w:t xml:space="preserve"> Additives.</w:t>
      </w:r>
    </w:p>
    <w:p w:rsidR="009836C4" w:rsidRDefault="002227F7" w:rsidP="009836C4">
      <w:pPr>
        <w:rPr>
          <w:color w:val="000000" w:themeColor="text1"/>
          <w:szCs w:val="22"/>
        </w:rPr>
      </w:pPr>
      <w:r w:rsidRPr="002227F7">
        <w:rPr>
          <w:color w:val="000000" w:themeColor="text1"/>
          <w:szCs w:val="22"/>
        </w:rPr>
        <w:br/>
        <w:t xml:space="preserve">Mit 1,2 Milliarden € lag der Umsatz des Segments </w:t>
      </w:r>
      <w:r w:rsidRPr="002227F7">
        <w:rPr>
          <w:b/>
          <w:color w:val="000000" w:themeColor="text1"/>
          <w:szCs w:val="22"/>
        </w:rPr>
        <w:t>Nutrition &amp; Care</w:t>
      </w:r>
      <w:r w:rsidRPr="002227F7">
        <w:rPr>
          <w:color w:val="000000" w:themeColor="text1"/>
          <w:szCs w:val="22"/>
        </w:rPr>
        <w:t xml:space="preserve"> leicht über </w:t>
      </w:r>
      <w:r w:rsidR="004D1521">
        <w:rPr>
          <w:color w:val="000000" w:themeColor="text1"/>
          <w:szCs w:val="22"/>
        </w:rPr>
        <w:t xml:space="preserve">dem des </w:t>
      </w:r>
      <w:r w:rsidRPr="002227F7">
        <w:rPr>
          <w:color w:val="000000" w:themeColor="text1"/>
          <w:szCs w:val="22"/>
        </w:rPr>
        <w:t>Vorjahr</w:t>
      </w:r>
      <w:r w:rsidR="004D1521">
        <w:rPr>
          <w:color w:val="000000" w:themeColor="text1"/>
          <w:szCs w:val="22"/>
        </w:rPr>
        <w:t>es</w:t>
      </w:r>
      <w:r w:rsidRPr="002227F7">
        <w:rPr>
          <w:color w:val="000000" w:themeColor="text1"/>
          <w:szCs w:val="22"/>
        </w:rPr>
        <w:t xml:space="preserve"> (Vorjahr: 1,2 Milliarden €). Das bereinigte Ergebnis stieg um 10 Prozent auf 222 Millionen € </w:t>
      </w:r>
      <w:r w:rsidRPr="002227F7">
        <w:rPr>
          <w:color w:val="000000" w:themeColor="text1"/>
          <w:szCs w:val="22"/>
        </w:rPr>
        <w:lastRenderedPageBreak/>
        <w:t xml:space="preserve">(Vorjahr: 201 Millionen €). Das Segment konnte die bereinigte EBITDA-Marge deutlich auf </w:t>
      </w:r>
      <w:r w:rsidR="009836C4">
        <w:rPr>
          <w:color w:val="000000" w:themeColor="text1"/>
          <w:szCs w:val="22"/>
        </w:rPr>
        <w:t>18,7 Prozent (Vorjahresquartal:</w:t>
      </w:r>
    </w:p>
    <w:p w:rsidR="002227F7" w:rsidRPr="002227F7" w:rsidRDefault="002227F7" w:rsidP="009836C4">
      <w:pPr>
        <w:rPr>
          <w:color w:val="000000" w:themeColor="text1"/>
          <w:szCs w:val="22"/>
        </w:rPr>
      </w:pPr>
      <w:r w:rsidRPr="002227F7">
        <w:rPr>
          <w:color w:val="000000" w:themeColor="text1"/>
          <w:szCs w:val="22"/>
        </w:rPr>
        <w:t xml:space="preserve">17,3 Prozent) steigern. Dazu trugen eine konsequente Ausrichtung auf </w:t>
      </w:r>
      <w:proofErr w:type="spellStart"/>
      <w:r w:rsidRPr="002227F7">
        <w:rPr>
          <w:color w:val="000000" w:themeColor="text1"/>
          <w:szCs w:val="22"/>
        </w:rPr>
        <w:t>höhermargige</w:t>
      </w:r>
      <w:proofErr w:type="spellEnd"/>
      <w:r w:rsidRPr="002227F7">
        <w:rPr>
          <w:color w:val="000000" w:themeColor="text1"/>
          <w:szCs w:val="22"/>
        </w:rPr>
        <w:t xml:space="preserve"> Produkte, die erfolgreiche Weitergabe gestiegener Rohstoffkosten sowie eine konsequente Reduktion der Kosten vor allem in den Bereichen </w:t>
      </w:r>
      <w:proofErr w:type="spellStart"/>
      <w:r w:rsidRPr="002227F7">
        <w:rPr>
          <w:color w:val="000000" w:themeColor="text1"/>
          <w:szCs w:val="22"/>
        </w:rPr>
        <w:t>Animal</w:t>
      </w:r>
      <w:proofErr w:type="spellEnd"/>
      <w:r w:rsidRPr="002227F7">
        <w:rPr>
          <w:color w:val="000000" w:themeColor="text1"/>
          <w:szCs w:val="22"/>
        </w:rPr>
        <w:t xml:space="preserve"> Nutrition und Baby Care bei. Im Geschäft mit Aminosäuren für die Tierernährung zeigte sich das Marktumfeld im Laufe des Berichtsquartals robust. Die Verkaufsmengen entwickelten sich positiv und lagen über dem Vorjahresquartal. Die Verkaufspreise setzen ihren bereits zum Jahresbeginn sichtbaren Stabilisierungstrend weiter fort. Einen deutlichen Umsatzanstieg erzielte auch das Geschäft mit Personal Care-Produkten, das von einem deutlich höheren Mengenabsatz bei einem verbesserten Produktmix profitierte. Auch das </w:t>
      </w:r>
      <w:proofErr w:type="spellStart"/>
      <w:r w:rsidRPr="002227F7">
        <w:rPr>
          <w:color w:val="000000" w:themeColor="text1"/>
          <w:szCs w:val="22"/>
        </w:rPr>
        <w:t>Health</w:t>
      </w:r>
      <w:proofErr w:type="spellEnd"/>
      <w:r w:rsidRPr="002227F7">
        <w:rPr>
          <w:color w:val="000000" w:themeColor="text1"/>
          <w:szCs w:val="22"/>
        </w:rPr>
        <w:t xml:space="preserve"> Care-Geschäft und die Polyurethanschaum-Additive setzten ihre erfreuliche Geschäftsentwicklung fort. </w:t>
      </w:r>
    </w:p>
    <w:p w:rsidR="002227F7" w:rsidRPr="002227F7" w:rsidRDefault="002227F7" w:rsidP="009836C4">
      <w:pPr>
        <w:rPr>
          <w:color w:val="000000" w:themeColor="text1"/>
          <w:szCs w:val="22"/>
        </w:rPr>
      </w:pPr>
    </w:p>
    <w:p w:rsidR="002227F7" w:rsidRDefault="002227F7" w:rsidP="009836C4">
      <w:pPr>
        <w:rPr>
          <w:color w:val="000000" w:themeColor="text1"/>
          <w:szCs w:val="22"/>
        </w:rPr>
      </w:pPr>
      <w:r w:rsidRPr="002227F7">
        <w:rPr>
          <w:color w:val="000000" w:themeColor="text1"/>
          <w:szCs w:val="22"/>
        </w:rPr>
        <w:t xml:space="preserve">Der Umsatz des Segments </w:t>
      </w:r>
      <w:r w:rsidRPr="002227F7">
        <w:rPr>
          <w:b/>
          <w:color w:val="000000" w:themeColor="text1"/>
          <w:szCs w:val="22"/>
        </w:rPr>
        <w:t>Performance Materials</w:t>
      </w:r>
      <w:r w:rsidRPr="002227F7">
        <w:rPr>
          <w:color w:val="000000" w:themeColor="text1"/>
          <w:szCs w:val="22"/>
        </w:rPr>
        <w:t xml:space="preserve"> lag im zweiten Quartal bei 1,0 </w:t>
      </w:r>
      <w:r w:rsidRPr="00F25CD9">
        <w:rPr>
          <w:szCs w:val="22"/>
        </w:rPr>
        <w:t xml:space="preserve">Milliarden € und damit 13 Prozent über </w:t>
      </w:r>
      <w:r w:rsidR="004D1521" w:rsidRPr="00F25CD9">
        <w:rPr>
          <w:szCs w:val="22"/>
        </w:rPr>
        <w:t xml:space="preserve">dem des </w:t>
      </w:r>
      <w:r w:rsidRPr="00F25CD9">
        <w:rPr>
          <w:szCs w:val="22"/>
        </w:rPr>
        <w:t>Vorjahr</w:t>
      </w:r>
      <w:r w:rsidR="004D1521" w:rsidRPr="00F25CD9">
        <w:rPr>
          <w:szCs w:val="22"/>
        </w:rPr>
        <w:t>es</w:t>
      </w:r>
      <w:r w:rsidRPr="00F25CD9">
        <w:rPr>
          <w:szCs w:val="22"/>
        </w:rPr>
        <w:t>. Ursä</w:t>
      </w:r>
      <w:r w:rsidRPr="002227F7">
        <w:rPr>
          <w:color w:val="000000" w:themeColor="text1"/>
          <w:szCs w:val="22"/>
        </w:rPr>
        <w:t xml:space="preserve">chlich hierfür waren die anhaltend hohen Verkaufspreise im </w:t>
      </w:r>
      <w:proofErr w:type="spellStart"/>
      <w:r w:rsidRPr="002227F7">
        <w:rPr>
          <w:color w:val="000000" w:themeColor="text1"/>
          <w:szCs w:val="22"/>
        </w:rPr>
        <w:t>Methacrylate</w:t>
      </w:r>
      <w:proofErr w:type="spellEnd"/>
      <w:r w:rsidRPr="002227F7">
        <w:rPr>
          <w:color w:val="000000" w:themeColor="text1"/>
          <w:szCs w:val="22"/>
        </w:rPr>
        <w:t>-Geschäft sowie ein verbessertes Marktumfeld bei Performance Intermediates. Das bereinigte EBITDA verbesserte sich auf 196 Millionen € (Vorjahr: 168 Millionen €). Das Segment Performance Materials konnte die bereinigte EBITDA-Marge auf 19,1 Prozent verbessern (Vorjahr: 18,5 Prozent).</w:t>
      </w:r>
    </w:p>
    <w:p w:rsidR="009836C4" w:rsidRDefault="009836C4" w:rsidP="009836C4">
      <w:pPr>
        <w:rPr>
          <w:color w:val="000000" w:themeColor="text1"/>
          <w:szCs w:val="22"/>
        </w:rPr>
      </w:pPr>
    </w:p>
    <w:p w:rsidR="00102E05" w:rsidRDefault="00102E05" w:rsidP="004D1521">
      <w:pPr>
        <w:spacing w:line="240" w:lineRule="auto"/>
        <w:rPr>
          <w:rFonts w:cs="Lucida Sans Unicode"/>
          <w:b/>
          <w:bCs/>
          <w:sz w:val="18"/>
          <w:szCs w:val="18"/>
        </w:rPr>
      </w:pPr>
      <w:r>
        <w:rPr>
          <w:rFonts w:cs="Lucida Sans Unicode"/>
          <w:b/>
          <w:bCs/>
          <w:sz w:val="18"/>
          <w:szCs w:val="18"/>
        </w:rPr>
        <w:t xml:space="preserve">Informationen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0B1B97" w:rsidRPr="000B1B97" w:rsidRDefault="00102E05" w:rsidP="00102E05">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8C0FC2">
      <w:headerReference w:type="default" r:id="rId7"/>
      <w:footerReference w:type="default" r:id="rId8"/>
      <w:headerReference w:type="first" r:id="rId9"/>
      <w:footerReference w:type="first" r:id="rId10"/>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CD9" w:rsidRDefault="00F25CD9" w:rsidP="00FD1184">
      <w:r>
        <w:separator/>
      </w:r>
    </w:p>
  </w:endnote>
  <w:endnote w:type="continuationSeparator" w:id="0">
    <w:p w:rsidR="00F25CD9" w:rsidRDefault="00F25CD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D9" w:rsidRDefault="00F25CD9">
    <w:pPr>
      <w:pStyle w:val="Fuzeile"/>
    </w:pPr>
  </w:p>
  <w:p w:rsidR="00F25CD9" w:rsidRDefault="00F25CD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C734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734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D9" w:rsidRDefault="00F25CD9" w:rsidP="00316EC0">
    <w:pPr>
      <w:pStyle w:val="Fuzeile"/>
    </w:pPr>
  </w:p>
  <w:p w:rsidR="00F25CD9" w:rsidRPr="005225EC" w:rsidRDefault="00F25CD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C734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C734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CD9" w:rsidRDefault="00F25CD9" w:rsidP="00FD1184">
      <w:r>
        <w:separator/>
      </w:r>
    </w:p>
  </w:footnote>
  <w:footnote w:type="continuationSeparator" w:id="0">
    <w:p w:rsidR="00F25CD9" w:rsidRDefault="00F25CD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D9" w:rsidRPr="006C35A6" w:rsidRDefault="00F25CD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1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D9" w:rsidRPr="006C35A6" w:rsidRDefault="00F25CD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1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FA1661"/>
    <w:multiLevelType w:val="hybridMultilevel"/>
    <w:tmpl w:val="3A04F356"/>
    <w:lvl w:ilvl="0" w:tplc="5BF66010">
      <w:start w:val="1"/>
      <w:numFmt w:val="bullet"/>
      <w:lvlText w:val="•"/>
      <w:lvlJc w:val="left"/>
      <w:pPr>
        <w:ind w:left="644" w:hanging="360"/>
      </w:pPr>
      <w:rPr>
        <w:rFonts w:ascii="Lucida Sans Unicode" w:hAnsi="Lucida Sans Unicode" w:hint="default"/>
        <w:sz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2E05"/>
    <w:rsid w:val="0010718E"/>
    <w:rsid w:val="00110640"/>
    <w:rsid w:val="001175D3"/>
    <w:rsid w:val="00124443"/>
    <w:rsid w:val="00130512"/>
    <w:rsid w:val="001625AF"/>
    <w:rsid w:val="001631E8"/>
    <w:rsid w:val="00165932"/>
    <w:rsid w:val="0017414F"/>
    <w:rsid w:val="00196518"/>
    <w:rsid w:val="001B206A"/>
    <w:rsid w:val="001B46BE"/>
    <w:rsid w:val="001F00B7"/>
    <w:rsid w:val="001F7C26"/>
    <w:rsid w:val="002159BA"/>
    <w:rsid w:val="00221C32"/>
    <w:rsid w:val="002227F7"/>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D1521"/>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710"/>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7F5FB6"/>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0FC2"/>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836C4"/>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9471A"/>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05F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C7347"/>
    <w:rsid w:val="00EF353E"/>
    <w:rsid w:val="00EF7CED"/>
    <w:rsid w:val="00EF7EB3"/>
    <w:rsid w:val="00F02BAF"/>
    <w:rsid w:val="00F07F0E"/>
    <w:rsid w:val="00F24D2F"/>
    <w:rsid w:val="00F25CD9"/>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859B24A9</Template>
  <TotalTime>0</TotalTime>
  <Pages>3</Pages>
  <Words>944</Words>
  <Characters>6100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7030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3</cp:revision>
  <cp:lastPrinted>2018-07-17T08:08:00Z</cp:lastPrinted>
  <dcterms:created xsi:type="dcterms:W3CDTF">2018-07-17T08:08:00Z</dcterms:created>
  <dcterms:modified xsi:type="dcterms:W3CDTF">2018-07-17T08:11:00Z</dcterms:modified>
</cp:coreProperties>
</file>