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8224A5" w:rsidRDefault="00F00F5D">
      <w:pPr>
        <w:spacing w:line="300" w:lineRule="exact"/>
        <w:ind w:left="0"/>
        <w:rPr>
          <w:b/>
          <w:szCs w:val="18"/>
          <w:u w:val="single"/>
        </w:rPr>
      </w:pPr>
      <w:r w:rsidRPr="008224A5">
        <w:rPr>
          <w:b/>
          <w:szCs w:val="18"/>
          <w:u w:val="single"/>
        </w:rPr>
        <w:t xml:space="preserve">Sendesperrfrist: </w:t>
      </w:r>
      <w:r w:rsidR="00D87C75">
        <w:rPr>
          <w:b/>
          <w:szCs w:val="18"/>
          <w:u w:val="single"/>
        </w:rPr>
        <w:t>6</w:t>
      </w:r>
      <w:r w:rsidRPr="008224A5">
        <w:rPr>
          <w:b/>
          <w:szCs w:val="18"/>
          <w:u w:val="single"/>
        </w:rPr>
        <w:t>. M</w:t>
      </w:r>
      <w:r w:rsidR="00A02C86" w:rsidRPr="008224A5">
        <w:rPr>
          <w:b/>
          <w:szCs w:val="18"/>
          <w:u w:val="single"/>
        </w:rPr>
        <w:t>ai</w:t>
      </w:r>
      <w:r w:rsidRPr="008224A5">
        <w:rPr>
          <w:b/>
          <w:szCs w:val="18"/>
          <w:u w:val="single"/>
        </w:rPr>
        <w:t xml:space="preserve"> 201</w:t>
      </w:r>
      <w:r w:rsidR="00D87C75">
        <w:rPr>
          <w:b/>
          <w:szCs w:val="18"/>
          <w:u w:val="single"/>
        </w:rPr>
        <w:t>4</w:t>
      </w:r>
      <w:r w:rsidRPr="008224A5">
        <w:rPr>
          <w:b/>
          <w:szCs w:val="18"/>
          <w:u w:val="single"/>
        </w:rPr>
        <w:t xml:space="preserve">, </w:t>
      </w:r>
      <w:r w:rsidR="0095118D" w:rsidRPr="008224A5">
        <w:rPr>
          <w:b/>
          <w:szCs w:val="18"/>
          <w:u w:val="single"/>
        </w:rPr>
        <w:t>7:</w:t>
      </w:r>
      <w:r w:rsidR="00D87C75">
        <w:rPr>
          <w:b/>
          <w:szCs w:val="18"/>
          <w:u w:val="single"/>
        </w:rPr>
        <w:t>00</w:t>
      </w:r>
      <w:r w:rsidRPr="008224A5">
        <w:rPr>
          <w:b/>
          <w:szCs w:val="18"/>
          <w:u w:val="single"/>
        </w:rPr>
        <w:t xml:space="preserve"> Uhr</w:t>
      </w:r>
    </w:p>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D87C75" w:rsidP="00D87C75">
            <w:pPr>
              <w:pStyle w:val="E-Datum"/>
              <w:framePr w:wrap="auto" w:vAnchor="margin" w:hAnchor="text" w:xAlign="left" w:yAlign="inline"/>
              <w:suppressOverlap w:val="0"/>
            </w:pPr>
            <w:r>
              <w:t>6</w:t>
            </w:r>
            <w:r w:rsidR="00A02C86">
              <w:t>. Mai</w:t>
            </w:r>
            <w:r w:rsidR="009D5463">
              <w:t xml:space="preserve"> 201</w:t>
            </w:r>
            <w:r>
              <w:t>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br/>
              <w:t>Alexandra Boy</w:t>
            </w:r>
          </w:p>
          <w:p w:rsidR="00617B2D" w:rsidRDefault="00617B2D" w:rsidP="00617B2D">
            <w:pPr>
              <w:pStyle w:val="M8"/>
              <w:framePr w:wrap="auto" w:vAnchor="margin" w:hAnchor="text" w:xAlign="left" w:yAlign="inline"/>
              <w:suppressOverlap w:val="0"/>
            </w:pPr>
            <w:proofErr w:type="spellStart"/>
            <w:r>
              <w:t>Stellvertr</w:t>
            </w:r>
            <w:proofErr w:type="spellEnd"/>
            <w:r>
              <w:t xml:space="preserve">.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E12A5">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E12A5">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E12A5">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E12A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E12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E12A5">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E12A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E12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E12A5">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E12A5">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E12A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E12A5">
              <w:rPr>
                <w:noProof/>
              </w:rPr>
              <w:t>Vorsitzender</w:t>
            </w:r>
            <w:r>
              <w:fldChar w:fldCharType="end"/>
            </w:r>
          </w:p>
          <w:p w:rsidR="00B6136F" w:rsidRDefault="00B14022">
            <w:pPr>
              <w:pStyle w:val="V11"/>
              <w:framePr w:wrap="auto" w:vAnchor="margin" w:hAnchor="text" w:xAlign="left" w:yAlign="inline"/>
              <w:suppressOverlap w:val="0"/>
            </w:pPr>
            <w:r>
              <w:t>Thomas Wessel</w:t>
            </w:r>
            <w:r w:rsidR="000B1542">
              <w:t xml:space="preserve"> </w:t>
            </w:r>
            <w:r w:rsidR="002166B6">
              <w:br/>
            </w:r>
            <w:r>
              <w:fldChar w:fldCharType="begin">
                <w:ffData>
                  <w:name w:val=""/>
                  <w:enabled/>
                  <w:calcOnExit w:val="0"/>
                  <w:textInput>
                    <w:default w:val="Patrik Wohlhauser"/>
                  </w:textInput>
                </w:ffData>
              </w:fldChar>
            </w:r>
            <w:r>
              <w:instrText xml:space="preserve"> FORMTEXT </w:instrText>
            </w:r>
            <w:r>
              <w:fldChar w:fldCharType="separate"/>
            </w:r>
            <w:r w:rsidR="00DE12A5">
              <w:rPr>
                <w:noProof/>
              </w:rPr>
              <w:t>Patrik Wohlhauser</w:t>
            </w:r>
            <w:r>
              <w:fldChar w:fldCharType="end"/>
            </w:r>
          </w:p>
          <w:p w:rsidR="00B6136F" w:rsidRDefault="002166B6">
            <w:pPr>
              <w:pStyle w:val="Marginalie"/>
              <w:framePr w:w="0" w:hSpace="0" w:wrap="auto" w:vAnchor="margin" w:hAnchor="text" w:xAlign="left" w:yAlign="inline"/>
            </w:pPr>
            <w:r>
              <w:t>Ute Wolf</w:t>
            </w:r>
            <w:r>
              <w:br/>
            </w: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E12A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E12A5">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E12A5">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E12A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E12A5">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E12A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E12A5">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395AF0" w:rsidRDefault="00395AF0" w:rsidP="009D5463">
      <w:pPr>
        <w:ind w:left="0"/>
        <w:rPr>
          <w:u w:val="single"/>
        </w:rPr>
      </w:pPr>
    </w:p>
    <w:p w:rsidR="005D543A" w:rsidRDefault="005D543A" w:rsidP="009D5463">
      <w:pPr>
        <w:ind w:left="0"/>
        <w:rPr>
          <w:u w:val="single"/>
        </w:rPr>
      </w:pPr>
    </w:p>
    <w:p w:rsidR="009D734A" w:rsidRDefault="009D734A" w:rsidP="009D734A">
      <w:pPr>
        <w:rPr>
          <w:u w:val="single"/>
        </w:rPr>
      </w:pPr>
      <w:r>
        <w:rPr>
          <w:u w:val="single"/>
        </w:rPr>
        <w:t>Wirtschaftliche Eckdaten:</w:t>
      </w:r>
    </w:p>
    <w:p w:rsidR="009D734A" w:rsidRDefault="009D734A" w:rsidP="009D734A">
      <w:pPr>
        <w:rPr>
          <w:u w:val="single"/>
        </w:rPr>
      </w:pPr>
      <w:r>
        <w:rPr>
          <w:u w:val="single"/>
        </w:rPr>
        <w:t xml:space="preserve">1. Januar – 31. </w:t>
      </w:r>
      <w:r w:rsidR="00D87C75">
        <w:rPr>
          <w:u w:val="single"/>
        </w:rPr>
        <w:t>März 2014</w:t>
      </w:r>
      <w:r>
        <w:rPr>
          <w:u w:val="single"/>
        </w:rPr>
        <w:t xml:space="preserve"> / </w:t>
      </w:r>
      <w:r w:rsidR="00D87C75">
        <w:rPr>
          <w:u w:val="single"/>
        </w:rPr>
        <w:t>1. Quartal 2014</w:t>
      </w:r>
    </w:p>
    <w:p w:rsidR="009D734A" w:rsidRDefault="009D734A" w:rsidP="009D734A">
      <w:pPr>
        <w:spacing w:line="300" w:lineRule="exact"/>
        <w:rPr>
          <w:u w:val="single"/>
        </w:rPr>
      </w:pPr>
    </w:p>
    <w:p w:rsidR="00A02C86" w:rsidRPr="00A02C86" w:rsidRDefault="00590E93" w:rsidP="00A02C86">
      <w:pPr>
        <w:rPr>
          <w:b/>
          <w:bCs/>
          <w:sz w:val="22"/>
          <w:szCs w:val="22"/>
        </w:rPr>
      </w:pPr>
      <w:r>
        <w:rPr>
          <w:b/>
          <w:bCs/>
          <w:sz w:val="22"/>
          <w:szCs w:val="22"/>
        </w:rPr>
        <w:t xml:space="preserve">1. Quartal </w:t>
      </w:r>
      <w:r w:rsidR="00A02C86" w:rsidRPr="00A02C86">
        <w:rPr>
          <w:b/>
          <w:bCs/>
          <w:sz w:val="22"/>
          <w:szCs w:val="22"/>
        </w:rPr>
        <w:t>201</w:t>
      </w:r>
      <w:r w:rsidR="00D65D31">
        <w:rPr>
          <w:b/>
          <w:bCs/>
          <w:sz w:val="22"/>
          <w:szCs w:val="22"/>
        </w:rPr>
        <w:t>4</w:t>
      </w:r>
      <w:r w:rsidR="005E0237">
        <w:rPr>
          <w:b/>
          <w:bCs/>
          <w:sz w:val="22"/>
          <w:szCs w:val="22"/>
        </w:rPr>
        <w:t xml:space="preserve">: </w:t>
      </w:r>
      <w:r w:rsidR="00392FBF">
        <w:rPr>
          <w:b/>
          <w:bCs/>
          <w:sz w:val="22"/>
          <w:szCs w:val="22"/>
        </w:rPr>
        <w:t xml:space="preserve">Verhaltener Jahresauftakt </w:t>
      </w:r>
    </w:p>
    <w:p w:rsidR="00A02C86" w:rsidRPr="00B13E9A" w:rsidRDefault="00A02C86" w:rsidP="00A02C86">
      <w:pPr>
        <w:rPr>
          <w:bCs/>
          <w:lang w:eastAsia="en-US"/>
        </w:rPr>
      </w:pPr>
    </w:p>
    <w:p w:rsidR="00A02C86" w:rsidRPr="00A02C86" w:rsidRDefault="00A02C86" w:rsidP="002641D9">
      <w:pPr>
        <w:numPr>
          <w:ilvl w:val="0"/>
          <w:numId w:val="14"/>
        </w:numPr>
        <w:tabs>
          <w:tab w:val="clear" w:pos="1425"/>
          <w:tab w:val="num" w:pos="340"/>
        </w:tabs>
        <w:spacing w:line="300" w:lineRule="exact"/>
        <w:ind w:left="340" w:hanging="198"/>
        <w:rPr>
          <w:rFonts w:cs="Lucida Sans Unicode"/>
          <w:b/>
          <w:bCs/>
          <w:position w:val="0"/>
          <w:sz w:val="20"/>
          <w:szCs w:val="20"/>
        </w:rPr>
      </w:pPr>
      <w:r w:rsidRPr="00A02C86">
        <w:rPr>
          <w:rFonts w:cs="Lucida Sans Unicode"/>
          <w:b/>
          <w:bCs/>
          <w:position w:val="0"/>
          <w:sz w:val="20"/>
          <w:szCs w:val="20"/>
        </w:rPr>
        <w:t>Operative Geschäft</w:t>
      </w:r>
      <w:r w:rsidR="0095118D">
        <w:rPr>
          <w:rFonts w:cs="Lucida Sans Unicode"/>
          <w:b/>
          <w:bCs/>
          <w:position w:val="0"/>
          <w:sz w:val="20"/>
          <w:szCs w:val="20"/>
        </w:rPr>
        <w:t>sentwicklung</w:t>
      </w:r>
      <w:r w:rsidRPr="00A02C86">
        <w:rPr>
          <w:rFonts w:cs="Lucida Sans Unicode"/>
          <w:b/>
          <w:bCs/>
          <w:position w:val="0"/>
          <w:sz w:val="20"/>
          <w:szCs w:val="20"/>
        </w:rPr>
        <w:t xml:space="preserve"> </w:t>
      </w:r>
      <w:r w:rsidR="005E0237">
        <w:rPr>
          <w:rFonts w:cs="Lucida Sans Unicode"/>
          <w:b/>
          <w:bCs/>
          <w:position w:val="0"/>
          <w:sz w:val="20"/>
          <w:szCs w:val="20"/>
        </w:rPr>
        <w:t>im 1. Quartal 2014</w:t>
      </w:r>
      <w:r w:rsidRPr="00A02C86">
        <w:rPr>
          <w:rFonts w:cs="Lucida Sans Unicode"/>
          <w:b/>
          <w:bCs/>
          <w:position w:val="0"/>
          <w:sz w:val="20"/>
          <w:szCs w:val="20"/>
        </w:rPr>
        <w:t xml:space="preserve">: </w:t>
      </w:r>
    </w:p>
    <w:p w:rsidR="00A02C86" w:rsidRPr="00A02C86" w:rsidRDefault="0095118D" w:rsidP="00F76ABA">
      <w:pPr>
        <w:numPr>
          <w:ilvl w:val="0"/>
          <w:numId w:val="14"/>
        </w:numPr>
        <w:tabs>
          <w:tab w:val="clear" w:pos="1425"/>
          <w:tab w:val="num" w:pos="851"/>
        </w:tabs>
        <w:spacing w:line="300" w:lineRule="exact"/>
        <w:ind w:left="850" w:hanging="425"/>
        <w:rPr>
          <w:rFonts w:cs="Lucida Sans Unicode"/>
          <w:b/>
          <w:bCs/>
          <w:position w:val="0"/>
          <w:sz w:val="20"/>
          <w:szCs w:val="20"/>
        </w:rPr>
      </w:pPr>
      <w:r>
        <w:rPr>
          <w:rFonts w:cs="Lucida Sans Unicode"/>
          <w:b/>
          <w:bCs/>
          <w:position w:val="0"/>
          <w:sz w:val="20"/>
          <w:szCs w:val="20"/>
        </w:rPr>
        <w:t>Konzernumsatz mit</w:t>
      </w:r>
      <w:r w:rsidR="00A02C86" w:rsidRPr="00A02C86">
        <w:rPr>
          <w:rFonts w:cs="Lucida Sans Unicode"/>
          <w:b/>
          <w:bCs/>
          <w:position w:val="0"/>
          <w:sz w:val="20"/>
          <w:szCs w:val="20"/>
        </w:rPr>
        <w:t xml:space="preserve"> 3,</w:t>
      </w:r>
      <w:r w:rsidR="00590E93">
        <w:rPr>
          <w:rFonts w:cs="Lucida Sans Unicode"/>
          <w:b/>
          <w:bCs/>
          <w:position w:val="0"/>
          <w:sz w:val="20"/>
          <w:szCs w:val="20"/>
        </w:rPr>
        <w:t>2</w:t>
      </w:r>
      <w:r w:rsidR="00A02C86" w:rsidRPr="00A02C86">
        <w:rPr>
          <w:rFonts w:cs="Lucida Sans Unicode"/>
          <w:b/>
          <w:bCs/>
          <w:position w:val="0"/>
          <w:sz w:val="20"/>
          <w:szCs w:val="20"/>
        </w:rPr>
        <w:t xml:space="preserve"> Milliarden € organisch leicht </w:t>
      </w:r>
      <w:r w:rsidR="00590E93">
        <w:rPr>
          <w:rFonts w:cs="Lucida Sans Unicode"/>
          <w:b/>
          <w:bCs/>
          <w:position w:val="0"/>
          <w:sz w:val="20"/>
          <w:szCs w:val="20"/>
        </w:rPr>
        <w:t>gestiegen</w:t>
      </w:r>
    </w:p>
    <w:p w:rsidR="00A02C86" w:rsidRPr="00A02C86" w:rsidRDefault="00A02C86" w:rsidP="00F76ABA">
      <w:pPr>
        <w:numPr>
          <w:ilvl w:val="0"/>
          <w:numId w:val="14"/>
        </w:numPr>
        <w:tabs>
          <w:tab w:val="clear" w:pos="1425"/>
          <w:tab w:val="num" w:pos="851"/>
        </w:tabs>
        <w:spacing w:line="300" w:lineRule="exact"/>
        <w:ind w:left="850" w:hanging="425"/>
        <w:rPr>
          <w:rFonts w:cs="Lucida Sans Unicode"/>
          <w:b/>
          <w:bCs/>
          <w:position w:val="0"/>
          <w:sz w:val="20"/>
          <w:szCs w:val="20"/>
        </w:rPr>
      </w:pPr>
      <w:r w:rsidRPr="00A02C86">
        <w:rPr>
          <w:rFonts w:cs="Lucida Sans Unicode"/>
          <w:b/>
          <w:bCs/>
          <w:position w:val="0"/>
          <w:sz w:val="20"/>
          <w:szCs w:val="20"/>
        </w:rPr>
        <w:t>Bereinigte</w:t>
      </w:r>
      <w:r w:rsidR="00157016">
        <w:rPr>
          <w:rFonts w:cs="Lucida Sans Unicode"/>
          <w:b/>
          <w:bCs/>
          <w:position w:val="0"/>
          <w:sz w:val="20"/>
          <w:szCs w:val="20"/>
        </w:rPr>
        <w:t>s</w:t>
      </w:r>
      <w:r w:rsidRPr="00A02C86">
        <w:rPr>
          <w:rFonts w:cs="Lucida Sans Unicode"/>
          <w:b/>
          <w:bCs/>
          <w:position w:val="0"/>
          <w:sz w:val="20"/>
          <w:szCs w:val="20"/>
        </w:rPr>
        <w:t xml:space="preserve"> EBITDA </w:t>
      </w:r>
      <w:r w:rsidR="00590E93">
        <w:rPr>
          <w:rFonts w:cs="Lucida Sans Unicode"/>
          <w:b/>
          <w:bCs/>
          <w:position w:val="0"/>
          <w:sz w:val="20"/>
          <w:szCs w:val="20"/>
        </w:rPr>
        <w:t>auf solidem Niveau, aber deutlich unter sehr gutem Vo</w:t>
      </w:r>
      <w:bookmarkStart w:id="0" w:name="_GoBack"/>
      <w:bookmarkEnd w:id="0"/>
      <w:r w:rsidR="00590E93">
        <w:rPr>
          <w:rFonts w:cs="Lucida Sans Unicode"/>
          <w:b/>
          <w:bCs/>
          <w:position w:val="0"/>
          <w:sz w:val="20"/>
          <w:szCs w:val="20"/>
        </w:rPr>
        <w:t>rjahr</w:t>
      </w:r>
      <w:r w:rsidR="000429A4">
        <w:rPr>
          <w:rFonts w:cs="Lucida Sans Unicode"/>
          <w:b/>
          <w:bCs/>
          <w:position w:val="0"/>
          <w:sz w:val="20"/>
          <w:szCs w:val="20"/>
        </w:rPr>
        <w:t>esquartal</w:t>
      </w:r>
    </w:p>
    <w:p w:rsidR="00A02C86" w:rsidRPr="00A02C86" w:rsidRDefault="0095118D" w:rsidP="00F76ABA">
      <w:pPr>
        <w:numPr>
          <w:ilvl w:val="0"/>
          <w:numId w:val="14"/>
        </w:numPr>
        <w:tabs>
          <w:tab w:val="clear" w:pos="1425"/>
          <w:tab w:val="num" w:pos="851"/>
        </w:tabs>
        <w:spacing w:line="300" w:lineRule="exact"/>
        <w:ind w:left="850" w:hanging="425"/>
        <w:rPr>
          <w:rFonts w:cs="Lucida Sans Unicode"/>
          <w:b/>
          <w:bCs/>
          <w:position w:val="0"/>
          <w:sz w:val="20"/>
          <w:szCs w:val="20"/>
        </w:rPr>
      </w:pPr>
      <w:r>
        <w:rPr>
          <w:rFonts w:cs="Lucida Sans Unicode"/>
          <w:b/>
          <w:bCs/>
          <w:position w:val="0"/>
          <w:sz w:val="20"/>
          <w:szCs w:val="20"/>
        </w:rPr>
        <w:t xml:space="preserve">Bereinigte </w:t>
      </w:r>
      <w:r w:rsidR="00A02C86" w:rsidRPr="00A02C86">
        <w:rPr>
          <w:rFonts w:cs="Lucida Sans Unicode"/>
          <w:b/>
          <w:bCs/>
          <w:position w:val="0"/>
          <w:sz w:val="20"/>
          <w:szCs w:val="20"/>
        </w:rPr>
        <w:t xml:space="preserve">EBITDA-Marge </w:t>
      </w:r>
      <w:r w:rsidR="0098570A">
        <w:rPr>
          <w:rFonts w:cs="Lucida Sans Unicode"/>
          <w:b/>
          <w:bCs/>
          <w:position w:val="0"/>
          <w:sz w:val="20"/>
          <w:szCs w:val="20"/>
        </w:rPr>
        <w:t>beträgt</w:t>
      </w:r>
      <w:r w:rsidR="00A02C86" w:rsidRPr="00A02C86">
        <w:rPr>
          <w:rFonts w:cs="Lucida Sans Unicode"/>
          <w:b/>
          <w:bCs/>
          <w:position w:val="0"/>
          <w:sz w:val="20"/>
          <w:szCs w:val="20"/>
        </w:rPr>
        <w:t xml:space="preserve"> </w:t>
      </w:r>
      <w:r w:rsidR="00590E93">
        <w:rPr>
          <w:rFonts w:cs="Lucida Sans Unicode"/>
          <w:b/>
          <w:bCs/>
          <w:position w:val="0"/>
          <w:sz w:val="20"/>
          <w:szCs w:val="20"/>
        </w:rPr>
        <w:t>14,5</w:t>
      </w:r>
      <w:r w:rsidR="00A02C86" w:rsidRPr="00A02C86">
        <w:rPr>
          <w:rFonts w:cs="Lucida Sans Unicode"/>
          <w:b/>
          <w:bCs/>
          <w:position w:val="0"/>
          <w:sz w:val="20"/>
          <w:szCs w:val="20"/>
        </w:rPr>
        <w:t xml:space="preserve"> Prozent </w:t>
      </w:r>
    </w:p>
    <w:p w:rsidR="00590E93" w:rsidRDefault="00590E93" w:rsidP="002641D9">
      <w:pPr>
        <w:numPr>
          <w:ilvl w:val="0"/>
          <w:numId w:val="14"/>
        </w:numPr>
        <w:tabs>
          <w:tab w:val="clear" w:pos="1425"/>
          <w:tab w:val="num" w:pos="340"/>
        </w:tabs>
        <w:spacing w:line="300" w:lineRule="exact"/>
        <w:ind w:left="340" w:hanging="198"/>
        <w:rPr>
          <w:rFonts w:cs="Lucida Sans Unicode"/>
          <w:b/>
          <w:bCs/>
          <w:position w:val="0"/>
          <w:sz w:val="20"/>
          <w:szCs w:val="20"/>
        </w:rPr>
      </w:pPr>
      <w:r>
        <w:rPr>
          <w:rFonts w:cs="Lucida Sans Unicode"/>
          <w:b/>
          <w:bCs/>
          <w:position w:val="0"/>
          <w:sz w:val="20"/>
          <w:szCs w:val="20"/>
        </w:rPr>
        <w:t xml:space="preserve">Cashflow </w:t>
      </w:r>
      <w:r w:rsidR="006C038D">
        <w:rPr>
          <w:rFonts w:cs="Lucida Sans Unicode"/>
          <w:b/>
          <w:bCs/>
          <w:position w:val="0"/>
          <w:sz w:val="20"/>
          <w:szCs w:val="20"/>
        </w:rPr>
        <w:t xml:space="preserve">aus laufender Geschäftstätigkeit </w:t>
      </w:r>
      <w:r>
        <w:rPr>
          <w:rFonts w:cs="Lucida Sans Unicode"/>
          <w:b/>
          <w:bCs/>
          <w:position w:val="0"/>
          <w:sz w:val="20"/>
          <w:szCs w:val="20"/>
        </w:rPr>
        <w:t>deutlich auf 31</w:t>
      </w:r>
      <w:r w:rsidR="00E60B2B">
        <w:rPr>
          <w:rFonts w:cs="Lucida Sans Unicode"/>
          <w:b/>
          <w:bCs/>
          <w:position w:val="0"/>
          <w:sz w:val="20"/>
          <w:szCs w:val="20"/>
        </w:rPr>
        <w:t>5</w:t>
      </w:r>
      <w:r>
        <w:rPr>
          <w:rFonts w:cs="Lucida Sans Unicode"/>
          <w:b/>
          <w:bCs/>
          <w:position w:val="0"/>
          <w:sz w:val="20"/>
          <w:szCs w:val="20"/>
        </w:rPr>
        <w:t xml:space="preserve"> Millionen € erhöht</w:t>
      </w:r>
    </w:p>
    <w:p w:rsidR="00A02C86" w:rsidRDefault="00BC4B83" w:rsidP="002641D9">
      <w:pPr>
        <w:numPr>
          <w:ilvl w:val="0"/>
          <w:numId w:val="14"/>
        </w:numPr>
        <w:tabs>
          <w:tab w:val="clear" w:pos="1425"/>
          <w:tab w:val="num" w:pos="340"/>
        </w:tabs>
        <w:spacing w:line="300" w:lineRule="exact"/>
        <w:ind w:left="340" w:hanging="198"/>
        <w:rPr>
          <w:rFonts w:cs="Lucida Sans Unicode"/>
          <w:b/>
          <w:bCs/>
          <w:position w:val="0"/>
          <w:sz w:val="20"/>
          <w:szCs w:val="20"/>
        </w:rPr>
      </w:pPr>
      <w:r w:rsidRPr="00BC4B83">
        <w:rPr>
          <w:rFonts w:cs="Lucida Sans Unicode"/>
          <w:b/>
          <w:bCs/>
          <w:position w:val="0"/>
          <w:sz w:val="20"/>
          <w:szCs w:val="20"/>
        </w:rPr>
        <w:t xml:space="preserve">Bereinigtes </w:t>
      </w:r>
      <w:r w:rsidR="00A02C86" w:rsidRPr="00BC4B83">
        <w:rPr>
          <w:rFonts w:cs="Lucida Sans Unicode"/>
          <w:b/>
          <w:bCs/>
          <w:position w:val="0"/>
          <w:sz w:val="20"/>
          <w:szCs w:val="20"/>
        </w:rPr>
        <w:t xml:space="preserve">Konzernergebnis um </w:t>
      </w:r>
      <w:r w:rsidRPr="00BC4B83">
        <w:rPr>
          <w:rFonts w:cs="Lucida Sans Unicode"/>
          <w:b/>
          <w:bCs/>
          <w:position w:val="0"/>
          <w:sz w:val="20"/>
          <w:szCs w:val="20"/>
        </w:rPr>
        <w:t>39 Prozent auf 187 Millionen € gesunken</w:t>
      </w:r>
      <w:r w:rsidR="00A02C86" w:rsidRPr="00BC4B83">
        <w:rPr>
          <w:rFonts w:cs="Lucida Sans Unicode"/>
          <w:b/>
          <w:bCs/>
          <w:position w:val="0"/>
          <w:sz w:val="20"/>
          <w:szCs w:val="20"/>
        </w:rPr>
        <w:t xml:space="preserve"> </w:t>
      </w:r>
    </w:p>
    <w:p w:rsidR="00E73B40" w:rsidRDefault="00E73B40" w:rsidP="002641D9">
      <w:pPr>
        <w:numPr>
          <w:ilvl w:val="0"/>
          <w:numId w:val="14"/>
        </w:numPr>
        <w:tabs>
          <w:tab w:val="clear" w:pos="1425"/>
          <w:tab w:val="num" w:pos="340"/>
        </w:tabs>
        <w:spacing w:line="300" w:lineRule="exact"/>
        <w:ind w:left="340" w:hanging="198"/>
        <w:rPr>
          <w:rFonts w:cs="Lucida Sans Unicode"/>
          <w:b/>
          <w:bCs/>
          <w:position w:val="0"/>
          <w:sz w:val="20"/>
          <w:szCs w:val="20"/>
        </w:rPr>
      </w:pPr>
      <w:r>
        <w:rPr>
          <w:rFonts w:cs="Lucida Sans Unicode"/>
          <w:b/>
          <w:bCs/>
          <w:position w:val="0"/>
          <w:sz w:val="20"/>
          <w:szCs w:val="20"/>
        </w:rPr>
        <w:t xml:space="preserve">Sachinvestitionen um 17 Prozent </w:t>
      </w:r>
      <w:r w:rsidR="00CC673A">
        <w:rPr>
          <w:rFonts w:cs="Lucida Sans Unicode"/>
          <w:b/>
          <w:bCs/>
          <w:position w:val="0"/>
          <w:sz w:val="20"/>
          <w:szCs w:val="20"/>
        </w:rPr>
        <w:t>ge</w:t>
      </w:r>
      <w:r w:rsidR="00BA5C2F">
        <w:rPr>
          <w:rFonts w:cs="Lucida Sans Unicode"/>
          <w:b/>
          <w:bCs/>
          <w:position w:val="0"/>
          <w:sz w:val="20"/>
          <w:szCs w:val="20"/>
        </w:rPr>
        <w:t>steige</w:t>
      </w:r>
      <w:r w:rsidR="00CC673A">
        <w:rPr>
          <w:rFonts w:cs="Lucida Sans Unicode"/>
          <w:b/>
          <w:bCs/>
          <w:position w:val="0"/>
          <w:sz w:val="20"/>
          <w:szCs w:val="20"/>
        </w:rPr>
        <w:t>rt</w:t>
      </w:r>
      <w:r w:rsidR="00BA5C2F">
        <w:rPr>
          <w:rFonts w:cs="Lucida Sans Unicode"/>
          <w:b/>
          <w:bCs/>
          <w:position w:val="0"/>
          <w:sz w:val="20"/>
          <w:szCs w:val="20"/>
        </w:rPr>
        <w:t xml:space="preserve"> </w:t>
      </w:r>
    </w:p>
    <w:p w:rsidR="00E73B40" w:rsidRPr="00BC4B83" w:rsidRDefault="009F2D0D" w:rsidP="002641D9">
      <w:pPr>
        <w:numPr>
          <w:ilvl w:val="0"/>
          <w:numId w:val="14"/>
        </w:numPr>
        <w:tabs>
          <w:tab w:val="clear" w:pos="1425"/>
          <w:tab w:val="num" w:pos="340"/>
        </w:tabs>
        <w:spacing w:line="300" w:lineRule="exact"/>
        <w:ind w:left="340" w:hanging="198"/>
        <w:rPr>
          <w:rFonts w:cs="Lucida Sans Unicode"/>
          <w:b/>
          <w:bCs/>
          <w:position w:val="0"/>
          <w:sz w:val="20"/>
          <w:szCs w:val="20"/>
        </w:rPr>
      </w:pPr>
      <w:r>
        <w:rPr>
          <w:rFonts w:cs="Lucida Sans Unicode"/>
          <w:b/>
          <w:bCs/>
          <w:position w:val="0"/>
          <w:sz w:val="20"/>
          <w:szCs w:val="20"/>
        </w:rPr>
        <w:t>F&amp;E-Aufwendungen um 7 Prozent erhöht</w:t>
      </w:r>
    </w:p>
    <w:p w:rsidR="00A02C86" w:rsidRPr="00A02C86" w:rsidRDefault="00A02C86" w:rsidP="002641D9">
      <w:pPr>
        <w:numPr>
          <w:ilvl w:val="0"/>
          <w:numId w:val="14"/>
        </w:numPr>
        <w:tabs>
          <w:tab w:val="clear" w:pos="1425"/>
          <w:tab w:val="num" w:pos="340"/>
        </w:tabs>
        <w:spacing w:line="300" w:lineRule="exact"/>
        <w:ind w:left="340" w:hanging="198"/>
        <w:rPr>
          <w:rFonts w:cs="Lucida Sans Unicode"/>
          <w:b/>
          <w:bCs/>
          <w:position w:val="0"/>
          <w:sz w:val="20"/>
          <w:szCs w:val="20"/>
        </w:rPr>
      </w:pPr>
      <w:r w:rsidRPr="00A02C86">
        <w:rPr>
          <w:rFonts w:cs="Lucida Sans Unicode"/>
          <w:b/>
          <w:bCs/>
          <w:position w:val="0"/>
          <w:sz w:val="20"/>
          <w:szCs w:val="20"/>
        </w:rPr>
        <w:t>Ausblick für das Gesamtjahr 201</w:t>
      </w:r>
      <w:r w:rsidR="00BC4B83">
        <w:rPr>
          <w:rFonts w:cs="Lucida Sans Unicode"/>
          <w:b/>
          <w:bCs/>
          <w:position w:val="0"/>
          <w:sz w:val="20"/>
          <w:szCs w:val="20"/>
        </w:rPr>
        <w:t>4</w:t>
      </w:r>
      <w:r w:rsidRPr="00A02C86">
        <w:rPr>
          <w:rFonts w:cs="Lucida Sans Unicode"/>
          <w:b/>
          <w:bCs/>
          <w:position w:val="0"/>
          <w:sz w:val="20"/>
          <w:szCs w:val="20"/>
        </w:rPr>
        <w:t xml:space="preserve"> bestätigt: </w:t>
      </w:r>
      <w:r w:rsidR="00BC4B83">
        <w:rPr>
          <w:rFonts w:cs="Lucida Sans Unicode"/>
          <w:b/>
          <w:bCs/>
          <w:position w:val="0"/>
          <w:sz w:val="20"/>
          <w:szCs w:val="20"/>
        </w:rPr>
        <w:t>Umsatz leicht über Vorjahr (2013: 12,</w:t>
      </w:r>
      <w:r w:rsidR="0094792E">
        <w:rPr>
          <w:rFonts w:cs="Lucida Sans Unicode"/>
          <w:b/>
          <w:bCs/>
          <w:position w:val="0"/>
          <w:sz w:val="20"/>
          <w:szCs w:val="20"/>
        </w:rPr>
        <w:t>7</w:t>
      </w:r>
      <w:r w:rsidR="00BC4B83">
        <w:rPr>
          <w:rFonts w:cs="Lucida Sans Unicode"/>
          <w:b/>
          <w:bCs/>
          <w:position w:val="0"/>
          <w:sz w:val="20"/>
          <w:szCs w:val="20"/>
        </w:rPr>
        <w:t xml:space="preserve"> Milliarden €</w:t>
      </w:r>
      <w:r w:rsidR="000D4BBD" w:rsidRPr="000D4BBD">
        <w:rPr>
          <w:rFonts w:cs="Lucida Sans Unicode"/>
          <w:bCs/>
          <w:position w:val="0"/>
          <w:sz w:val="20"/>
          <w:szCs w:val="20"/>
          <w:vertAlign w:val="superscript"/>
        </w:rPr>
        <w:t>1)</w:t>
      </w:r>
      <w:r w:rsidR="00BC4B83">
        <w:rPr>
          <w:rFonts w:cs="Lucida Sans Unicode"/>
          <w:b/>
          <w:bCs/>
          <w:position w:val="0"/>
          <w:sz w:val="20"/>
          <w:szCs w:val="20"/>
        </w:rPr>
        <w:t xml:space="preserve">) und bereinigtes EBITDA zwischen 1,8 und 2,1 Milliarden € (2013: 2,0 Milliarden €) </w:t>
      </w:r>
      <w:r w:rsidRPr="00A02C86">
        <w:rPr>
          <w:rFonts w:cs="Lucida Sans Unicode"/>
          <w:b/>
          <w:bCs/>
          <w:position w:val="0"/>
          <w:sz w:val="20"/>
          <w:szCs w:val="20"/>
        </w:rPr>
        <w:t>erwartet</w:t>
      </w:r>
      <w:r w:rsidRPr="00A02C86">
        <w:rPr>
          <w:rFonts w:cs="Lucida Sans Unicode"/>
          <w:b/>
          <w:bCs/>
          <w:position w:val="0"/>
          <w:sz w:val="20"/>
          <w:szCs w:val="20"/>
        </w:rPr>
        <w:br/>
      </w:r>
    </w:p>
    <w:p w:rsidR="005E0237" w:rsidRDefault="00A02C86" w:rsidP="00A02C86">
      <w:pPr>
        <w:spacing w:line="300" w:lineRule="atLeast"/>
        <w:rPr>
          <w:rFonts w:cs="Lucida Sans Unicode"/>
          <w:sz w:val="20"/>
          <w:szCs w:val="20"/>
        </w:rPr>
      </w:pPr>
      <w:r w:rsidRPr="00A02C86">
        <w:rPr>
          <w:rFonts w:cs="Lucida Sans Unicode"/>
          <w:sz w:val="20"/>
          <w:szCs w:val="20"/>
        </w:rPr>
        <w:t>Essen. „</w:t>
      </w:r>
      <w:r w:rsidR="008C56FB">
        <w:rPr>
          <w:rFonts w:cs="Lucida Sans Unicode"/>
          <w:sz w:val="20"/>
          <w:szCs w:val="20"/>
        </w:rPr>
        <w:t xml:space="preserve">Im Vergleich zum Vorjahresquartal, das mit Abstand das beste </w:t>
      </w:r>
      <w:r w:rsidR="00D454E0">
        <w:rPr>
          <w:rFonts w:cs="Lucida Sans Unicode"/>
          <w:sz w:val="20"/>
          <w:szCs w:val="20"/>
        </w:rPr>
        <w:t xml:space="preserve">Quartal </w:t>
      </w:r>
      <w:r w:rsidR="008C56FB">
        <w:rPr>
          <w:rFonts w:cs="Lucida Sans Unicode"/>
          <w:sz w:val="20"/>
          <w:szCs w:val="20"/>
        </w:rPr>
        <w:t>des Jahres 2013 war, ist Evonik ve</w:t>
      </w:r>
      <w:r w:rsidR="0098570A">
        <w:rPr>
          <w:rFonts w:cs="Lucida Sans Unicode"/>
          <w:sz w:val="20"/>
          <w:szCs w:val="20"/>
        </w:rPr>
        <w:t>rhalten ins Jahr 2014 gestartet</w:t>
      </w:r>
      <w:r w:rsidR="008C56FB">
        <w:rPr>
          <w:rFonts w:cs="Lucida Sans Unicode"/>
          <w:sz w:val="20"/>
          <w:szCs w:val="20"/>
        </w:rPr>
        <w:t xml:space="preserve">“, sagte Klaus Engel, Vorstandsvorsitzender der Evonik Industries AG, heute anlässlich der Vorstellung der wirtschaftlichen Eckdaten für das erste Quartal 2014. </w:t>
      </w:r>
      <w:r w:rsidR="0098570A">
        <w:rPr>
          <w:rFonts w:cs="Lucida Sans Unicode"/>
          <w:sz w:val="20"/>
          <w:szCs w:val="20"/>
        </w:rPr>
        <w:t>„Erfreulich war die erneut starke Mengennachfrage, während die Verkaufspreise a</w:t>
      </w:r>
      <w:r w:rsidR="0098570A" w:rsidRPr="0098570A">
        <w:rPr>
          <w:rFonts w:cs="Lucida Sans Unicode"/>
          <w:sz w:val="20"/>
          <w:szCs w:val="20"/>
        </w:rPr>
        <w:t xml:space="preserve">ufgrund anspruchsvoller Marktbedingungen bei einigen wichtigen Produkten </w:t>
      </w:r>
      <w:r w:rsidR="009366C0">
        <w:rPr>
          <w:rFonts w:cs="Lucida Sans Unicode"/>
          <w:sz w:val="20"/>
          <w:szCs w:val="20"/>
        </w:rPr>
        <w:t xml:space="preserve">deutlich </w:t>
      </w:r>
      <w:r w:rsidR="0098570A" w:rsidRPr="0098570A">
        <w:rPr>
          <w:rFonts w:cs="Lucida Sans Unicode"/>
          <w:sz w:val="20"/>
          <w:szCs w:val="20"/>
        </w:rPr>
        <w:t xml:space="preserve">unter dem noch sehr hohen Niveau des Vorjahresquartals </w:t>
      </w:r>
      <w:r w:rsidR="0098570A">
        <w:rPr>
          <w:rFonts w:cs="Lucida Sans Unicode"/>
          <w:sz w:val="20"/>
          <w:szCs w:val="20"/>
        </w:rPr>
        <w:t>blieben.</w:t>
      </w:r>
      <w:r w:rsidR="00762FA7">
        <w:rPr>
          <w:rFonts w:cs="Lucida Sans Unicode"/>
          <w:sz w:val="20"/>
          <w:szCs w:val="20"/>
        </w:rPr>
        <w:t xml:space="preserve"> </w:t>
      </w:r>
      <w:r w:rsidR="002A6E5D">
        <w:rPr>
          <w:rFonts w:cs="Lucida Sans Unicode"/>
          <w:sz w:val="20"/>
          <w:szCs w:val="20"/>
        </w:rPr>
        <w:t>Im Vergleich zum Jahresende 2013 haben sie sich jedoch leicht verbessert“, so Engel.</w:t>
      </w:r>
      <w:r w:rsidR="005E0237">
        <w:rPr>
          <w:rFonts w:cs="Lucida Sans Unicode"/>
          <w:sz w:val="20"/>
          <w:szCs w:val="20"/>
        </w:rPr>
        <w:t xml:space="preserve"> </w:t>
      </w:r>
      <w:r w:rsidR="007049A3">
        <w:rPr>
          <w:rFonts w:cs="Lucida Sans Unicode"/>
          <w:sz w:val="20"/>
          <w:szCs w:val="20"/>
        </w:rPr>
        <w:t xml:space="preserve">Insgesamt erwirtschaftete Evonik bei einem nahezu unveränderten Umsatz ein solides bereinigtes EBITDA, das aber deutlich unter dem starken Vorjahresquartal lag. </w:t>
      </w:r>
    </w:p>
    <w:p w:rsidR="006E71B7" w:rsidRDefault="006E71B7" w:rsidP="00A02C86">
      <w:pPr>
        <w:spacing w:line="300" w:lineRule="atLeast"/>
        <w:rPr>
          <w:rFonts w:cs="Lucida Sans Unicode"/>
          <w:sz w:val="20"/>
          <w:szCs w:val="20"/>
        </w:rPr>
      </w:pPr>
    </w:p>
    <w:p w:rsidR="00341896" w:rsidRDefault="007049A3" w:rsidP="00A02C86">
      <w:pPr>
        <w:spacing w:line="300" w:lineRule="atLeast"/>
        <w:rPr>
          <w:rFonts w:cs="Lucida Sans Unicode"/>
          <w:sz w:val="20"/>
          <w:szCs w:val="20"/>
        </w:rPr>
      </w:pPr>
      <w:r>
        <w:rPr>
          <w:rFonts w:cs="Lucida Sans Unicode"/>
          <w:sz w:val="20"/>
          <w:szCs w:val="20"/>
        </w:rPr>
        <w:t>D</w:t>
      </w:r>
      <w:r w:rsidR="00762FA7">
        <w:rPr>
          <w:rFonts w:cs="Lucida Sans Unicode"/>
          <w:sz w:val="20"/>
          <w:szCs w:val="20"/>
        </w:rPr>
        <w:t xml:space="preserve">er Konzern </w:t>
      </w:r>
      <w:r>
        <w:rPr>
          <w:rFonts w:cs="Lucida Sans Unicode"/>
          <w:sz w:val="20"/>
          <w:szCs w:val="20"/>
        </w:rPr>
        <w:t xml:space="preserve">bestätigt </w:t>
      </w:r>
      <w:r w:rsidR="00760D28">
        <w:rPr>
          <w:rFonts w:cs="Lucida Sans Unicode"/>
          <w:sz w:val="20"/>
          <w:szCs w:val="20"/>
        </w:rPr>
        <w:t xml:space="preserve">seinen Ausblick für das Gesamtjahr 2014 und erwartet </w:t>
      </w:r>
      <w:r w:rsidR="00762FA7">
        <w:rPr>
          <w:rFonts w:cs="Lucida Sans Unicode"/>
          <w:sz w:val="20"/>
          <w:szCs w:val="20"/>
        </w:rPr>
        <w:t xml:space="preserve">unverändert </w:t>
      </w:r>
      <w:r w:rsidR="00760D28">
        <w:rPr>
          <w:rFonts w:cs="Lucida Sans Unicode"/>
          <w:sz w:val="20"/>
          <w:szCs w:val="20"/>
        </w:rPr>
        <w:t xml:space="preserve">einen </w:t>
      </w:r>
      <w:r>
        <w:rPr>
          <w:rFonts w:cs="Lucida Sans Unicode"/>
          <w:sz w:val="20"/>
          <w:szCs w:val="20"/>
        </w:rPr>
        <w:t xml:space="preserve">leicht höheren </w:t>
      </w:r>
      <w:r w:rsidR="005451C4">
        <w:rPr>
          <w:rFonts w:cs="Lucida Sans Unicode"/>
          <w:sz w:val="20"/>
          <w:szCs w:val="20"/>
        </w:rPr>
        <w:t xml:space="preserve">Umsatz </w:t>
      </w:r>
      <w:r w:rsidR="00760D28">
        <w:rPr>
          <w:rFonts w:cs="Lucida Sans Unicode"/>
          <w:sz w:val="20"/>
          <w:szCs w:val="20"/>
        </w:rPr>
        <w:t xml:space="preserve">und </w:t>
      </w:r>
      <w:r w:rsidR="00762FA7">
        <w:rPr>
          <w:rFonts w:cs="Lucida Sans Unicode"/>
          <w:sz w:val="20"/>
          <w:szCs w:val="20"/>
        </w:rPr>
        <w:t xml:space="preserve">weiterhin </w:t>
      </w:r>
      <w:r w:rsidR="00760D28">
        <w:rPr>
          <w:rFonts w:cs="Lucida Sans Unicode"/>
          <w:sz w:val="20"/>
          <w:szCs w:val="20"/>
        </w:rPr>
        <w:t xml:space="preserve">ein bereinigtes EBITDA zwischen 1,8 und 2,1 Milliarden €. </w:t>
      </w:r>
    </w:p>
    <w:p w:rsidR="005E0237" w:rsidRDefault="005E0237" w:rsidP="00A02C86">
      <w:pPr>
        <w:spacing w:line="300" w:lineRule="atLeast"/>
        <w:rPr>
          <w:rFonts w:cs="Lucida Sans Unicode"/>
          <w:b/>
          <w:sz w:val="20"/>
          <w:szCs w:val="20"/>
        </w:rPr>
      </w:pPr>
    </w:p>
    <w:p w:rsidR="006E71B7" w:rsidRDefault="000D4BBD" w:rsidP="00A02C86">
      <w:pPr>
        <w:spacing w:line="300" w:lineRule="atLeast"/>
        <w:rPr>
          <w:rFonts w:cs="Lucida Sans Unicode"/>
          <w:b/>
          <w:sz w:val="20"/>
          <w:szCs w:val="20"/>
        </w:rPr>
      </w:pPr>
      <w:r w:rsidRPr="000D4BBD">
        <w:rPr>
          <w:rFonts w:cs="Lucida Sans Unicode"/>
          <w:b/>
          <w:noProof/>
          <w:sz w:val="20"/>
          <w:szCs w:val="20"/>
        </w:rPr>
        <mc:AlternateContent>
          <mc:Choice Requires="wps">
            <w:drawing>
              <wp:anchor distT="0" distB="0" distL="114300" distR="114300" simplePos="0" relativeHeight="251659264" behindDoc="0" locked="0" layoutInCell="1" allowOverlap="1" wp14:anchorId="460E15CD" wp14:editId="2567230E">
                <wp:simplePos x="0" y="0"/>
                <wp:positionH relativeFrom="column">
                  <wp:posOffset>-92075</wp:posOffset>
                </wp:positionH>
                <wp:positionV relativeFrom="paragraph">
                  <wp:posOffset>19050</wp:posOffset>
                </wp:positionV>
                <wp:extent cx="4686300" cy="430530"/>
                <wp:effectExtent l="0" t="0" r="0" b="762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0530"/>
                        </a:xfrm>
                        <a:prstGeom prst="rect">
                          <a:avLst/>
                        </a:prstGeom>
                        <a:solidFill>
                          <a:srgbClr val="FFFFFF"/>
                        </a:solidFill>
                        <a:ln w="9525">
                          <a:noFill/>
                          <a:miter lim="800000"/>
                          <a:headEnd/>
                          <a:tailEnd/>
                        </a:ln>
                      </wps:spPr>
                      <wps:txbx>
                        <w:txbxContent>
                          <w:p w:rsidR="000D4BBD" w:rsidRDefault="000D4BBD">
                            <w:r w:rsidRPr="000D4BBD">
                              <w:rPr>
                                <w:vertAlign w:val="superscript"/>
                              </w:rPr>
                              <w:t>1)</w:t>
                            </w:r>
                            <w:r>
                              <w:tab/>
                            </w:r>
                            <w:r w:rsidRPr="000D4BBD">
                              <w:rPr>
                                <w:sz w:val="16"/>
                                <w:szCs w:val="16"/>
                              </w:rPr>
                              <w:t>Vorjahreszahl angepasst aufgrund erstmaliger Anwendung von IFRS</w:t>
                            </w:r>
                            <w:r w:rsidR="00FF492D">
                              <w:rPr>
                                <w:sz w:val="16"/>
                                <w:szCs w:val="16"/>
                              </w:rPr>
                              <w:t xml:space="preserve"> </w:t>
                            </w:r>
                            <w:r w:rsidRPr="000D4BBD">
                              <w:rPr>
                                <w:sz w:val="16"/>
                                <w:szCs w:val="1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25pt;margin-top:1.5pt;width:369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" stroked="f">
                <v:textbox>
                  <w:txbxContent>
                    <w:p w:rsidR="000D4BBD" w:rsidRDefault="000D4BBD">
                      <w:r w:rsidRPr="000D4BBD">
                        <w:rPr>
                          <w:vertAlign w:val="superscript"/>
                        </w:rPr>
                        <w:t>1)</w:t>
                      </w:r>
                      <w:r>
                        <w:tab/>
                      </w:r>
                      <w:r w:rsidRPr="000D4BBD">
                        <w:rPr>
                          <w:sz w:val="16"/>
                          <w:szCs w:val="16"/>
                        </w:rPr>
                        <w:t>Vorjahreszahl angepasst aufgrund erstmaliger Anwendung von IFRS</w:t>
                      </w:r>
                      <w:r w:rsidR="00FF492D">
                        <w:rPr>
                          <w:sz w:val="16"/>
                          <w:szCs w:val="16"/>
                        </w:rPr>
                        <w:t xml:space="preserve"> </w:t>
                      </w:r>
                      <w:bookmarkStart w:id="1" w:name="_GoBack"/>
                      <w:bookmarkEnd w:id="1"/>
                      <w:r w:rsidRPr="000D4BBD">
                        <w:rPr>
                          <w:sz w:val="16"/>
                          <w:szCs w:val="16"/>
                        </w:rPr>
                        <w:t>11</w:t>
                      </w:r>
                    </w:p>
                  </w:txbxContent>
                </v:textbox>
              </v:shape>
            </w:pict>
          </mc:Fallback>
        </mc:AlternateContent>
      </w:r>
    </w:p>
    <w:p w:rsidR="006E71B7" w:rsidRDefault="006E71B7" w:rsidP="00A02C86">
      <w:pPr>
        <w:spacing w:line="300" w:lineRule="atLeast"/>
        <w:rPr>
          <w:rFonts w:cs="Lucida Sans Unicode"/>
          <w:b/>
          <w:sz w:val="20"/>
          <w:szCs w:val="20"/>
        </w:rPr>
      </w:pPr>
    </w:p>
    <w:p w:rsidR="00A02C86" w:rsidRDefault="00A02C86" w:rsidP="006E71B7">
      <w:pPr>
        <w:spacing w:line="300" w:lineRule="atLeast"/>
        <w:rPr>
          <w:b/>
          <w:bCs/>
          <w:sz w:val="22"/>
          <w:szCs w:val="22"/>
        </w:rPr>
      </w:pPr>
      <w:r w:rsidRPr="00A02C86">
        <w:rPr>
          <w:rFonts w:cs="Lucida Sans Unicode"/>
          <w:b/>
          <w:sz w:val="20"/>
          <w:szCs w:val="20"/>
        </w:rPr>
        <w:lastRenderedPageBreak/>
        <w:t>Geschäftsentwicklung im ersten Quartal 201</w:t>
      </w:r>
      <w:r w:rsidR="008C56FB">
        <w:rPr>
          <w:rFonts w:cs="Lucida Sans Unicode"/>
          <w:b/>
          <w:sz w:val="20"/>
          <w:szCs w:val="20"/>
        </w:rPr>
        <w:t>4</w:t>
      </w:r>
    </w:p>
    <w:p w:rsidR="00A02C86" w:rsidRPr="00341896" w:rsidRDefault="00A02C86" w:rsidP="00A02C86">
      <w:pPr>
        <w:rPr>
          <w:sz w:val="20"/>
          <w:szCs w:val="20"/>
          <w:lang w:eastAsia="en-US"/>
        </w:rPr>
      </w:pPr>
    </w:p>
    <w:p w:rsidR="00A02C86" w:rsidRPr="00A02C86" w:rsidRDefault="00A02C86" w:rsidP="002F5039">
      <w:pPr>
        <w:pStyle w:val="ErsteZeile"/>
      </w:pPr>
      <w:r w:rsidRPr="00A02C86">
        <w:t xml:space="preserve">Der </w:t>
      </w:r>
      <w:r w:rsidRPr="00A02C86">
        <w:rPr>
          <w:b/>
        </w:rPr>
        <w:t>Konzernumsatz</w:t>
      </w:r>
      <w:r w:rsidRPr="00A02C86">
        <w:t xml:space="preserve"> </w:t>
      </w:r>
      <w:r w:rsidR="00341896">
        <w:t xml:space="preserve">stieg </w:t>
      </w:r>
      <w:r w:rsidRPr="00A02C86">
        <w:t xml:space="preserve">organisch </w:t>
      </w:r>
      <w:r w:rsidR="00341896">
        <w:t xml:space="preserve">aufgrund der </w:t>
      </w:r>
      <w:r w:rsidR="0062241E">
        <w:t xml:space="preserve">gegenüber dem Vorjahresquartal </w:t>
      </w:r>
      <w:r w:rsidR="00341896">
        <w:t xml:space="preserve">höheren Mengennachfrage </w:t>
      </w:r>
      <w:r w:rsidR="002B4861">
        <w:t xml:space="preserve">(5 Prozentpunkte) </w:t>
      </w:r>
      <w:r w:rsidR="00341896">
        <w:t xml:space="preserve">bei nachgebenden Verkaufspreisen </w:t>
      </w:r>
      <w:r w:rsidR="002B4861">
        <w:t xml:space="preserve">(-4 Prozentpunkte) </w:t>
      </w:r>
      <w:r w:rsidR="00341896">
        <w:t xml:space="preserve">leicht um 1 Prozent. Gegenläufig wirkten negative Währungseinflüsse mit -1 Prozentpunkt. Insgesamt </w:t>
      </w:r>
      <w:r w:rsidR="00F53917">
        <w:t xml:space="preserve">lag </w:t>
      </w:r>
      <w:r w:rsidR="00341896">
        <w:t xml:space="preserve">der Umsatz mit 3.201 Millionen € </w:t>
      </w:r>
      <w:r w:rsidR="006F450F">
        <w:t xml:space="preserve">nahezu </w:t>
      </w:r>
      <w:r w:rsidR="00F53917">
        <w:t>auf der</w:t>
      </w:r>
      <w:r w:rsidR="00341896">
        <w:t xml:space="preserve"> Vorjahreshöhe von 3.212 Millionen €. </w:t>
      </w:r>
    </w:p>
    <w:p w:rsidR="00A02C86" w:rsidRDefault="00A02C86" w:rsidP="00A02C86">
      <w:pPr>
        <w:rPr>
          <w:bCs/>
          <w:lang w:eastAsia="en-US"/>
        </w:rPr>
      </w:pPr>
    </w:p>
    <w:p w:rsidR="00A02C86" w:rsidRPr="00D941D1" w:rsidRDefault="002B4861" w:rsidP="002F5039">
      <w:pPr>
        <w:pStyle w:val="ErsteZeile"/>
        <w:rPr>
          <w:b/>
        </w:rPr>
      </w:pPr>
      <w:r>
        <w:t>D</w:t>
      </w:r>
      <w:r w:rsidR="005E0237">
        <w:t xml:space="preserve">as bereinigte </w:t>
      </w:r>
      <w:r w:rsidR="005E0237" w:rsidRPr="006E71B7">
        <w:rPr>
          <w:b/>
        </w:rPr>
        <w:t>EBITDA</w:t>
      </w:r>
      <w:r w:rsidR="005E0237">
        <w:t xml:space="preserve"> </w:t>
      </w:r>
      <w:r>
        <w:t xml:space="preserve">erreichte im ersten Quartal 2014 vor allem aufgrund geringerer Verkaufspreise bei einigen wichtigen Produkten nicht </w:t>
      </w:r>
      <w:r w:rsidR="005E0237">
        <w:t>den</w:t>
      </w:r>
      <w:r>
        <w:t xml:space="preserve"> sehr guten Wert des Vorjahresquartals</w:t>
      </w:r>
      <w:r w:rsidR="00B520ED">
        <w:t>.</w:t>
      </w:r>
      <w:r>
        <w:t xml:space="preserve"> </w:t>
      </w:r>
      <w:r w:rsidR="005E0237">
        <w:t>Es</w:t>
      </w:r>
      <w:r w:rsidR="00A02C86" w:rsidRPr="00D941D1">
        <w:t xml:space="preserve"> </w:t>
      </w:r>
      <w:r w:rsidR="00B520ED">
        <w:t xml:space="preserve">blieb </w:t>
      </w:r>
      <w:r>
        <w:t xml:space="preserve">mit 463 Millionen € um 24 </w:t>
      </w:r>
      <w:r w:rsidR="00A02C86" w:rsidRPr="00D941D1">
        <w:t xml:space="preserve">Prozent </w:t>
      </w:r>
      <w:r>
        <w:t xml:space="preserve">unter dem </w:t>
      </w:r>
      <w:r w:rsidR="00B520ED">
        <w:t>Vorjahreswert</w:t>
      </w:r>
      <w:r>
        <w:t xml:space="preserve"> (606 Millionen €). </w:t>
      </w:r>
      <w:r w:rsidR="00A02C86" w:rsidRPr="00617B2D">
        <w:t>Die</w:t>
      </w:r>
      <w:r w:rsidR="00A02C86" w:rsidRPr="00D941D1">
        <w:rPr>
          <w:b/>
        </w:rPr>
        <w:t xml:space="preserve"> </w:t>
      </w:r>
      <w:r w:rsidR="00A02C86" w:rsidRPr="00801C4B">
        <w:t>bereinigte</w:t>
      </w:r>
      <w:r w:rsidR="00A02C86" w:rsidRPr="00D941D1">
        <w:rPr>
          <w:b/>
        </w:rPr>
        <w:t xml:space="preserve"> EBITDA-Marge</w:t>
      </w:r>
      <w:r w:rsidR="00A02C86" w:rsidRPr="00D941D1">
        <w:t xml:space="preserve"> </w:t>
      </w:r>
      <w:r>
        <w:t>verringerte sich entsprechend von 18,9</w:t>
      </w:r>
      <w:r w:rsidR="00A02C86" w:rsidRPr="00D941D1">
        <w:t xml:space="preserve"> Prozent </w:t>
      </w:r>
      <w:r>
        <w:t>auf 14,5 Prozent</w:t>
      </w:r>
      <w:r w:rsidR="00A02C86" w:rsidRPr="00D941D1">
        <w:t xml:space="preserve">. </w:t>
      </w:r>
    </w:p>
    <w:p w:rsidR="00A02C86" w:rsidRPr="00D941D1" w:rsidRDefault="00A02C86" w:rsidP="00D941D1">
      <w:pPr>
        <w:spacing w:line="300" w:lineRule="atLeast"/>
        <w:ind w:left="142"/>
        <w:rPr>
          <w:rFonts w:cs="Lucida Sans Unicode"/>
          <w:bCs/>
          <w:lang w:eastAsia="en-US"/>
        </w:rPr>
      </w:pPr>
    </w:p>
    <w:p w:rsidR="00A02C86" w:rsidRPr="00D941D1" w:rsidRDefault="00A02C86" w:rsidP="002F5039">
      <w:pPr>
        <w:pStyle w:val="ErsteZeile"/>
        <w:rPr>
          <w:b/>
        </w:rPr>
      </w:pPr>
      <w:r w:rsidRPr="00D941D1">
        <w:t xml:space="preserve">Die </w:t>
      </w:r>
      <w:r w:rsidRPr="00D941D1">
        <w:rPr>
          <w:b/>
        </w:rPr>
        <w:t>Bereinigungen</w:t>
      </w:r>
      <w:r w:rsidRPr="00D941D1">
        <w:t xml:space="preserve"> von -</w:t>
      </w:r>
      <w:r w:rsidR="00B520ED">
        <w:t>28</w:t>
      </w:r>
      <w:r w:rsidRPr="00D941D1">
        <w:t xml:space="preserve"> Millionen € </w:t>
      </w:r>
      <w:r w:rsidR="00204CFD" w:rsidRPr="00D941D1">
        <w:t>betr</w:t>
      </w:r>
      <w:r w:rsidR="00204CFD">
        <w:t>afen</w:t>
      </w:r>
      <w:r w:rsidR="00204CFD" w:rsidRPr="00D941D1">
        <w:t xml:space="preserve"> </w:t>
      </w:r>
      <w:r w:rsidRPr="00D941D1">
        <w:t xml:space="preserve">im Wesentlichen </w:t>
      </w:r>
      <w:r w:rsidR="005E0237">
        <w:t xml:space="preserve">Aufwendungen im Zusammenhang mit </w:t>
      </w:r>
      <w:r w:rsidR="00B520ED">
        <w:t>Änderungen in der Bewert</w:t>
      </w:r>
      <w:r w:rsidR="006F05E7">
        <w:t>ung der restlichen Anteile an der STEAG GmbH</w:t>
      </w:r>
      <w:r w:rsidR="005451C4">
        <w:t xml:space="preserve"> sowie </w:t>
      </w:r>
      <w:proofErr w:type="spellStart"/>
      <w:r w:rsidR="005451C4">
        <w:t>R</w:t>
      </w:r>
      <w:r w:rsidR="005E0237">
        <w:t>estrukturierungsaufwen</w:t>
      </w:r>
      <w:r w:rsidR="005451C4">
        <w:t>-</w:t>
      </w:r>
      <w:r w:rsidR="005E0237">
        <w:t>dungen</w:t>
      </w:r>
      <w:proofErr w:type="spellEnd"/>
      <w:r w:rsidR="005E0237">
        <w:t>.</w:t>
      </w:r>
      <w:r w:rsidRPr="00D941D1">
        <w:t xml:space="preserve"> </w:t>
      </w:r>
      <w:r w:rsidR="006F450F">
        <w:t>Der Vorjahreswert von –3</w:t>
      </w:r>
      <w:r w:rsidR="006F05E7">
        <w:t xml:space="preserve">0 Millionen € betraf insbesondere Aufwendungen im Zusammenhang mit </w:t>
      </w:r>
      <w:r w:rsidR="00E60B2B">
        <w:t xml:space="preserve">der Bilanzierung der </w:t>
      </w:r>
      <w:proofErr w:type="spellStart"/>
      <w:r w:rsidR="00E60B2B">
        <w:t>Put</w:t>
      </w:r>
      <w:proofErr w:type="spellEnd"/>
      <w:r w:rsidR="00E60B2B">
        <w:t>- und der Call-Option für die STEAG-Anteile.</w:t>
      </w:r>
    </w:p>
    <w:p w:rsidR="00A02C86" w:rsidRPr="00B13E9A" w:rsidRDefault="00A02C86" w:rsidP="00A02C86">
      <w:pPr>
        <w:rPr>
          <w:bCs/>
          <w:lang w:eastAsia="en-US"/>
        </w:rPr>
      </w:pPr>
    </w:p>
    <w:p w:rsidR="00A02C86" w:rsidRPr="00D941D1" w:rsidRDefault="00A02C86" w:rsidP="00D941D1">
      <w:pPr>
        <w:spacing w:line="300" w:lineRule="atLeast"/>
        <w:rPr>
          <w:rFonts w:cs="Lucida Sans Unicode"/>
          <w:bCs/>
          <w:sz w:val="20"/>
          <w:szCs w:val="20"/>
          <w:lang w:eastAsia="en-US"/>
        </w:rPr>
      </w:pPr>
      <w:r w:rsidRPr="00D941D1">
        <w:rPr>
          <w:rFonts w:cs="Lucida Sans Unicode"/>
          <w:bCs/>
          <w:sz w:val="20"/>
          <w:szCs w:val="20"/>
          <w:lang w:eastAsia="en-US"/>
        </w:rPr>
        <w:t xml:space="preserve">Das </w:t>
      </w:r>
      <w:r w:rsidRPr="00D941D1">
        <w:rPr>
          <w:rFonts w:cs="Lucida Sans Unicode"/>
          <w:b/>
          <w:sz w:val="20"/>
          <w:szCs w:val="20"/>
          <w:lang w:eastAsia="en-US"/>
        </w:rPr>
        <w:t xml:space="preserve">Ergebnis </w:t>
      </w:r>
      <w:r w:rsidR="00B10C25">
        <w:rPr>
          <w:rFonts w:cs="Lucida Sans Unicode"/>
          <w:b/>
          <w:sz w:val="20"/>
          <w:szCs w:val="20"/>
          <w:lang w:eastAsia="en-US"/>
        </w:rPr>
        <w:t xml:space="preserve">vor </w:t>
      </w:r>
      <w:r w:rsidRPr="00D941D1">
        <w:rPr>
          <w:rFonts w:cs="Lucida Sans Unicode"/>
          <w:b/>
          <w:sz w:val="20"/>
          <w:szCs w:val="20"/>
          <w:lang w:eastAsia="en-US"/>
        </w:rPr>
        <w:t>Ertragsteuern der fortgeführten Aktivitäten</w:t>
      </w:r>
      <w:r w:rsidRPr="00D941D1">
        <w:rPr>
          <w:rFonts w:cs="Lucida Sans Unicode"/>
          <w:bCs/>
          <w:sz w:val="20"/>
          <w:szCs w:val="20"/>
          <w:lang w:eastAsia="en-US"/>
        </w:rPr>
        <w:t xml:space="preserve"> </w:t>
      </w:r>
      <w:r w:rsidR="00B10C25">
        <w:rPr>
          <w:rFonts w:cs="Lucida Sans Unicode"/>
          <w:bCs/>
          <w:sz w:val="20"/>
          <w:szCs w:val="20"/>
          <w:lang w:eastAsia="en-US"/>
        </w:rPr>
        <w:t xml:space="preserve">ging um </w:t>
      </w:r>
      <w:r w:rsidR="00307B51">
        <w:rPr>
          <w:rFonts w:cs="Lucida Sans Unicode"/>
          <w:bCs/>
          <w:sz w:val="20"/>
          <w:szCs w:val="20"/>
          <w:lang w:eastAsia="en-US"/>
        </w:rPr>
        <w:t>42</w:t>
      </w:r>
      <w:r w:rsidR="00B10C25">
        <w:rPr>
          <w:rFonts w:cs="Lucida Sans Unicode"/>
          <w:bCs/>
          <w:sz w:val="20"/>
          <w:szCs w:val="20"/>
          <w:lang w:eastAsia="en-US"/>
        </w:rPr>
        <w:t xml:space="preserve"> Prozent auf 2</w:t>
      </w:r>
      <w:r w:rsidR="00307B51">
        <w:rPr>
          <w:rFonts w:cs="Lucida Sans Unicode"/>
          <w:bCs/>
          <w:sz w:val="20"/>
          <w:szCs w:val="20"/>
          <w:lang w:eastAsia="en-US"/>
        </w:rPr>
        <w:t>12</w:t>
      </w:r>
      <w:r w:rsidR="00B10C25">
        <w:rPr>
          <w:rFonts w:cs="Lucida Sans Unicode"/>
          <w:bCs/>
          <w:sz w:val="20"/>
          <w:szCs w:val="20"/>
          <w:lang w:eastAsia="en-US"/>
        </w:rPr>
        <w:t xml:space="preserve"> Millionen € zurück (Vorjahr</w:t>
      </w:r>
      <w:r w:rsidR="00BF4B27">
        <w:rPr>
          <w:rFonts w:cs="Lucida Sans Unicode"/>
          <w:bCs/>
          <w:sz w:val="20"/>
          <w:szCs w:val="20"/>
          <w:lang w:eastAsia="en-US"/>
        </w:rPr>
        <w:t>esquartal</w:t>
      </w:r>
      <w:r w:rsidR="00B10C25">
        <w:rPr>
          <w:rFonts w:cs="Lucida Sans Unicode"/>
          <w:bCs/>
          <w:sz w:val="20"/>
          <w:szCs w:val="20"/>
          <w:lang w:eastAsia="en-US"/>
        </w:rPr>
        <w:t xml:space="preserve">: 368 Millionen €). </w:t>
      </w:r>
      <w:r w:rsidR="00B10C25" w:rsidRPr="00E60B2B">
        <w:rPr>
          <w:rFonts w:cs="Lucida Sans Unicode"/>
          <w:bCs/>
          <w:sz w:val="20"/>
          <w:szCs w:val="20"/>
          <w:lang w:eastAsia="en-US"/>
        </w:rPr>
        <w:t xml:space="preserve">Das Ergebnis nach </w:t>
      </w:r>
      <w:r w:rsidRPr="00E60B2B">
        <w:rPr>
          <w:rFonts w:cs="Lucida Sans Unicode"/>
          <w:bCs/>
          <w:sz w:val="20"/>
          <w:szCs w:val="20"/>
          <w:lang w:eastAsia="en-US"/>
        </w:rPr>
        <w:t xml:space="preserve">Steuern der nicht fortgeführten Aktivitäten </w:t>
      </w:r>
      <w:r w:rsidR="00B10C25" w:rsidRPr="00E60B2B">
        <w:rPr>
          <w:rFonts w:cs="Lucida Sans Unicode"/>
          <w:bCs/>
          <w:sz w:val="20"/>
          <w:szCs w:val="20"/>
          <w:lang w:eastAsia="en-US"/>
        </w:rPr>
        <w:t>von 21 Millionen € betrifft das Lithium-Ionen-Geschäft</w:t>
      </w:r>
      <w:r w:rsidR="00E60B2B" w:rsidRPr="00E60B2B">
        <w:rPr>
          <w:rFonts w:cs="Lucida Sans Unicode"/>
          <w:bCs/>
          <w:sz w:val="20"/>
          <w:szCs w:val="20"/>
          <w:lang w:eastAsia="en-US"/>
        </w:rPr>
        <w:t xml:space="preserve"> und steht </w:t>
      </w:r>
      <w:r w:rsidR="00392FBF">
        <w:rPr>
          <w:rFonts w:cs="Lucida Sans Unicode"/>
          <w:bCs/>
          <w:sz w:val="20"/>
          <w:szCs w:val="20"/>
          <w:lang w:eastAsia="en-US"/>
        </w:rPr>
        <w:t xml:space="preserve">maßgeblich </w:t>
      </w:r>
      <w:r w:rsidR="00E60B2B" w:rsidRPr="00E60B2B">
        <w:rPr>
          <w:rFonts w:cs="Lucida Sans Unicode"/>
          <w:bCs/>
          <w:sz w:val="20"/>
          <w:szCs w:val="20"/>
          <w:lang w:eastAsia="en-US"/>
        </w:rPr>
        <w:t xml:space="preserve">im Zusammenhang </w:t>
      </w:r>
      <w:r w:rsidR="00CC673A">
        <w:rPr>
          <w:rFonts w:cs="Lucida Sans Unicode"/>
          <w:bCs/>
          <w:sz w:val="20"/>
          <w:szCs w:val="20"/>
          <w:lang w:eastAsia="en-US"/>
        </w:rPr>
        <w:t xml:space="preserve">mit </w:t>
      </w:r>
      <w:r w:rsidR="00E60B2B" w:rsidRPr="00E60B2B">
        <w:rPr>
          <w:rFonts w:cs="Lucida Sans Unicode"/>
          <w:bCs/>
          <w:sz w:val="20"/>
          <w:szCs w:val="20"/>
          <w:lang w:eastAsia="en-US"/>
        </w:rPr>
        <w:t xml:space="preserve">der </w:t>
      </w:r>
      <w:r w:rsidR="00BA5C2F">
        <w:rPr>
          <w:rFonts w:cs="Lucida Sans Unicode"/>
          <w:bCs/>
          <w:sz w:val="20"/>
          <w:szCs w:val="20"/>
          <w:lang w:eastAsia="en-US"/>
        </w:rPr>
        <w:t>Ende</w:t>
      </w:r>
      <w:r w:rsidR="006C038D">
        <w:rPr>
          <w:rFonts w:cs="Lucida Sans Unicode"/>
          <w:bCs/>
          <w:sz w:val="20"/>
          <w:szCs w:val="20"/>
          <w:lang w:eastAsia="en-US"/>
        </w:rPr>
        <w:t xml:space="preserve"> März 2014 getroffenen Verkaufsvereinbarung </w:t>
      </w:r>
      <w:r w:rsidR="00E60B2B" w:rsidRPr="00E60B2B">
        <w:rPr>
          <w:rFonts w:cs="Lucida Sans Unicode"/>
          <w:bCs/>
          <w:sz w:val="20"/>
          <w:szCs w:val="20"/>
          <w:lang w:eastAsia="en-US"/>
        </w:rPr>
        <w:t>mit der Daimler AG.</w:t>
      </w:r>
      <w:r w:rsidR="00B10C25">
        <w:rPr>
          <w:rFonts w:cs="Lucida Sans Unicode"/>
          <w:bCs/>
          <w:sz w:val="20"/>
          <w:szCs w:val="20"/>
          <w:lang w:eastAsia="en-US"/>
        </w:rPr>
        <w:t xml:space="preserve"> </w:t>
      </w:r>
    </w:p>
    <w:p w:rsidR="00A02C86" w:rsidRDefault="00A02C86" w:rsidP="00A02C86">
      <w:pPr>
        <w:rPr>
          <w:bCs/>
          <w:lang w:eastAsia="en-US"/>
        </w:rPr>
      </w:pPr>
    </w:p>
    <w:p w:rsidR="00E60B2B" w:rsidRPr="006E71B7" w:rsidRDefault="002D2281" w:rsidP="00C66326">
      <w:pPr>
        <w:spacing w:line="300" w:lineRule="atLeast"/>
        <w:rPr>
          <w:bCs/>
          <w:sz w:val="20"/>
          <w:szCs w:val="20"/>
          <w:lang w:eastAsia="en-US"/>
        </w:rPr>
      </w:pPr>
      <w:r w:rsidRPr="006E71B7">
        <w:rPr>
          <w:bCs/>
          <w:sz w:val="20"/>
          <w:szCs w:val="20"/>
          <w:lang w:eastAsia="en-US"/>
        </w:rPr>
        <w:t xml:space="preserve">Insgesamt ging das </w:t>
      </w:r>
      <w:r w:rsidR="00E60B2B" w:rsidRPr="006E71B7">
        <w:rPr>
          <w:b/>
          <w:bCs/>
          <w:sz w:val="20"/>
          <w:szCs w:val="20"/>
          <w:lang w:eastAsia="en-US"/>
        </w:rPr>
        <w:t>Konzernergebnis</w:t>
      </w:r>
      <w:r w:rsidR="00E60B2B" w:rsidRPr="006E71B7">
        <w:rPr>
          <w:bCs/>
          <w:sz w:val="20"/>
          <w:szCs w:val="20"/>
          <w:lang w:eastAsia="en-US"/>
        </w:rPr>
        <w:t xml:space="preserve"> </w:t>
      </w:r>
      <w:r w:rsidR="00392FBF">
        <w:rPr>
          <w:bCs/>
          <w:sz w:val="20"/>
          <w:szCs w:val="20"/>
          <w:lang w:eastAsia="en-US"/>
        </w:rPr>
        <w:t xml:space="preserve">infolge </w:t>
      </w:r>
      <w:r w:rsidR="00E60B2B" w:rsidRPr="006E71B7">
        <w:rPr>
          <w:bCs/>
          <w:sz w:val="20"/>
          <w:szCs w:val="20"/>
          <w:lang w:eastAsia="en-US"/>
        </w:rPr>
        <w:t xml:space="preserve">der operativen Ergebnisabschwächung </w:t>
      </w:r>
      <w:r w:rsidR="00392FBF">
        <w:rPr>
          <w:bCs/>
          <w:sz w:val="20"/>
          <w:szCs w:val="20"/>
          <w:lang w:eastAsia="en-US"/>
        </w:rPr>
        <w:t xml:space="preserve">sowie </w:t>
      </w:r>
      <w:r w:rsidR="00CC673A">
        <w:rPr>
          <w:bCs/>
          <w:sz w:val="20"/>
          <w:szCs w:val="20"/>
          <w:lang w:eastAsia="en-US"/>
        </w:rPr>
        <w:t>von</w:t>
      </w:r>
      <w:r w:rsidR="00392FBF">
        <w:rPr>
          <w:bCs/>
          <w:sz w:val="20"/>
          <w:szCs w:val="20"/>
          <w:lang w:eastAsia="en-US"/>
        </w:rPr>
        <w:t xml:space="preserve"> Sonderbelastungen </w:t>
      </w:r>
      <w:r w:rsidR="00E60B2B" w:rsidRPr="006E71B7">
        <w:rPr>
          <w:bCs/>
          <w:sz w:val="20"/>
          <w:szCs w:val="20"/>
          <w:lang w:eastAsia="en-US"/>
        </w:rPr>
        <w:t xml:space="preserve">um 43 Prozent auf 166 Millionen € </w:t>
      </w:r>
      <w:r w:rsidRPr="006E71B7">
        <w:rPr>
          <w:bCs/>
          <w:sz w:val="20"/>
          <w:szCs w:val="20"/>
          <w:lang w:eastAsia="en-US"/>
        </w:rPr>
        <w:t xml:space="preserve">zurück </w:t>
      </w:r>
      <w:r w:rsidR="00E60B2B" w:rsidRPr="006E71B7">
        <w:rPr>
          <w:bCs/>
          <w:sz w:val="20"/>
          <w:szCs w:val="20"/>
          <w:lang w:eastAsia="en-US"/>
        </w:rPr>
        <w:t>(Vorjahresquartal: 293 Millionen €).</w:t>
      </w:r>
    </w:p>
    <w:p w:rsidR="00E60B2B" w:rsidRPr="006E71B7" w:rsidRDefault="00E60B2B" w:rsidP="00A02C86">
      <w:pPr>
        <w:rPr>
          <w:bCs/>
          <w:sz w:val="20"/>
          <w:szCs w:val="20"/>
          <w:lang w:eastAsia="en-US"/>
        </w:rPr>
      </w:pPr>
    </w:p>
    <w:p w:rsidR="00A02C86" w:rsidRPr="00D941D1" w:rsidRDefault="00A02C86" w:rsidP="00D941D1">
      <w:pPr>
        <w:spacing w:line="300" w:lineRule="atLeast"/>
        <w:rPr>
          <w:rFonts w:cs="Lucida Sans Unicode"/>
          <w:bCs/>
          <w:sz w:val="20"/>
          <w:szCs w:val="20"/>
        </w:rPr>
      </w:pPr>
      <w:r w:rsidRPr="00D941D1">
        <w:rPr>
          <w:rFonts w:cs="Lucida Sans Unicode"/>
          <w:bCs/>
          <w:sz w:val="20"/>
          <w:szCs w:val="20"/>
        </w:rPr>
        <w:t>Das</w:t>
      </w:r>
      <w:r w:rsidR="00B10C25">
        <w:rPr>
          <w:rFonts w:cs="Lucida Sans Unicode"/>
          <w:bCs/>
          <w:sz w:val="20"/>
          <w:szCs w:val="20"/>
        </w:rPr>
        <w:t xml:space="preserve"> </w:t>
      </w:r>
      <w:r w:rsidR="00B10C25" w:rsidRPr="00B10C25">
        <w:rPr>
          <w:rFonts w:cs="Lucida Sans Unicode"/>
          <w:b/>
          <w:bCs/>
          <w:sz w:val="20"/>
          <w:szCs w:val="20"/>
        </w:rPr>
        <w:t>bereinigte</w:t>
      </w:r>
      <w:r w:rsidRPr="00B10C25">
        <w:rPr>
          <w:rFonts w:cs="Lucida Sans Unicode"/>
          <w:b/>
          <w:bCs/>
          <w:sz w:val="20"/>
          <w:szCs w:val="20"/>
        </w:rPr>
        <w:t xml:space="preserve"> </w:t>
      </w:r>
      <w:r w:rsidRPr="00D941D1">
        <w:rPr>
          <w:rFonts w:cs="Lucida Sans Unicode"/>
          <w:b/>
          <w:sz w:val="20"/>
          <w:szCs w:val="20"/>
        </w:rPr>
        <w:t>Konzernergebnis</w:t>
      </w:r>
      <w:r w:rsidR="00B10C25">
        <w:rPr>
          <w:rFonts w:cs="Lucida Sans Unicode"/>
          <w:sz w:val="20"/>
          <w:szCs w:val="20"/>
        </w:rPr>
        <w:t>, das</w:t>
      </w:r>
      <w:r w:rsidR="00CC673A">
        <w:rPr>
          <w:rFonts w:cs="Lucida Sans Unicode"/>
          <w:sz w:val="20"/>
          <w:szCs w:val="20"/>
        </w:rPr>
        <w:t xml:space="preserve"> die operative Entwicklung der f</w:t>
      </w:r>
      <w:r w:rsidR="00B10C25">
        <w:rPr>
          <w:rFonts w:cs="Lucida Sans Unicode"/>
          <w:sz w:val="20"/>
          <w:szCs w:val="20"/>
        </w:rPr>
        <w:t xml:space="preserve">ortgeführten Aktivitäten </w:t>
      </w:r>
      <w:r w:rsidR="00CC673A">
        <w:rPr>
          <w:rFonts w:cs="Lucida Sans Unicode"/>
          <w:sz w:val="20"/>
          <w:szCs w:val="20"/>
        </w:rPr>
        <w:t>widerspiegelt</w:t>
      </w:r>
      <w:r w:rsidR="00B10C25">
        <w:rPr>
          <w:rFonts w:cs="Lucida Sans Unicode"/>
          <w:sz w:val="20"/>
          <w:szCs w:val="20"/>
        </w:rPr>
        <w:t xml:space="preserve">, </w:t>
      </w:r>
      <w:r w:rsidR="002D2281">
        <w:rPr>
          <w:rFonts w:cs="Lucida Sans Unicode"/>
          <w:sz w:val="20"/>
          <w:szCs w:val="20"/>
        </w:rPr>
        <w:t xml:space="preserve">verringerte sich </w:t>
      </w:r>
      <w:r w:rsidR="00B10C25">
        <w:rPr>
          <w:rFonts w:cs="Lucida Sans Unicode"/>
          <w:sz w:val="20"/>
          <w:szCs w:val="20"/>
        </w:rPr>
        <w:t>um 39 Prozent auf 187 Millionen € (Vorjahr</w:t>
      </w:r>
      <w:r w:rsidR="00BF4B27">
        <w:rPr>
          <w:rFonts w:cs="Lucida Sans Unicode"/>
          <w:sz w:val="20"/>
          <w:szCs w:val="20"/>
        </w:rPr>
        <w:t>esquartal</w:t>
      </w:r>
      <w:r w:rsidR="00B10C25">
        <w:rPr>
          <w:rFonts w:cs="Lucida Sans Unicode"/>
          <w:sz w:val="20"/>
          <w:szCs w:val="20"/>
        </w:rPr>
        <w:t>: 305 Millionen €</w:t>
      </w:r>
      <w:r w:rsidR="006F450F">
        <w:rPr>
          <w:rFonts w:cs="Lucida Sans Unicode"/>
          <w:sz w:val="20"/>
          <w:szCs w:val="20"/>
        </w:rPr>
        <w:t>)</w:t>
      </w:r>
      <w:r w:rsidR="00B10C25">
        <w:rPr>
          <w:rFonts w:cs="Lucida Sans Unicode"/>
          <w:sz w:val="20"/>
          <w:szCs w:val="20"/>
        </w:rPr>
        <w:t xml:space="preserve">. </w:t>
      </w:r>
      <w:r w:rsidRPr="00D941D1">
        <w:rPr>
          <w:rFonts w:cs="Lucida Sans Unicode"/>
          <w:bCs/>
          <w:sz w:val="20"/>
          <w:szCs w:val="20"/>
        </w:rPr>
        <w:t xml:space="preserve">Das </w:t>
      </w:r>
      <w:r w:rsidR="00B10C25">
        <w:rPr>
          <w:rFonts w:cs="Lucida Sans Unicode"/>
          <w:b/>
          <w:bCs/>
          <w:sz w:val="20"/>
          <w:szCs w:val="20"/>
        </w:rPr>
        <w:t xml:space="preserve">bereinigte </w:t>
      </w:r>
      <w:r w:rsidRPr="00D941D1">
        <w:rPr>
          <w:rFonts w:cs="Lucida Sans Unicode"/>
          <w:b/>
          <w:bCs/>
          <w:sz w:val="20"/>
          <w:szCs w:val="20"/>
        </w:rPr>
        <w:t>Ergebnis je Aktie</w:t>
      </w:r>
      <w:r w:rsidRPr="00D941D1">
        <w:rPr>
          <w:rFonts w:cs="Lucida Sans Unicode"/>
          <w:bCs/>
          <w:sz w:val="20"/>
          <w:szCs w:val="20"/>
        </w:rPr>
        <w:t xml:space="preserve"> </w:t>
      </w:r>
      <w:r w:rsidR="00EF611C">
        <w:rPr>
          <w:rFonts w:cs="Lucida Sans Unicode"/>
          <w:bCs/>
          <w:sz w:val="20"/>
          <w:szCs w:val="20"/>
        </w:rPr>
        <w:t>ging entsprechend von 0,</w:t>
      </w:r>
      <w:r w:rsidR="00434649">
        <w:rPr>
          <w:rFonts w:cs="Lucida Sans Unicode"/>
          <w:bCs/>
          <w:sz w:val="20"/>
          <w:szCs w:val="20"/>
        </w:rPr>
        <w:t>65</w:t>
      </w:r>
      <w:r w:rsidR="00EF611C">
        <w:rPr>
          <w:rFonts w:cs="Lucida Sans Unicode"/>
          <w:bCs/>
          <w:sz w:val="20"/>
          <w:szCs w:val="20"/>
        </w:rPr>
        <w:t xml:space="preserve"> € auf </w:t>
      </w:r>
      <w:r w:rsidRPr="00D941D1">
        <w:rPr>
          <w:rFonts w:cs="Lucida Sans Unicode"/>
          <w:bCs/>
          <w:sz w:val="20"/>
          <w:szCs w:val="20"/>
        </w:rPr>
        <w:t>0,</w:t>
      </w:r>
      <w:r w:rsidR="00EF611C">
        <w:rPr>
          <w:rFonts w:cs="Lucida Sans Unicode"/>
          <w:bCs/>
          <w:sz w:val="20"/>
          <w:szCs w:val="20"/>
        </w:rPr>
        <w:t>40</w:t>
      </w:r>
      <w:r w:rsidRPr="00D941D1">
        <w:rPr>
          <w:rFonts w:cs="Lucida Sans Unicode"/>
          <w:bCs/>
          <w:sz w:val="20"/>
          <w:szCs w:val="20"/>
        </w:rPr>
        <w:t xml:space="preserve"> €</w:t>
      </w:r>
      <w:r w:rsidR="00EF611C">
        <w:rPr>
          <w:rFonts w:cs="Lucida Sans Unicode"/>
          <w:bCs/>
          <w:sz w:val="20"/>
          <w:szCs w:val="20"/>
        </w:rPr>
        <w:t xml:space="preserve"> zurück</w:t>
      </w:r>
      <w:r w:rsidRPr="00D941D1">
        <w:rPr>
          <w:rFonts w:cs="Lucida Sans Unicode"/>
          <w:bCs/>
          <w:sz w:val="20"/>
          <w:szCs w:val="20"/>
        </w:rPr>
        <w:t xml:space="preserve">. </w:t>
      </w:r>
    </w:p>
    <w:p w:rsidR="00A02C86" w:rsidRPr="00D941D1" w:rsidRDefault="00A02C86" w:rsidP="00D941D1">
      <w:pPr>
        <w:spacing w:line="300" w:lineRule="atLeast"/>
        <w:rPr>
          <w:rFonts w:cs="Lucida Sans Unicode"/>
          <w:bCs/>
          <w:sz w:val="20"/>
          <w:szCs w:val="20"/>
        </w:rPr>
      </w:pPr>
    </w:p>
    <w:p w:rsidR="00A02C86" w:rsidRPr="00D941D1" w:rsidRDefault="00A02C86" w:rsidP="009D4D03">
      <w:pPr>
        <w:spacing w:line="300" w:lineRule="atLeast"/>
        <w:ind w:left="57" w:right="-64"/>
        <w:rPr>
          <w:rFonts w:cs="Lucida Sans Unicode"/>
          <w:bCs/>
          <w:sz w:val="20"/>
          <w:szCs w:val="20"/>
        </w:rPr>
      </w:pPr>
      <w:r w:rsidRPr="00D941D1">
        <w:rPr>
          <w:rFonts w:cs="Lucida Sans Unicode"/>
          <w:bCs/>
          <w:sz w:val="20"/>
          <w:szCs w:val="20"/>
        </w:rPr>
        <w:t xml:space="preserve">Der </w:t>
      </w:r>
      <w:r w:rsidRPr="00D941D1">
        <w:rPr>
          <w:rFonts w:cs="Lucida Sans Unicode"/>
          <w:b/>
          <w:sz w:val="20"/>
          <w:szCs w:val="20"/>
        </w:rPr>
        <w:t>Cashflow aus laufender Geschäftstätigkeit der fortgeführten Aktivitäten</w:t>
      </w:r>
      <w:r w:rsidRPr="00D941D1">
        <w:rPr>
          <w:rFonts w:cs="Lucida Sans Unicode"/>
          <w:bCs/>
          <w:sz w:val="20"/>
          <w:szCs w:val="20"/>
        </w:rPr>
        <w:t xml:space="preserve"> </w:t>
      </w:r>
      <w:r w:rsidR="00E9676A">
        <w:rPr>
          <w:rFonts w:cs="Lucida Sans Unicode"/>
          <w:bCs/>
          <w:sz w:val="20"/>
          <w:szCs w:val="20"/>
        </w:rPr>
        <w:t xml:space="preserve">verbesserte sich </w:t>
      </w:r>
      <w:r w:rsidRPr="00D941D1">
        <w:rPr>
          <w:rFonts w:cs="Lucida Sans Unicode"/>
          <w:bCs/>
          <w:sz w:val="20"/>
          <w:szCs w:val="20"/>
        </w:rPr>
        <w:t>im ersten Quartal 201</w:t>
      </w:r>
      <w:r w:rsidR="00E9676A">
        <w:rPr>
          <w:rFonts w:cs="Lucida Sans Unicode"/>
          <w:bCs/>
          <w:sz w:val="20"/>
          <w:szCs w:val="20"/>
        </w:rPr>
        <w:t>4</w:t>
      </w:r>
      <w:r w:rsidRPr="00D941D1">
        <w:rPr>
          <w:rFonts w:cs="Lucida Sans Unicode"/>
          <w:bCs/>
          <w:sz w:val="20"/>
          <w:szCs w:val="20"/>
        </w:rPr>
        <w:t xml:space="preserve"> </w:t>
      </w:r>
      <w:r w:rsidR="00DF3986" w:rsidRPr="00E60B2B">
        <w:rPr>
          <w:rFonts w:cs="Lucida Sans Unicode"/>
          <w:bCs/>
          <w:sz w:val="20"/>
          <w:szCs w:val="20"/>
        </w:rPr>
        <w:t xml:space="preserve">im Wesentlichen aufgrund des geringeren Aufbaus des Nettoumlaufvermögens sowie </w:t>
      </w:r>
      <w:r w:rsidR="00DF3986" w:rsidRPr="00E60B2B">
        <w:rPr>
          <w:rFonts w:cs="Lucida Sans Unicode"/>
          <w:bCs/>
          <w:sz w:val="20"/>
          <w:szCs w:val="20"/>
        </w:rPr>
        <w:lastRenderedPageBreak/>
        <w:t xml:space="preserve">niedrigerer </w:t>
      </w:r>
      <w:proofErr w:type="spellStart"/>
      <w:r w:rsidR="00DF3986" w:rsidRPr="00E60B2B">
        <w:rPr>
          <w:rFonts w:cs="Lucida Sans Unicode"/>
          <w:bCs/>
          <w:sz w:val="20"/>
          <w:szCs w:val="20"/>
        </w:rPr>
        <w:t>Ertragsteuerzahlungen</w:t>
      </w:r>
      <w:proofErr w:type="spellEnd"/>
      <w:r w:rsidR="00554955">
        <w:rPr>
          <w:rFonts w:cs="Lucida Sans Unicode"/>
          <w:bCs/>
          <w:sz w:val="20"/>
          <w:szCs w:val="20"/>
        </w:rPr>
        <w:t xml:space="preserve"> </w:t>
      </w:r>
      <w:r w:rsidRPr="00D941D1">
        <w:rPr>
          <w:rFonts w:cs="Lucida Sans Unicode"/>
          <w:bCs/>
          <w:sz w:val="20"/>
          <w:szCs w:val="20"/>
        </w:rPr>
        <w:t xml:space="preserve">um </w:t>
      </w:r>
      <w:r w:rsidR="00E60B2B">
        <w:rPr>
          <w:rFonts w:cs="Lucida Sans Unicode"/>
          <w:bCs/>
          <w:sz w:val="20"/>
          <w:szCs w:val="20"/>
        </w:rPr>
        <w:t>138</w:t>
      </w:r>
      <w:r w:rsidRPr="00D941D1">
        <w:rPr>
          <w:rFonts w:cs="Lucida Sans Unicode"/>
          <w:bCs/>
          <w:sz w:val="20"/>
          <w:szCs w:val="20"/>
        </w:rPr>
        <w:t xml:space="preserve"> Millionen € auf </w:t>
      </w:r>
      <w:r w:rsidR="00DF3986">
        <w:rPr>
          <w:rFonts w:cs="Lucida Sans Unicode"/>
          <w:bCs/>
          <w:sz w:val="20"/>
          <w:szCs w:val="20"/>
        </w:rPr>
        <w:t>32</w:t>
      </w:r>
      <w:r w:rsidR="00E60B2B">
        <w:rPr>
          <w:rFonts w:cs="Lucida Sans Unicode"/>
          <w:bCs/>
          <w:sz w:val="20"/>
          <w:szCs w:val="20"/>
        </w:rPr>
        <w:t>2</w:t>
      </w:r>
      <w:r w:rsidRPr="00D941D1">
        <w:rPr>
          <w:rFonts w:cs="Lucida Sans Unicode"/>
          <w:bCs/>
          <w:sz w:val="20"/>
          <w:szCs w:val="20"/>
        </w:rPr>
        <w:t xml:space="preserve"> Millionen €. </w:t>
      </w:r>
      <w:r w:rsidR="00554955">
        <w:rPr>
          <w:rFonts w:cs="Lucida Sans Unicode"/>
          <w:bCs/>
          <w:sz w:val="20"/>
          <w:szCs w:val="20"/>
        </w:rPr>
        <w:t xml:space="preserve">Einschließlich des Cashflows der </w:t>
      </w:r>
      <w:r w:rsidRPr="00D941D1">
        <w:rPr>
          <w:rFonts w:cs="Lucida Sans Unicode"/>
          <w:bCs/>
          <w:sz w:val="20"/>
          <w:szCs w:val="20"/>
        </w:rPr>
        <w:t xml:space="preserve">nicht fortgeführten Aktivitäten </w:t>
      </w:r>
      <w:r w:rsidR="00554955">
        <w:rPr>
          <w:rFonts w:cs="Lucida Sans Unicode"/>
          <w:bCs/>
          <w:sz w:val="20"/>
          <w:szCs w:val="20"/>
        </w:rPr>
        <w:t>stieg</w:t>
      </w:r>
      <w:r w:rsidRPr="00D941D1">
        <w:rPr>
          <w:rFonts w:cs="Lucida Sans Unicode"/>
          <w:bCs/>
          <w:sz w:val="20"/>
          <w:szCs w:val="20"/>
        </w:rPr>
        <w:t xml:space="preserve"> der </w:t>
      </w:r>
      <w:r w:rsidRPr="00D941D1">
        <w:rPr>
          <w:rFonts w:cs="Lucida Sans Unicode"/>
          <w:b/>
          <w:bCs/>
          <w:sz w:val="20"/>
          <w:szCs w:val="20"/>
        </w:rPr>
        <w:t>Cashflow aus laufender Geschäftstätigkeit</w:t>
      </w:r>
      <w:r w:rsidRPr="00D941D1">
        <w:rPr>
          <w:rFonts w:cs="Lucida Sans Unicode"/>
          <w:bCs/>
          <w:sz w:val="20"/>
          <w:szCs w:val="20"/>
        </w:rPr>
        <w:t xml:space="preserve"> um </w:t>
      </w:r>
      <w:r w:rsidR="00E60B2B">
        <w:rPr>
          <w:rFonts w:cs="Lucida Sans Unicode"/>
          <w:bCs/>
          <w:sz w:val="20"/>
          <w:szCs w:val="20"/>
        </w:rPr>
        <w:t>127</w:t>
      </w:r>
      <w:r w:rsidRPr="00D941D1">
        <w:rPr>
          <w:rFonts w:cs="Lucida Sans Unicode"/>
          <w:bCs/>
          <w:sz w:val="20"/>
          <w:szCs w:val="20"/>
        </w:rPr>
        <w:t xml:space="preserve"> Millionen € auf </w:t>
      </w:r>
      <w:r w:rsidR="00554955">
        <w:rPr>
          <w:rFonts w:cs="Lucida Sans Unicode"/>
          <w:bCs/>
          <w:sz w:val="20"/>
          <w:szCs w:val="20"/>
        </w:rPr>
        <w:t>31</w:t>
      </w:r>
      <w:r w:rsidR="00E60B2B">
        <w:rPr>
          <w:rFonts w:cs="Lucida Sans Unicode"/>
          <w:bCs/>
          <w:sz w:val="20"/>
          <w:szCs w:val="20"/>
        </w:rPr>
        <w:t>5</w:t>
      </w:r>
      <w:r w:rsidRPr="00D941D1">
        <w:rPr>
          <w:rFonts w:cs="Lucida Sans Unicode"/>
          <w:bCs/>
          <w:sz w:val="20"/>
          <w:szCs w:val="20"/>
        </w:rPr>
        <w:t xml:space="preserve"> Millionen €.</w:t>
      </w:r>
    </w:p>
    <w:p w:rsidR="00A02C86" w:rsidRPr="00B13E9A" w:rsidRDefault="00A02C86" w:rsidP="00A02C86">
      <w:pPr>
        <w:rPr>
          <w:bCs/>
        </w:rPr>
      </w:pPr>
    </w:p>
    <w:p w:rsidR="00E73B40" w:rsidRDefault="00A02C86" w:rsidP="00D941D1">
      <w:pPr>
        <w:spacing w:line="300" w:lineRule="exact"/>
        <w:rPr>
          <w:rFonts w:cs="Lucida Sans Unicode"/>
          <w:bCs/>
          <w:sz w:val="20"/>
          <w:szCs w:val="20"/>
        </w:rPr>
      </w:pPr>
      <w:r w:rsidRPr="00D941D1">
        <w:rPr>
          <w:rFonts w:cs="Lucida Sans Unicode"/>
          <w:bCs/>
          <w:sz w:val="20"/>
          <w:szCs w:val="20"/>
        </w:rPr>
        <w:t xml:space="preserve">Die </w:t>
      </w:r>
      <w:r w:rsidRPr="00D941D1">
        <w:rPr>
          <w:rFonts w:cs="Lucida Sans Unicode"/>
          <w:b/>
          <w:sz w:val="20"/>
          <w:szCs w:val="20"/>
        </w:rPr>
        <w:t>Sachinvestitionen</w:t>
      </w:r>
      <w:r w:rsidRPr="00D941D1">
        <w:rPr>
          <w:rFonts w:cs="Lucida Sans Unicode"/>
          <w:bCs/>
          <w:sz w:val="20"/>
          <w:szCs w:val="20"/>
        </w:rPr>
        <w:t xml:space="preserve"> erhöhten sich um 1</w:t>
      </w:r>
      <w:r w:rsidR="00CA77CF">
        <w:rPr>
          <w:rFonts w:cs="Lucida Sans Unicode"/>
          <w:bCs/>
          <w:sz w:val="20"/>
          <w:szCs w:val="20"/>
        </w:rPr>
        <w:t>7</w:t>
      </w:r>
      <w:r w:rsidRPr="00D941D1">
        <w:rPr>
          <w:rFonts w:cs="Lucida Sans Unicode"/>
          <w:bCs/>
          <w:sz w:val="20"/>
          <w:szCs w:val="20"/>
        </w:rPr>
        <w:t xml:space="preserve"> Prozent auf </w:t>
      </w:r>
      <w:r w:rsidR="00CA77CF">
        <w:rPr>
          <w:rFonts w:cs="Lucida Sans Unicode"/>
          <w:bCs/>
          <w:sz w:val="20"/>
          <w:szCs w:val="20"/>
        </w:rPr>
        <w:t>209</w:t>
      </w:r>
      <w:r w:rsidRPr="00D941D1">
        <w:rPr>
          <w:rFonts w:cs="Lucida Sans Unicode"/>
          <w:bCs/>
          <w:sz w:val="20"/>
          <w:szCs w:val="20"/>
        </w:rPr>
        <w:t> Millionen € (Vorjahr</w:t>
      </w:r>
      <w:r w:rsidR="002A551A">
        <w:rPr>
          <w:rFonts w:cs="Lucida Sans Unicode"/>
          <w:bCs/>
          <w:sz w:val="20"/>
          <w:szCs w:val="20"/>
        </w:rPr>
        <w:t>esquartal</w:t>
      </w:r>
      <w:r w:rsidRPr="00D941D1">
        <w:rPr>
          <w:rFonts w:cs="Lucida Sans Unicode"/>
          <w:bCs/>
          <w:sz w:val="20"/>
          <w:szCs w:val="20"/>
        </w:rPr>
        <w:t>: 1</w:t>
      </w:r>
      <w:r w:rsidR="00CA77CF">
        <w:rPr>
          <w:rFonts w:cs="Lucida Sans Unicode"/>
          <w:bCs/>
          <w:sz w:val="20"/>
          <w:szCs w:val="20"/>
        </w:rPr>
        <w:t>78</w:t>
      </w:r>
      <w:r w:rsidRPr="00D941D1">
        <w:rPr>
          <w:rFonts w:cs="Lucida Sans Unicode"/>
          <w:bCs/>
          <w:sz w:val="20"/>
          <w:szCs w:val="20"/>
        </w:rPr>
        <w:t xml:space="preserve"> Millionen €). 3</w:t>
      </w:r>
      <w:r w:rsidR="00CA77CF">
        <w:rPr>
          <w:rFonts w:cs="Lucida Sans Unicode"/>
          <w:bCs/>
          <w:sz w:val="20"/>
          <w:szCs w:val="20"/>
        </w:rPr>
        <w:t>9</w:t>
      </w:r>
      <w:r w:rsidRPr="00D941D1">
        <w:rPr>
          <w:rFonts w:cs="Lucida Sans Unicode"/>
          <w:bCs/>
          <w:sz w:val="20"/>
          <w:szCs w:val="20"/>
        </w:rPr>
        <w:t xml:space="preserve"> Prozent der Sachinvestitionen entfielen auf das Segment Consumer, </w:t>
      </w:r>
      <w:proofErr w:type="spellStart"/>
      <w:r w:rsidRPr="00D941D1">
        <w:rPr>
          <w:rFonts w:cs="Lucida Sans Unicode"/>
          <w:bCs/>
          <w:sz w:val="20"/>
          <w:szCs w:val="20"/>
        </w:rPr>
        <w:t>Health</w:t>
      </w:r>
      <w:proofErr w:type="spellEnd"/>
      <w:r w:rsidRPr="00D941D1">
        <w:rPr>
          <w:rFonts w:cs="Lucida Sans Unicode"/>
          <w:bCs/>
          <w:sz w:val="20"/>
          <w:szCs w:val="20"/>
        </w:rPr>
        <w:t xml:space="preserve"> &amp; Nutrition, 27 Prozent auf das Segment Specialty Materials und 2</w:t>
      </w:r>
      <w:r w:rsidR="00CA77CF">
        <w:rPr>
          <w:rFonts w:cs="Lucida Sans Unicode"/>
          <w:bCs/>
          <w:sz w:val="20"/>
          <w:szCs w:val="20"/>
        </w:rPr>
        <w:t>1</w:t>
      </w:r>
      <w:r w:rsidRPr="00D941D1">
        <w:rPr>
          <w:rFonts w:cs="Lucida Sans Unicode"/>
          <w:bCs/>
          <w:sz w:val="20"/>
          <w:szCs w:val="20"/>
        </w:rPr>
        <w:t xml:space="preserve"> Prozent auf das Segment Resource Efficiency. </w:t>
      </w:r>
    </w:p>
    <w:p w:rsidR="00E73B40" w:rsidRDefault="00E73B40" w:rsidP="00D941D1">
      <w:pPr>
        <w:spacing w:line="300" w:lineRule="exact"/>
        <w:rPr>
          <w:rFonts w:cs="Lucida Sans Unicode"/>
          <w:bCs/>
          <w:sz w:val="20"/>
          <w:szCs w:val="20"/>
        </w:rPr>
      </w:pPr>
    </w:p>
    <w:p w:rsidR="00AE79A1" w:rsidRDefault="00E73B40" w:rsidP="00D941D1">
      <w:pPr>
        <w:spacing w:line="300" w:lineRule="exact"/>
        <w:rPr>
          <w:rFonts w:cs="Lucida Sans Unicode"/>
          <w:bCs/>
          <w:sz w:val="20"/>
          <w:szCs w:val="20"/>
        </w:rPr>
      </w:pPr>
      <w:r>
        <w:rPr>
          <w:rFonts w:cs="Lucida Sans Unicode"/>
          <w:bCs/>
          <w:sz w:val="20"/>
          <w:szCs w:val="20"/>
        </w:rPr>
        <w:t xml:space="preserve">In Schanghai (China) </w:t>
      </w:r>
      <w:r w:rsidR="009A5B4B">
        <w:rPr>
          <w:rFonts w:cs="Lucida Sans Unicode"/>
          <w:bCs/>
          <w:sz w:val="20"/>
          <w:szCs w:val="20"/>
        </w:rPr>
        <w:t>werden</w:t>
      </w:r>
      <w:r>
        <w:rPr>
          <w:rFonts w:cs="Lucida Sans Unicode"/>
          <w:bCs/>
          <w:sz w:val="20"/>
          <w:szCs w:val="20"/>
        </w:rPr>
        <w:t xml:space="preserve"> neue Produktionsanlagen für </w:t>
      </w:r>
      <w:proofErr w:type="spellStart"/>
      <w:r>
        <w:rPr>
          <w:rFonts w:cs="Lucida Sans Unicode"/>
          <w:bCs/>
          <w:sz w:val="20"/>
          <w:szCs w:val="20"/>
        </w:rPr>
        <w:t>Isophoron</w:t>
      </w:r>
      <w:proofErr w:type="spellEnd"/>
      <w:r>
        <w:rPr>
          <w:rFonts w:cs="Lucida Sans Unicode"/>
          <w:bCs/>
          <w:sz w:val="20"/>
          <w:szCs w:val="20"/>
        </w:rPr>
        <w:t xml:space="preserve"> und </w:t>
      </w:r>
      <w:proofErr w:type="spellStart"/>
      <w:r>
        <w:rPr>
          <w:rFonts w:cs="Lucida Sans Unicode"/>
          <w:bCs/>
          <w:sz w:val="20"/>
          <w:szCs w:val="20"/>
        </w:rPr>
        <w:t>Isophorondiamin</w:t>
      </w:r>
      <w:proofErr w:type="spellEnd"/>
      <w:r>
        <w:rPr>
          <w:rFonts w:cs="Lucida Sans Unicode"/>
          <w:bCs/>
          <w:sz w:val="20"/>
          <w:szCs w:val="20"/>
        </w:rPr>
        <w:t xml:space="preserve"> fertiggestellt. </w:t>
      </w:r>
      <w:r w:rsidR="00AE79A1">
        <w:rPr>
          <w:rFonts w:cs="Lucida Sans Unicode"/>
          <w:bCs/>
          <w:sz w:val="20"/>
          <w:szCs w:val="20"/>
        </w:rPr>
        <w:t xml:space="preserve">Das Investitionsvolumen liegt bei mehr als 100 Millionen €. Die </w:t>
      </w:r>
      <w:proofErr w:type="spellStart"/>
      <w:r w:rsidR="00AE79A1">
        <w:rPr>
          <w:rFonts w:cs="Lucida Sans Unicode"/>
          <w:bCs/>
          <w:sz w:val="20"/>
          <w:szCs w:val="20"/>
        </w:rPr>
        <w:t>Isophoronchemie</w:t>
      </w:r>
      <w:proofErr w:type="spellEnd"/>
      <w:r w:rsidR="00AE79A1">
        <w:rPr>
          <w:rFonts w:cs="Lucida Sans Unicode"/>
          <w:bCs/>
          <w:sz w:val="20"/>
          <w:szCs w:val="20"/>
        </w:rPr>
        <w:t xml:space="preserve"> verlängert beispielsweise die Lebensdauer stark beanspruchter Oberflächen und ermöglicht umweltfreundliche Lacktechnologien. </w:t>
      </w:r>
    </w:p>
    <w:p w:rsidR="00A02C86" w:rsidRPr="00D941D1" w:rsidRDefault="00E60B2B" w:rsidP="00D941D1">
      <w:pPr>
        <w:spacing w:line="300" w:lineRule="exact"/>
        <w:rPr>
          <w:rFonts w:cs="Lucida Sans Unicode"/>
          <w:bCs/>
          <w:sz w:val="20"/>
          <w:szCs w:val="20"/>
        </w:rPr>
      </w:pPr>
      <w:r>
        <w:rPr>
          <w:rFonts w:cs="Lucida Sans Unicode"/>
          <w:bCs/>
          <w:sz w:val="20"/>
          <w:szCs w:val="20"/>
        </w:rPr>
        <w:t>Seit</w:t>
      </w:r>
      <w:r w:rsidR="00AE79A1">
        <w:rPr>
          <w:rFonts w:cs="Lucida Sans Unicode"/>
          <w:bCs/>
          <w:sz w:val="20"/>
          <w:szCs w:val="20"/>
        </w:rPr>
        <w:t xml:space="preserve"> 2010 erhöht Evonik weltweit seine Kapazitäten für gefällte Kieselsäuren und eröffnete im März 201</w:t>
      </w:r>
      <w:r w:rsidR="00264610">
        <w:rPr>
          <w:rFonts w:cs="Lucida Sans Unicode"/>
          <w:bCs/>
          <w:sz w:val="20"/>
          <w:szCs w:val="20"/>
        </w:rPr>
        <w:t>4</w:t>
      </w:r>
      <w:r w:rsidR="00AE79A1">
        <w:rPr>
          <w:rFonts w:cs="Lucida Sans Unicode"/>
          <w:bCs/>
          <w:sz w:val="20"/>
          <w:szCs w:val="20"/>
        </w:rPr>
        <w:t xml:space="preserve"> i</w:t>
      </w:r>
      <w:r w:rsidR="00B70CCD">
        <w:rPr>
          <w:rFonts w:cs="Lucida Sans Unicode"/>
          <w:bCs/>
          <w:sz w:val="20"/>
          <w:szCs w:val="20"/>
        </w:rPr>
        <w:t xml:space="preserve">n </w:t>
      </w:r>
      <w:proofErr w:type="spellStart"/>
      <w:r w:rsidR="00E73B40">
        <w:rPr>
          <w:rFonts w:cs="Lucida Sans Unicode"/>
          <w:bCs/>
          <w:sz w:val="20"/>
          <w:szCs w:val="20"/>
        </w:rPr>
        <w:t>Rayong</w:t>
      </w:r>
      <w:proofErr w:type="spellEnd"/>
      <w:r w:rsidR="00E73B40">
        <w:rPr>
          <w:rFonts w:cs="Lucida Sans Unicode"/>
          <w:bCs/>
          <w:sz w:val="20"/>
          <w:szCs w:val="20"/>
        </w:rPr>
        <w:t xml:space="preserve"> </w:t>
      </w:r>
      <w:r w:rsidR="00B70CCD">
        <w:rPr>
          <w:rFonts w:cs="Lucida Sans Unicode"/>
          <w:bCs/>
          <w:sz w:val="20"/>
          <w:szCs w:val="20"/>
        </w:rPr>
        <w:t xml:space="preserve">(Thailand) </w:t>
      </w:r>
      <w:r w:rsidR="00AE79A1">
        <w:rPr>
          <w:rFonts w:cs="Lucida Sans Unicode"/>
          <w:bCs/>
          <w:sz w:val="20"/>
          <w:szCs w:val="20"/>
        </w:rPr>
        <w:t>eine erweiterte Produktionsanlage. Treiber des Wachstums in Südostasien sind insbesondere kraftstoffsparende Reifen und Life-Science-Anwendungen.</w:t>
      </w:r>
      <w:r w:rsidR="00E73B40">
        <w:rPr>
          <w:rFonts w:cs="Lucida Sans Unicode"/>
          <w:bCs/>
          <w:sz w:val="20"/>
          <w:szCs w:val="20"/>
        </w:rPr>
        <w:t xml:space="preserve"> </w:t>
      </w:r>
    </w:p>
    <w:p w:rsidR="00A02C86" w:rsidRPr="00D941D1" w:rsidRDefault="00A02C86" w:rsidP="00D941D1">
      <w:pPr>
        <w:spacing w:line="300" w:lineRule="exact"/>
        <w:rPr>
          <w:rFonts w:cs="Lucida Sans Unicode"/>
          <w:bCs/>
          <w:sz w:val="20"/>
          <w:szCs w:val="20"/>
        </w:rPr>
      </w:pPr>
    </w:p>
    <w:p w:rsidR="00A02C86" w:rsidRDefault="00B23C23" w:rsidP="00D941D1">
      <w:pPr>
        <w:spacing w:line="300" w:lineRule="exact"/>
        <w:rPr>
          <w:rFonts w:cs="Lucida Sans Unicode"/>
          <w:bCs/>
          <w:sz w:val="20"/>
          <w:szCs w:val="20"/>
        </w:rPr>
      </w:pPr>
      <w:r>
        <w:rPr>
          <w:rFonts w:cs="Lucida Sans Unicode"/>
          <w:bCs/>
          <w:sz w:val="20"/>
          <w:szCs w:val="20"/>
        </w:rPr>
        <w:t>Evonik hat sein</w:t>
      </w:r>
      <w:r w:rsidR="009A7FFC">
        <w:rPr>
          <w:rFonts w:cs="Lucida Sans Unicode"/>
          <w:bCs/>
          <w:sz w:val="20"/>
          <w:szCs w:val="20"/>
        </w:rPr>
        <w:t>e Nettofinanzposition w</w:t>
      </w:r>
      <w:r>
        <w:rPr>
          <w:rFonts w:cs="Lucida Sans Unicode"/>
          <w:bCs/>
          <w:sz w:val="20"/>
          <w:szCs w:val="20"/>
        </w:rPr>
        <w:t>eiter verbessert. So verfügt</w:t>
      </w:r>
      <w:r w:rsidR="005451C4">
        <w:rPr>
          <w:rFonts w:cs="Lucida Sans Unicode"/>
          <w:bCs/>
          <w:sz w:val="20"/>
          <w:szCs w:val="20"/>
        </w:rPr>
        <w:t>e</w:t>
      </w:r>
      <w:r>
        <w:rPr>
          <w:rFonts w:cs="Lucida Sans Unicode"/>
          <w:bCs/>
          <w:sz w:val="20"/>
          <w:szCs w:val="20"/>
        </w:rPr>
        <w:t xml:space="preserve"> das Unternehmen Ende März 2014 über ein </w:t>
      </w:r>
      <w:r w:rsidR="00BF4B27" w:rsidRPr="002A492F">
        <w:rPr>
          <w:rFonts w:cs="Lucida Sans Unicode"/>
          <w:b/>
          <w:bCs/>
          <w:sz w:val="20"/>
          <w:szCs w:val="20"/>
        </w:rPr>
        <w:t>Nettofinanzvermögen</w:t>
      </w:r>
      <w:r w:rsidR="00BF4B27">
        <w:rPr>
          <w:rFonts w:cs="Lucida Sans Unicode"/>
          <w:bCs/>
          <w:sz w:val="20"/>
          <w:szCs w:val="20"/>
        </w:rPr>
        <w:t xml:space="preserve"> </w:t>
      </w:r>
      <w:r>
        <w:rPr>
          <w:rFonts w:cs="Lucida Sans Unicode"/>
          <w:bCs/>
          <w:sz w:val="20"/>
          <w:szCs w:val="20"/>
        </w:rPr>
        <w:t>von</w:t>
      </w:r>
      <w:r w:rsidR="00BF4B27">
        <w:rPr>
          <w:rFonts w:cs="Lucida Sans Unicode"/>
          <w:bCs/>
          <w:sz w:val="20"/>
          <w:szCs w:val="20"/>
        </w:rPr>
        <w:t xml:space="preserve"> 5</w:t>
      </w:r>
      <w:r w:rsidR="00114650">
        <w:rPr>
          <w:rFonts w:cs="Lucida Sans Unicode"/>
          <w:bCs/>
          <w:sz w:val="20"/>
          <w:szCs w:val="20"/>
        </w:rPr>
        <w:t>83</w:t>
      </w:r>
      <w:r w:rsidR="00BF4B27">
        <w:rPr>
          <w:rFonts w:cs="Lucida Sans Unicode"/>
          <w:bCs/>
          <w:sz w:val="20"/>
          <w:szCs w:val="20"/>
        </w:rPr>
        <w:t xml:space="preserve"> Millionen €</w:t>
      </w:r>
      <w:r>
        <w:rPr>
          <w:rFonts w:cs="Lucida Sans Unicode"/>
          <w:bCs/>
          <w:sz w:val="20"/>
          <w:szCs w:val="20"/>
        </w:rPr>
        <w:t xml:space="preserve">, das </w:t>
      </w:r>
      <w:r w:rsidR="00BF4B27">
        <w:rPr>
          <w:rFonts w:cs="Lucida Sans Unicode"/>
          <w:bCs/>
          <w:sz w:val="20"/>
          <w:szCs w:val="20"/>
        </w:rPr>
        <w:t>um 12 Millionen € über dem Wert vom Jahresende 2013 (</w:t>
      </w:r>
      <w:r w:rsidR="002A492F">
        <w:rPr>
          <w:rFonts w:cs="Lucida Sans Unicode"/>
          <w:bCs/>
          <w:sz w:val="20"/>
          <w:szCs w:val="20"/>
        </w:rPr>
        <w:t>5</w:t>
      </w:r>
      <w:r w:rsidR="00114650">
        <w:rPr>
          <w:rFonts w:cs="Lucida Sans Unicode"/>
          <w:bCs/>
          <w:sz w:val="20"/>
          <w:szCs w:val="20"/>
        </w:rPr>
        <w:t>71</w:t>
      </w:r>
      <w:r w:rsidR="002A492F">
        <w:rPr>
          <w:rFonts w:cs="Lucida Sans Unicode"/>
          <w:bCs/>
          <w:sz w:val="20"/>
          <w:szCs w:val="20"/>
        </w:rPr>
        <w:t xml:space="preserve"> Millionen €)</w:t>
      </w:r>
      <w:r>
        <w:rPr>
          <w:rFonts w:cs="Lucida Sans Unicode"/>
          <w:bCs/>
          <w:sz w:val="20"/>
          <w:szCs w:val="20"/>
        </w:rPr>
        <w:t xml:space="preserve"> lag</w:t>
      </w:r>
      <w:r w:rsidR="002A492F">
        <w:rPr>
          <w:rFonts w:cs="Lucida Sans Unicode"/>
          <w:bCs/>
          <w:sz w:val="20"/>
          <w:szCs w:val="20"/>
        </w:rPr>
        <w:t xml:space="preserve">. </w:t>
      </w:r>
    </w:p>
    <w:p w:rsidR="00554955" w:rsidRDefault="00554955" w:rsidP="00D941D1">
      <w:pPr>
        <w:spacing w:line="300" w:lineRule="exact"/>
        <w:rPr>
          <w:b/>
          <w:sz w:val="20"/>
          <w:szCs w:val="20"/>
        </w:rPr>
      </w:pPr>
    </w:p>
    <w:p w:rsidR="00731DA2" w:rsidRDefault="00D30FE0" w:rsidP="00D941D1">
      <w:pPr>
        <w:spacing w:line="300" w:lineRule="exact"/>
        <w:rPr>
          <w:b/>
          <w:sz w:val="20"/>
          <w:szCs w:val="20"/>
        </w:rPr>
      </w:pPr>
      <w:r>
        <w:rPr>
          <w:b/>
          <w:sz w:val="20"/>
          <w:szCs w:val="20"/>
        </w:rPr>
        <w:t xml:space="preserve">Effizienzsteigerung wird </w:t>
      </w:r>
      <w:r w:rsidR="00731DA2">
        <w:rPr>
          <w:b/>
          <w:sz w:val="20"/>
          <w:szCs w:val="20"/>
        </w:rPr>
        <w:t>mit Nachdruck fortgesetzt</w:t>
      </w:r>
    </w:p>
    <w:p w:rsidR="00731DA2" w:rsidRDefault="00731DA2" w:rsidP="00D941D1">
      <w:pPr>
        <w:spacing w:line="300" w:lineRule="exact"/>
        <w:rPr>
          <w:b/>
          <w:sz w:val="20"/>
          <w:szCs w:val="20"/>
        </w:rPr>
      </w:pPr>
    </w:p>
    <w:p w:rsidR="00731DA2" w:rsidRPr="00731DA2" w:rsidRDefault="00731DA2" w:rsidP="00D941D1">
      <w:pPr>
        <w:spacing w:line="300" w:lineRule="exact"/>
        <w:rPr>
          <w:sz w:val="20"/>
          <w:szCs w:val="20"/>
        </w:rPr>
      </w:pPr>
      <w:r>
        <w:rPr>
          <w:sz w:val="20"/>
          <w:szCs w:val="20"/>
        </w:rPr>
        <w:t xml:space="preserve">Die konsequente Umsetzung des 2012 gestarteten Effizienzsteigerungsprogramms </w:t>
      </w:r>
      <w:r w:rsidRPr="00B36286">
        <w:rPr>
          <w:b/>
          <w:sz w:val="20"/>
          <w:szCs w:val="20"/>
        </w:rPr>
        <w:t>On Track 2.0</w:t>
      </w:r>
      <w:r>
        <w:rPr>
          <w:sz w:val="20"/>
          <w:szCs w:val="20"/>
        </w:rPr>
        <w:t xml:space="preserve"> kommt gut voran. Bisher sind insgesamt Maßnahmen mit einem jährlichen Einsparpotenzial von rund 300 Millionen € der bis Ende 2016 geplanten 500 Millionen € in konkreter Umsetzung. Auch das im Herbst 2013 gestartete Programm </w:t>
      </w:r>
      <w:r w:rsidRPr="00B36286">
        <w:rPr>
          <w:b/>
          <w:sz w:val="20"/>
          <w:szCs w:val="20"/>
        </w:rPr>
        <w:t>Administration Excellence</w:t>
      </w:r>
      <w:r>
        <w:rPr>
          <w:sz w:val="20"/>
          <w:szCs w:val="20"/>
        </w:rPr>
        <w:t xml:space="preserve"> zur Optimierung der Qualität der konzernweiten Verwaltungsprozesse läuft planmäßig. </w:t>
      </w:r>
      <w:r w:rsidR="00B36286">
        <w:rPr>
          <w:sz w:val="20"/>
          <w:szCs w:val="20"/>
        </w:rPr>
        <w:t xml:space="preserve">Bis Ende 2016 soll es Einsparungen von jährlich bis zu 250 Millionen € ermöglichen. </w:t>
      </w:r>
      <w:r w:rsidR="009366C0">
        <w:rPr>
          <w:sz w:val="20"/>
          <w:szCs w:val="20"/>
        </w:rPr>
        <w:t xml:space="preserve">Nach der 2013 erfolgten Umsetzung erster </w:t>
      </w:r>
      <w:r w:rsidR="009A5B4B">
        <w:rPr>
          <w:sz w:val="20"/>
          <w:szCs w:val="20"/>
        </w:rPr>
        <w:t xml:space="preserve">organisatorischer </w:t>
      </w:r>
      <w:r w:rsidR="009366C0">
        <w:rPr>
          <w:sz w:val="20"/>
          <w:szCs w:val="20"/>
        </w:rPr>
        <w:t xml:space="preserve">Maßnahmen werden </w:t>
      </w:r>
      <w:r w:rsidR="00BA5C2F">
        <w:rPr>
          <w:sz w:val="20"/>
          <w:szCs w:val="20"/>
        </w:rPr>
        <w:t>zur</w:t>
      </w:r>
      <w:r w:rsidR="009366C0">
        <w:rPr>
          <w:sz w:val="20"/>
          <w:szCs w:val="20"/>
        </w:rPr>
        <w:t>zeit weitere Optimierung</w:t>
      </w:r>
      <w:r w:rsidR="00CB4FEA">
        <w:rPr>
          <w:sz w:val="20"/>
          <w:szCs w:val="20"/>
        </w:rPr>
        <w:t xml:space="preserve">en </w:t>
      </w:r>
      <w:r w:rsidR="00C66326">
        <w:rPr>
          <w:sz w:val="20"/>
          <w:szCs w:val="20"/>
        </w:rPr>
        <w:t xml:space="preserve">detailliert und </w:t>
      </w:r>
      <w:r w:rsidR="00CB4FEA">
        <w:rPr>
          <w:sz w:val="20"/>
          <w:szCs w:val="20"/>
        </w:rPr>
        <w:t>ausgearbeitet</w:t>
      </w:r>
      <w:r w:rsidR="009366C0">
        <w:rPr>
          <w:sz w:val="20"/>
          <w:szCs w:val="20"/>
        </w:rPr>
        <w:t xml:space="preserve">. </w:t>
      </w:r>
      <w:r w:rsidR="00B36286">
        <w:rPr>
          <w:sz w:val="20"/>
          <w:szCs w:val="20"/>
        </w:rPr>
        <w:t xml:space="preserve">Die Implementierung </w:t>
      </w:r>
      <w:r w:rsidR="00CB4FEA">
        <w:rPr>
          <w:sz w:val="20"/>
          <w:szCs w:val="20"/>
        </w:rPr>
        <w:t>dieser</w:t>
      </w:r>
      <w:r w:rsidR="00B36286">
        <w:rPr>
          <w:sz w:val="20"/>
          <w:szCs w:val="20"/>
        </w:rPr>
        <w:t xml:space="preserve"> Maßnahmen wird in der zweiten Jahreshälfte 2014 beginnen, wobei </w:t>
      </w:r>
      <w:r w:rsidR="009366C0">
        <w:rPr>
          <w:sz w:val="20"/>
          <w:szCs w:val="20"/>
        </w:rPr>
        <w:t xml:space="preserve">die Mehrzahl </w:t>
      </w:r>
      <w:r w:rsidR="00B36286">
        <w:rPr>
          <w:sz w:val="20"/>
          <w:szCs w:val="20"/>
        </w:rPr>
        <w:t>in den Jahren 2015 und 2016 in die Umsetzung gehen wird.</w:t>
      </w:r>
    </w:p>
    <w:p w:rsidR="00731DA2" w:rsidRDefault="00731DA2" w:rsidP="00D941D1">
      <w:pPr>
        <w:spacing w:line="300" w:lineRule="exact"/>
        <w:rPr>
          <w:b/>
          <w:sz w:val="20"/>
          <w:szCs w:val="20"/>
        </w:rPr>
      </w:pPr>
    </w:p>
    <w:p w:rsidR="002A492F" w:rsidRDefault="002A492F" w:rsidP="00D941D1">
      <w:pPr>
        <w:spacing w:line="300" w:lineRule="exact"/>
        <w:rPr>
          <w:b/>
          <w:sz w:val="20"/>
          <w:szCs w:val="20"/>
        </w:rPr>
      </w:pPr>
      <w:r>
        <w:rPr>
          <w:b/>
          <w:sz w:val="20"/>
          <w:szCs w:val="20"/>
        </w:rPr>
        <w:t>Forschung &amp; Entwicklung</w:t>
      </w:r>
      <w:r w:rsidR="0062241E">
        <w:rPr>
          <w:b/>
          <w:sz w:val="20"/>
          <w:szCs w:val="20"/>
        </w:rPr>
        <w:t xml:space="preserve"> weiter</w:t>
      </w:r>
      <w:r w:rsidR="00C66326">
        <w:rPr>
          <w:b/>
          <w:sz w:val="20"/>
          <w:szCs w:val="20"/>
        </w:rPr>
        <w:t xml:space="preserve"> </w:t>
      </w:r>
      <w:r>
        <w:rPr>
          <w:b/>
          <w:sz w:val="20"/>
          <w:szCs w:val="20"/>
        </w:rPr>
        <w:t>intensiviert</w:t>
      </w:r>
    </w:p>
    <w:p w:rsidR="002A492F" w:rsidRDefault="002A492F" w:rsidP="00D941D1">
      <w:pPr>
        <w:spacing w:line="300" w:lineRule="exact"/>
        <w:rPr>
          <w:b/>
          <w:sz w:val="20"/>
          <w:szCs w:val="20"/>
        </w:rPr>
      </w:pPr>
    </w:p>
    <w:p w:rsidR="009F2D0D" w:rsidRDefault="002A492F" w:rsidP="00D941D1">
      <w:pPr>
        <w:spacing w:line="300" w:lineRule="exact"/>
        <w:rPr>
          <w:sz w:val="20"/>
          <w:szCs w:val="20"/>
        </w:rPr>
      </w:pPr>
      <w:r>
        <w:rPr>
          <w:sz w:val="20"/>
          <w:szCs w:val="20"/>
        </w:rPr>
        <w:t xml:space="preserve">Auch das erste Quartal 2014 stand im Zeichen intensiver Forschung &amp; Entwicklung. Die Aufwendungen erhöhten sich um 7 Prozent auf 98 Millionen €. Zu den jüngsten Highlights zählt beispielsweise </w:t>
      </w:r>
      <w:r w:rsidRPr="0035496E">
        <w:rPr>
          <w:sz w:val="20"/>
          <w:szCs w:val="20"/>
        </w:rPr>
        <w:t>CYROLITE</w:t>
      </w:r>
      <w:r w:rsidR="0035496E" w:rsidRPr="0035496E">
        <w:rPr>
          <w:rFonts w:cs="Lucida Sans Unicode"/>
          <w:sz w:val="20"/>
          <w:szCs w:val="20"/>
        </w:rPr>
        <w:t>®</w:t>
      </w:r>
      <w:r w:rsidRPr="0035496E">
        <w:rPr>
          <w:sz w:val="20"/>
          <w:szCs w:val="20"/>
        </w:rPr>
        <w:t xml:space="preserve"> </w:t>
      </w:r>
      <w:proofErr w:type="spellStart"/>
      <w:r w:rsidRPr="0035496E">
        <w:rPr>
          <w:sz w:val="20"/>
          <w:szCs w:val="20"/>
        </w:rPr>
        <w:t>Protect</w:t>
      </w:r>
      <w:proofErr w:type="spellEnd"/>
      <w:r w:rsidRPr="0035496E">
        <w:rPr>
          <w:sz w:val="20"/>
          <w:szCs w:val="20"/>
        </w:rPr>
        <w:t xml:space="preserve"> 2</w:t>
      </w:r>
      <w:r>
        <w:rPr>
          <w:sz w:val="20"/>
          <w:szCs w:val="20"/>
        </w:rPr>
        <w:t xml:space="preserve">, das zweite Produkt aus der Reihe neuer PMMA-Formmassen mit antimikrobiellen Eigenschaften, das auf den Markt gebracht wurde. Produkte aus der </w:t>
      </w:r>
      <w:r w:rsidRPr="0035496E">
        <w:rPr>
          <w:sz w:val="20"/>
          <w:szCs w:val="20"/>
        </w:rPr>
        <w:t>CYROLITE</w:t>
      </w:r>
      <w:r w:rsidR="0035496E" w:rsidRPr="0035496E">
        <w:rPr>
          <w:rFonts w:cs="Lucida Sans Unicode"/>
          <w:sz w:val="20"/>
          <w:szCs w:val="20"/>
        </w:rPr>
        <w:t>®</w:t>
      </w:r>
      <w:r>
        <w:rPr>
          <w:sz w:val="20"/>
          <w:szCs w:val="20"/>
        </w:rPr>
        <w:t xml:space="preserve"> </w:t>
      </w:r>
      <w:proofErr w:type="spellStart"/>
      <w:r>
        <w:rPr>
          <w:sz w:val="20"/>
          <w:szCs w:val="20"/>
        </w:rPr>
        <w:t>Protect</w:t>
      </w:r>
      <w:proofErr w:type="spellEnd"/>
      <w:r>
        <w:rPr>
          <w:sz w:val="20"/>
          <w:szCs w:val="20"/>
        </w:rPr>
        <w:t xml:space="preserve">-Serie </w:t>
      </w:r>
      <w:r w:rsidR="009A5B4B">
        <w:rPr>
          <w:sz w:val="20"/>
          <w:szCs w:val="20"/>
        </w:rPr>
        <w:t>werden</w:t>
      </w:r>
      <w:r>
        <w:rPr>
          <w:sz w:val="20"/>
          <w:szCs w:val="20"/>
        </w:rPr>
        <w:t xml:space="preserve"> in der Medizintechnik </w:t>
      </w:r>
      <w:r w:rsidR="009A5B4B">
        <w:rPr>
          <w:sz w:val="20"/>
          <w:szCs w:val="20"/>
        </w:rPr>
        <w:t>eingesetzt</w:t>
      </w:r>
      <w:r>
        <w:rPr>
          <w:sz w:val="20"/>
          <w:szCs w:val="20"/>
        </w:rPr>
        <w:t xml:space="preserve">. Mit ihnen lassen sich beispielsweise Sekundärinfektionen im Krankenhaus </w:t>
      </w:r>
      <w:r w:rsidR="0062241E">
        <w:rPr>
          <w:sz w:val="20"/>
          <w:szCs w:val="20"/>
        </w:rPr>
        <w:t>vermeiden</w:t>
      </w:r>
      <w:r>
        <w:rPr>
          <w:sz w:val="20"/>
          <w:szCs w:val="20"/>
        </w:rPr>
        <w:t xml:space="preserve">. </w:t>
      </w:r>
    </w:p>
    <w:p w:rsidR="009F2D0D" w:rsidRDefault="009F2D0D" w:rsidP="00D941D1">
      <w:pPr>
        <w:spacing w:line="300" w:lineRule="exact"/>
        <w:rPr>
          <w:sz w:val="20"/>
          <w:szCs w:val="20"/>
        </w:rPr>
      </w:pPr>
    </w:p>
    <w:p w:rsidR="002A492F" w:rsidRPr="002A492F" w:rsidRDefault="00985458" w:rsidP="00D941D1">
      <w:pPr>
        <w:spacing w:line="300" w:lineRule="exact"/>
        <w:rPr>
          <w:sz w:val="20"/>
          <w:szCs w:val="20"/>
        </w:rPr>
      </w:pPr>
      <w:r>
        <w:rPr>
          <w:sz w:val="20"/>
          <w:szCs w:val="20"/>
        </w:rPr>
        <w:t>Evonik hat in den vergangenen Jahren e</w:t>
      </w:r>
      <w:r w:rsidR="009F2D0D">
        <w:rPr>
          <w:sz w:val="20"/>
          <w:szCs w:val="20"/>
        </w:rPr>
        <w:t xml:space="preserve">ine neue </w:t>
      </w:r>
      <w:proofErr w:type="spellStart"/>
      <w:r w:rsidR="009F2D0D">
        <w:rPr>
          <w:sz w:val="20"/>
          <w:szCs w:val="20"/>
        </w:rPr>
        <w:t>Methioninquelle</w:t>
      </w:r>
      <w:proofErr w:type="spellEnd"/>
      <w:r>
        <w:rPr>
          <w:sz w:val="20"/>
          <w:szCs w:val="20"/>
        </w:rPr>
        <w:t xml:space="preserve"> </w:t>
      </w:r>
      <w:r w:rsidR="009F2D0D">
        <w:rPr>
          <w:sz w:val="20"/>
          <w:szCs w:val="20"/>
        </w:rPr>
        <w:t xml:space="preserve">speziell für Garnelen- und Krustentiere </w:t>
      </w:r>
      <w:r w:rsidR="001D2C68">
        <w:rPr>
          <w:sz w:val="20"/>
          <w:szCs w:val="20"/>
        </w:rPr>
        <w:t>erforscht</w:t>
      </w:r>
      <w:r>
        <w:rPr>
          <w:sz w:val="20"/>
          <w:szCs w:val="20"/>
        </w:rPr>
        <w:t>. Diese Innovation</w:t>
      </w:r>
      <w:r w:rsidR="009F2D0D">
        <w:rPr>
          <w:sz w:val="20"/>
          <w:szCs w:val="20"/>
        </w:rPr>
        <w:t xml:space="preserve"> </w:t>
      </w:r>
      <w:r w:rsidR="00F53917">
        <w:rPr>
          <w:sz w:val="20"/>
          <w:szCs w:val="20"/>
        </w:rPr>
        <w:t>wird</w:t>
      </w:r>
      <w:r w:rsidR="009F2D0D">
        <w:rPr>
          <w:sz w:val="20"/>
          <w:szCs w:val="20"/>
        </w:rPr>
        <w:t xml:space="preserve"> nun in die industrielle Produktion überführt: </w:t>
      </w:r>
      <w:r w:rsidR="006F450F">
        <w:rPr>
          <w:sz w:val="20"/>
          <w:szCs w:val="20"/>
        </w:rPr>
        <w:t xml:space="preserve">So </w:t>
      </w:r>
      <w:r w:rsidR="009F2D0D">
        <w:rPr>
          <w:sz w:val="20"/>
          <w:szCs w:val="20"/>
        </w:rPr>
        <w:t xml:space="preserve">errichtet </w:t>
      </w:r>
      <w:r w:rsidR="006F450F">
        <w:rPr>
          <w:sz w:val="20"/>
          <w:szCs w:val="20"/>
        </w:rPr>
        <w:t xml:space="preserve">der Konzern </w:t>
      </w:r>
      <w:r w:rsidR="009F2D0D">
        <w:rPr>
          <w:sz w:val="20"/>
          <w:szCs w:val="20"/>
        </w:rPr>
        <w:t xml:space="preserve">in Antwerpen (Belgien) bis Ende 2015 die weltweit erste Anlage für </w:t>
      </w:r>
      <w:r w:rsidR="009F2D0D" w:rsidRPr="0035496E">
        <w:rPr>
          <w:sz w:val="20"/>
          <w:szCs w:val="20"/>
        </w:rPr>
        <w:t>AQUAVI</w:t>
      </w:r>
      <w:r w:rsidR="0035496E" w:rsidRPr="0035496E">
        <w:rPr>
          <w:rFonts w:cs="Lucida Sans Unicode"/>
          <w:sz w:val="20"/>
          <w:szCs w:val="20"/>
        </w:rPr>
        <w:t>®</w:t>
      </w:r>
      <w:r w:rsidR="009F2D0D">
        <w:rPr>
          <w:sz w:val="20"/>
          <w:szCs w:val="20"/>
        </w:rPr>
        <w:t xml:space="preserve"> Met-Met, einem Futtermitteladditiv, das in Aquakulturen zum Einsatz kommt. Evonik ist heute bereits globaler Marktführer </w:t>
      </w:r>
      <w:r w:rsidR="00B23C23">
        <w:rPr>
          <w:sz w:val="20"/>
          <w:szCs w:val="20"/>
        </w:rPr>
        <w:t>bei</w:t>
      </w:r>
      <w:r w:rsidR="009F2D0D">
        <w:rPr>
          <w:sz w:val="20"/>
          <w:szCs w:val="20"/>
        </w:rPr>
        <w:t xml:space="preserve"> Futtermittelaminosäuren für Fischfutter. Mit </w:t>
      </w:r>
      <w:r w:rsidR="009F2D0D" w:rsidRPr="0035496E">
        <w:rPr>
          <w:sz w:val="20"/>
          <w:szCs w:val="20"/>
        </w:rPr>
        <w:t>AQUAVI</w:t>
      </w:r>
      <w:r w:rsidR="0035496E" w:rsidRPr="0035496E">
        <w:rPr>
          <w:rFonts w:cs="Lucida Sans Unicode"/>
          <w:sz w:val="20"/>
          <w:szCs w:val="20"/>
        </w:rPr>
        <w:t>®</w:t>
      </w:r>
      <w:r w:rsidR="009F2D0D">
        <w:rPr>
          <w:sz w:val="20"/>
          <w:szCs w:val="20"/>
        </w:rPr>
        <w:t xml:space="preserve"> Met-Met erschließt sich das Unternehmen nun auch den attraktiven Wachstumsmarkt für Garnelen und Krustentiere, de</w:t>
      </w:r>
      <w:r w:rsidR="0057042A">
        <w:rPr>
          <w:sz w:val="20"/>
          <w:szCs w:val="20"/>
        </w:rPr>
        <w:t xml:space="preserve">ssen Volumen </w:t>
      </w:r>
      <w:r w:rsidR="009F2D0D">
        <w:rPr>
          <w:sz w:val="20"/>
          <w:szCs w:val="20"/>
        </w:rPr>
        <w:t xml:space="preserve">in den vergangenen zehn Jahren mit zweistelligen Raten </w:t>
      </w:r>
      <w:r w:rsidR="0057042A">
        <w:rPr>
          <w:sz w:val="20"/>
          <w:szCs w:val="20"/>
        </w:rPr>
        <w:t>gestiegen ist</w:t>
      </w:r>
      <w:r w:rsidR="00B23C23">
        <w:rPr>
          <w:sz w:val="20"/>
          <w:szCs w:val="20"/>
        </w:rPr>
        <w:t xml:space="preserve"> und auch künftig dynamisch</w:t>
      </w:r>
      <w:r w:rsidR="00FD3EC4">
        <w:rPr>
          <w:sz w:val="20"/>
          <w:szCs w:val="20"/>
        </w:rPr>
        <w:t>es</w:t>
      </w:r>
      <w:r w:rsidR="00B23C23">
        <w:rPr>
          <w:sz w:val="20"/>
          <w:szCs w:val="20"/>
        </w:rPr>
        <w:t xml:space="preserve"> </w:t>
      </w:r>
      <w:r w:rsidR="00FD3EC4">
        <w:rPr>
          <w:sz w:val="20"/>
          <w:szCs w:val="20"/>
        </w:rPr>
        <w:t>Wachstum erwarten lässt</w:t>
      </w:r>
      <w:r w:rsidR="0057042A">
        <w:rPr>
          <w:sz w:val="20"/>
          <w:szCs w:val="20"/>
        </w:rPr>
        <w:t>.</w:t>
      </w:r>
    </w:p>
    <w:p w:rsidR="002A492F" w:rsidRDefault="002A492F" w:rsidP="00D941D1">
      <w:pPr>
        <w:spacing w:line="300" w:lineRule="exact"/>
        <w:rPr>
          <w:b/>
          <w:sz w:val="20"/>
          <w:szCs w:val="20"/>
        </w:rPr>
      </w:pPr>
    </w:p>
    <w:p w:rsidR="00A02C86" w:rsidRPr="00D941D1" w:rsidRDefault="00A02C86" w:rsidP="00D941D1">
      <w:pPr>
        <w:spacing w:line="300" w:lineRule="exact"/>
        <w:rPr>
          <w:b/>
          <w:sz w:val="20"/>
          <w:szCs w:val="20"/>
        </w:rPr>
      </w:pPr>
      <w:r w:rsidRPr="00D941D1">
        <w:rPr>
          <w:b/>
          <w:sz w:val="20"/>
          <w:szCs w:val="20"/>
        </w:rPr>
        <w:t>Entwicklung in den Segmenten im 1. Quartal 201</w:t>
      </w:r>
      <w:r w:rsidR="0021703D">
        <w:rPr>
          <w:b/>
          <w:sz w:val="20"/>
          <w:szCs w:val="20"/>
        </w:rPr>
        <w:t>4</w:t>
      </w:r>
    </w:p>
    <w:p w:rsidR="00A02C86" w:rsidRPr="00B13E9A" w:rsidRDefault="00A02C86" w:rsidP="00A02C86">
      <w:pPr>
        <w:rPr>
          <w:bCs/>
        </w:rPr>
      </w:pPr>
    </w:p>
    <w:p w:rsidR="00D941D1" w:rsidRDefault="00D941D1" w:rsidP="00D941D1">
      <w:pPr>
        <w:spacing w:line="300" w:lineRule="exact"/>
        <w:rPr>
          <w:rFonts w:cs="Lucida Sans Unicode"/>
          <w:b/>
          <w:sz w:val="20"/>
          <w:szCs w:val="20"/>
        </w:rPr>
      </w:pPr>
    </w:p>
    <w:p w:rsidR="00A02C86" w:rsidRPr="00D941D1" w:rsidRDefault="00A02C86" w:rsidP="00D941D1">
      <w:pPr>
        <w:keepNext/>
        <w:keepLines/>
        <w:spacing w:line="300" w:lineRule="exact"/>
        <w:rPr>
          <w:rFonts w:cs="Lucida Sans Unicode"/>
          <w:b/>
          <w:sz w:val="20"/>
          <w:szCs w:val="20"/>
        </w:rPr>
      </w:pPr>
      <w:r w:rsidRPr="00D941D1">
        <w:rPr>
          <w:rFonts w:cs="Lucida Sans Unicode"/>
          <w:b/>
          <w:sz w:val="20"/>
          <w:szCs w:val="20"/>
        </w:rPr>
        <w:t xml:space="preserve">Consumer, </w:t>
      </w:r>
      <w:proofErr w:type="spellStart"/>
      <w:r w:rsidRPr="00D941D1">
        <w:rPr>
          <w:rFonts w:cs="Lucida Sans Unicode"/>
          <w:b/>
          <w:sz w:val="20"/>
          <w:szCs w:val="20"/>
        </w:rPr>
        <w:t>Health</w:t>
      </w:r>
      <w:proofErr w:type="spellEnd"/>
      <w:r w:rsidRPr="00D941D1">
        <w:rPr>
          <w:rFonts w:cs="Lucida Sans Unicode"/>
          <w:b/>
          <w:sz w:val="20"/>
          <w:szCs w:val="20"/>
        </w:rPr>
        <w:t xml:space="preserve"> &amp; Nutrition</w:t>
      </w:r>
    </w:p>
    <w:p w:rsidR="00A02C86" w:rsidRDefault="00A02C86" w:rsidP="00D941D1">
      <w:pPr>
        <w:spacing w:line="300" w:lineRule="exact"/>
        <w:ind w:left="142"/>
        <w:rPr>
          <w:rFonts w:cs="Lucida Sans Unicode"/>
          <w:bCs/>
          <w:sz w:val="20"/>
          <w:szCs w:val="20"/>
        </w:rPr>
      </w:pPr>
    </w:p>
    <w:p w:rsidR="0021703D" w:rsidRDefault="0021703D" w:rsidP="0021703D">
      <w:pPr>
        <w:pStyle w:val="Listenabsatz"/>
        <w:numPr>
          <w:ilvl w:val="0"/>
          <w:numId w:val="17"/>
        </w:numPr>
        <w:spacing w:line="300" w:lineRule="exact"/>
        <w:rPr>
          <w:rFonts w:cs="Lucida Sans Unicode"/>
          <w:bCs/>
          <w:sz w:val="20"/>
          <w:szCs w:val="20"/>
        </w:rPr>
      </w:pPr>
      <w:r>
        <w:rPr>
          <w:rFonts w:cs="Lucida Sans Unicode"/>
          <w:bCs/>
          <w:sz w:val="20"/>
          <w:szCs w:val="20"/>
        </w:rPr>
        <w:t>Höhere Mengen, rückläufige Verkaufspreise</w:t>
      </w:r>
    </w:p>
    <w:p w:rsidR="0021703D" w:rsidRDefault="0021703D" w:rsidP="0021703D">
      <w:pPr>
        <w:pStyle w:val="Listenabsatz"/>
        <w:numPr>
          <w:ilvl w:val="0"/>
          <w:numId w:val="17"/>
        </w:numPr>
        <w:spacing w:line="300" w:lineRule="exact"/>
        <w:rPr>
          <w:rFonts w:cs="Lucida Sans Unicode"/>
          <w:bCs/>
          <w:sz w:val="20"/>
          <w:szCs w:val="20"/>
        </w:rPr>
      </w:pPr>
      <w:r>
        <w:rPr>
          <w:rFonts w:cs="Lucida Sans Unicode"/>
          <w:bCs/>
          <w:sz w:val="20"/>
          <w:szCs w:val="20"/>
        </w:rPr>
        <w:t>Bereinigtes EBITDA unter hohem Vorjahreswert</w:t>
      </w:r>
    </w:p>
    <w:p w:rsidR="0021703D" w:rsidRPr="0021703D" w:rsidRDefault="0021703D" w:rsidP="0021703D">
      <w:pPr>
        <w:pStyle w:val="Listenabsatz"/>
        <w:numPr>
          <w:ilvl w:val="0"/>
          <w:numId w:val="17"/>
        </w:numPr>
        <w:spacing w:line="300" w:lineRule="exact"/>
        <w:rPr>
          <w:rFonts w:cs="Lucida Sans Unicode"/>
          <w:bCs/>
          <w:sz w:val="20"/>
          <w:szCs w:val="20"/>
        </w:rPr>
      </w:pPr>
      <w:r>
        <w:rPr>
          <w:rFonts w:cs="Lucida Sans Unicode"/>
          <w:bCs/>
          <w:sz w:val="20"/>
          <w:szCs w:val="20"/>
        </w:rPr>
        <w:t>Bereinigte EBITDA-Marge mit 19,1 Prozent unter sehr gutem Vorjahr</w:t>
      </w:r>
    </w:p>
    <w:p w:rsidR="0021703D" w:rsidRPr="00D941D1" w:rsidRDefault="0021703D" w:rsidP="00D941D1">
      <w:pPr>
        <w:spacing w:line="300" w:lineRule="exact"/>
        <w:ind w:left="142"/>
        <w:rPr>
          <w:rFonts w:cs="Lucida Sans Unicode"/>
          <w:bCs/>
          <w:sz w:val="20"/>
          <w:szCs w:val="20"/>
        </w:rPr>
      </w:pPr>
    </w:p>
    <w:p w:rsidR="00A02C86" w:rsidRDefault="00A02C86" w:rsidP="002F5039">
      <w:pPr>
        <w:pStyle w:val="ErsteZeile"/>
      </w:pPr>
      <w:r w:rsidRPr="00D941D1">
        <w:t xml:space="preserve">Das Segment </w:t>
      </w:r>
      <w:r w:rsidRPr="004046AF">
        <w:rPr>
          <w:b/>
        </w:rPr>
        <w:t xml:space="preserve">Consumer, </w:t>
      </w:r>
      <w:proofErr w:type="spellStart"/>
      <w:r w:rsidRPr="004046AF">
        <w:rPr>
          <w:b/>
        </w:rPr>
        <w:t>Health</w:t>
      </w:r>
      <w:proofErr w:type="spellEnd"/>
      <w:r w:rsidRPr="004046AF">
        <w:rPr>
          <w:b/>
        </w:rPr>
        <w:t xml:space="preserve"> &amp; Nutrition</w:t>
      </w:r>
      <w:r w:rsidRPr="00D941D1">
        <w:t xml:space="preserve"> produziert schwerpunktmäßig für Anwendungen in Konsumgütern, in der Tierernährung und im Bereich </w:t>
      </w:r>
      <w:proofErr w:type="spellStart"/>
      <w:r w:rsidRPr="00D941D1">
        <w:t>Healthcare</w:t>
      </w:r>
      <w:proofErr w:type="spellEnd"/>
      <w:r w:rsidRPr="00D941D1">
        <w:t xml:space="preserve">. Es umfasst die Geschäftsbereiche Consumer Specialties sowie </w:t>
      </w:r>
      <w:proofErr w:type="spellStart"/>
      <w:r w:rsidRPr="00D941D1">
        <w:t>Health</w:t>
      </w:r>
      <w:proofErr w:type="spellEnd"/>
      <w:r w:rsidRPr="00D941D1">
        <w:t xml:space="preserve"> &amp; Nutrition.</w:t>
      </w:r>
    </w:p>
    <w:p w:rsidR="002F5039" w:rsidRDefault="002F5039" w:rsidP="002F5039">
      <w:pPr>
        <w:rPr>
          <w:lang w:eastAsia="en-US"/>
        </w:rPr>
      </w:pPr>
    </w:p>
    <w:p w:rsidR="00ED42EE" w:rsidRDefault="002F5039" w:rsidP="002F5039">
      <w:pPr>
        <w:spacing w:line="300" w:lineRule="exact"/>
        <w:rPr>
          <w:rFonts w:cs="Lucida Sans Unicode"/>
          <w:bCs/>
          <w:position w:val="0"/>
          <w:sz w:val="20"/>
          <w:szCs w:val="20"/>
          <w:lang w:eastAsia="en-US"/>
        </w:rPr>
      </w:pPr>
      <w:r w:rsidRPr="002F5039">
        <w:rPr>
          <w:rFonts w:cs="Lucida Sans Unicode"/>
          <w:bCs/>
          <w:position w:val="0"/>
          <w:sz w:val="20"/>
          <w:szCs w:val="20"/>
          <w:lang w:eastAsia="en-US"/>
        </w:rPr>
        <w:t xml:space="preserve">Der </w:t>
      </w:r>
      <w:r w:rsidRPr="00801C4B">
        <w:rPr>
          <w:rFonts w:cs="Lucida Sans Unicode"/>
          <w:b/>
          <w:bCs/>
          <w:position w:val="0"/>
          <w:sz w:val="20"/>
          <w:szCs w:val="20"/>
          <w:lang w:eastAsia="en-US"/>
        </w:rPr>
        <w:t>Umsatz</w:t>
      </w:r>
      <w:r w:rsidRPr="002F5039">
        <w:rPr>
          <w:rFonts w:cs="Lucida Sans Unicode"/>
          <w:bCs/>
          <w:position w:val="0"/>
          <w:sz w:val="20"/>
          <w:szCs w:val="20"/>
          <w:lang w:eastAsia="en-US"/>
        </w:rPr>
        <w:t xml:space="preserve"> </w:t>
      </w:r>
      <w:r w:rsidR="00A02C86" w:rsidRPr="002F5039">
        <w:rPr>
          <w:rFonts w:cs="Lucida Sans Unicode"/>
          <w:bCs/>
          <w:position w:val="0"/>
          <w:sz w:val="20"/>
          <w:szCs w:val="20"/>
          <w:lang w:eastAsia="en-US"/>
        </w:rPr>
        <w:t xml:space="preserve">verringerte sich um </w:t>
      </w:r>
      <w:r w:rsidR="0021703D">
        <w:rPr>
          <w:rFonts w:cs="Lucida Sans Unicode"/>
          <w:bCs/>
          <w:position w:val="0"/>
          <w:sz w:val="20"/>
          <w:szCs w:val="20"/>
          <w:lang w:eastAsia="en-US"/>
        </w:rPr>
        <w:t>5</w:t>
      </w:r>
      <w:r w:rsidR="00A02C86" w:rsidRPr="002F5039">
        <w:rPr>
          <w:rFonts w:cs="Lucida Sans Unicode"/>
          <w:bCs/>
          <w:position w:val="0"/>
          <w:sz w:val="20"/>
          <w:szCs w:val="20"/>
          <w:lang w:eastAsia="en-US"/>
        </w:rPr>
        <w:t xml:space="preserve"> Prozent auf </w:t>
      </w:r>
      <w:r w:rsidR="0021703D">
        <w:rPr>
          <w:rFonts w:cs="Lucida Sans Unicode"/>
          <w:bCs/>
          <w:position w:val="0"/>
          <w:sz w:val="20"/>
          <w:szCs w:val="20"/>
          <w:lang w:eastAsia="en-US"/>
        </w:rPr>
        <w:t>978 Millionen € (Vorjahresquartal</w:t>
      </w:r>
      <w:r w:rsidR="00ED42EE">
        <w:rPr>
          <w:rFonts w:cs="Lucida Sans Unicode"/>
          <w:bCs/>
          <w:position w:val="0"/>
          <w:sz w:val="20"/>
          <w:szCs w:val="20"/>
          <w:lang w:eastAsia="en-US"/>
        </w:rPr>
        <w:t xml:space="preserve"> </w:t>
      </w:r>
      <w:r w:rsidR="00A02C86" w:rsidRPr="002F5039">
        <w:rPr>
          <w:rFonts w:cs="Lucida Sans Unicode"/>
          <w:bCs/>
          <w:position w:val="0"/>
          <w:sz w:val="20"/>
          <w:szCs w:val="20"/>
          <w:lang w:eastAsia="en-US"/>
        </w:rPr>
        <w:t>1.0</w:t>
      </w:r>
      <w:r w:rsidR="00ED42EE">
        <w:rPr>
          <w:rFonts w:cs="Lucida Sans Unicode"/>
          <w:bCs/>
          <w:position w:val="0"/>
          <w:sz w:val="20"/>
          <w:szCs w:val="20"/>
          <w:lang w:eastAsia="en-US"/>
        </w:rPr>
        <w:t>27</w:t>
      </w:r>
      <w:r w:rsidR="00A02C86" w:rsidRPr="002F5039">
        <w:rPr>
          <w:rFonts w:cs="Lucida Sans Unicode"/>
          <w:bCs/>
          <w:position w:val="0"/>
          <w:sz w:val="20"/>
          <w:szCs w:val="20"/>
          <w:lang w:eastAsia="en-US"/>
        </w:rPr>
        <w:t xml:space="preserve"> Millionen €</w:t>
      </w:r>
      <w:r w:rsidR="00ED42EE">
        <w:rPr>
          <w:rFonts w:cs="Lucida Sans Unicode"/>
          <w:bCs/>
          <w:position w:val="0"/>
          <w:sz w:val="20"/>
          <w:szCs w:val="20"/>
          <w:lang w:eastAsia="en-US"/>
        </w:rPr>
        <w:t>)</w:t>
      </w:r>
      <w:r w:rsidR="00A02C86" w:rsidRPr="002F5039">
        <w:rPr>
          <w:rFonts w:cs="Lucida Sans Unicode"/>
          <w:bCs/>
          <w:position w:val="0"/>
          <w:sz w:val="20"/>
          <w:szCs w:val="20"/>
          <w:lang w:eastAsia="en-US"/>
        </w:rPr>
        <w:t xml:space="preserve">. </w:t>
      </w:r>
      <w:r w:rsidR="00ED42EE">
        <w:rPr>
          <w:rFonts w:cs="Lucida Sans Unicode"/>
          <w:bCs/>
          <w:position w:val="0"/>
          <w:sz w:val="20"/>
          <w:szCs w:val="20"/>
          <w:lang w:eastAsia="en-US"/>
        </w:rPr>
        <w:t xml:space="preserve">Ohne negative Währungseffekte ergab sich nur ein leichter organischer Umsatzrückgang, der bei höheren </w:t>
      </w:r>
      <w:r w:rsidR="00ED42EE">
        <w:rPr>
          <w:rFonts w:cs="Lucida Sans Unicode"/>
          <w:bCs/>
          <w:position w:val="0"/>
          <w:sz w:val="20"/>
          <w:szCs w:val="20"/>
          <w:lang w:eastAsia="en-US"/>
        </w:rPr>
        <w:lastRenderedPageBreak/>
        <w:t>Mengen vor allem aus</w:t>
      </w:r>
      <w:r w:rsidR="00A306E3">
        <w:rPr>
          <w:rFonts w:cs="Lucida Sans Unicode"/>
          <w:bCs/>
          <w:position w:val="0"/>
          <w:sz w:val="20"/>
          <w:szCs w:val="20"/>
          <w:lang w:eastAsia="en-US"/>
        </w:rPr>
        <w:t xml:space="preserve"> </w:t>
      </w:r>
      <w:r w:rsidR="00ED42EE">
        <w:rPr>
          <w:rFonts w:cs="Lucida Sans Unicode"/>
          <w:bCs/>
          <w:position w:val="0"/>
          <w:sz w:val="20"/>
          <w:szCs w:val="20"/>
          <w:lang w:eastAsia="en-US"/>
        </w:rPr>
        <w:t>geringeren Verkaufspreisen</w:t>
      </w:r>
      <w:r w:rsidR="00A306E3">
        <w:rPr>
          <w:rFonts w:cs="Lucida Sans Unicode"/>
          <w:bCs/>
          <w:position w:val="0"/>
          <w:sz w:val="20"/>
          <w:szCs w:val="20"/>
          <w:lang w:eastAsia="en-US"/>
        </w:rPr>
        <w:t xml:space="preserve">, insbesondere für </w:t>
      </w:r>
      <w:r w:rsidR="001457FC">
        <w:rPr>
          <w:rFonts w:cs="Lucida Sans Unicode"/>
          <w:bCs/>
          <w:position w:val="0"/>
          <w:sz w:val="20"/>
          <w:szCs w:val="20"/>
          <w:lang w:eastAsia="en-US"/>
        </w:rPr>
        <w:t>Aminosäuren für die Tierernährung</w:t>
      </w:r>
      <w:r w:rsidR="00A306E3">
        <w:rPr>
          <w:rFonts w:cs="Lucida Sans Unicode"/>
          <w:bCs/>
          <w:position w:val="0"/>
          <w:sz w:val="20"/>
          <w:szCs w:val="20"/>
          <w:lang w:eastAsia="en-US"/>
        </w:rPr>
        <w:t>,</w:t>
      </w:r>
      <w:r w:rsidR="00ED42EE">
        <w:rPr>
          <w:rFonts w:cs="Lucida Sans Unicode"/>
          <w:bCs/>
          <w:position w:val="0"/>
          <w:sz w:val="20"/>
          <w:szCs w:val="20"/>
          <w:lang w:eastAsia="en-US"/>
        </w:rPr>
        <w:t xml:space="preserve"> resultierte. </w:t>
      </w:r>
      <w:r w:rsidR="001D2C68">
        <w:rPr>
          <w:rFonts w:cs="Lucida Sans Unicode"/>
          <w:bCs/>
          <w:position w:val="0"/>
          <w:sz w:val="20"/>
          <w:szCs w:val="20"/>
          <w:lang w:eastAsia="en-US"/>
        </w:rPr>
        <w:t xml:space="preserve">Für die bedeutendste Aminosäure, Methionin, war im Vergleich zum Vorquartal eine Stabilisierung der Verkaufspreise zu verzeichnen. Das Geschäft mit Produkten für die </w:t>
      </w:r>
      <w:proofErr w:type="spellStart"/>
      <w:r w:rsidR="001D2C68">
        <w:rPr>
          <w:rFonts w:cs="Lucida Sans Unicode"/>
          <w:bCs/>
          <w:position w:val="0"/>
          <w:sz w:val="20"/>
          <w:szCs w:val="20"/>
          <w:lang w:eastAsia="en-US"/>
        </w:rPr>
        <w:t>Health</w:t>
      </w:r>
      <w:r w:rsidR="00FD3EC4">
        <w:rPr>
          <w:rFonts w:cs="Lucida Sans Unicode"/>
          <w:bCs/>
          <w:position w:val="0"/>
          <w:sz w:val="20"/>
          <w:szCs w:val="20"/>
          <w:lang w:eastAsia="en-US"/>
        </w:rPr>
        <w:t>c</w:t>
      </w:r>
      <w:r w:rsidR="001D2C68">
        <w:rPr>
          <w:rFonts w:cs="Lucida Sans Unicode"/>
          <w:bCs/>
          <w:position w:val="0"/>
          <w:sz w:val="20"/>
          <w:szCs w:val="20"/>
          <w:lang w:eastAsia="en-US"/>
        </w:rPr>
        <w:t>are</w:t>
      </w:r>
      <w:proofErr w:type="spellEnd"/>
      <w:r w:rsidR="001D2C68">
        <w:rPr>
          <w:rFonts w:cs="Lucida Sans Unicode"/>
          <w:bCs/>
          <w:position w:val="0"/>
          <w:sz w:val="20"/>
          <w:szCs w:val="20"/>
          <w:lang w:eastAsia="en-US"/>
        </w:rPr>
        <w:t xml:space="preserve">-Industrie wurde von </w:t>
      </w:r>
      <w:r w:rsidR="00A2489F">
        <w:rPr>
          <w:rFonts w:cs="Lucida Sans Unicode"/>
          <w:bCs/>
          <w:position w:val="0"/>
          <w:sz w:val="20"/>
          <w:szCs w:val="20"/>
          <w:lang w:eastAsia="en-US"/>
        </w:rPr>
        <w:t>Verschiebungen bei Entwicklungsprojekten</w:t>
      </w:r>
      <w:r w:rsidR="001D2C68">
        <w:rPr>
          <w:rFonts w:cs="Lucida Sans Unicode"/>
          <w:bCs/>
          <w:position w:val="0"/>
          <w:sz w:val="20"/>
          <w:szCs w:val="20"/>
          <w:lang w:eastAsia="en-US"/>
        </w:rPr>
        <w:t xml:space="preserve"> beeinträchtigt. </w:t>
      </w:r>
      <w:r w:rsidR="00A306E3">
        <w:rPr>
          <w:rFonts w:cs="Lucida Sans Unicode"/>
          <w:bCs/>
          <w:position w:val="0"/>
          <w:sz w:val="20"/>
          <w:szCs w:val="20"/>
          <w:lang w:eastAsia="en-US"/>
        </w:rPr>
        <w:t xml:space="preserve">Sehr erfreulich entwickelte sich </w:t>
      </w:r>
      <w:r w:rsidR="001D2C68">
        <w:rPr>
          <w:rFonts w:cs="Lucida Sans Unicode"/>
          <w:bCs/>
          <w:position w:val="0"/>
          <w:sz w:val="20"/>
          <w:szCs w:val="20"/>
          <w:lang w:eastAsia="en-US"/>
        </w:rPr>
        <w:t xml:space="preserve">hingegen </w:t>
      </w:r>
      <w:r w:rsidR="00A306E3">
        <w:rPr>
          <w:rFonts w:cs="Lucida Sans Unicode"/>
          <w:bCs/>
          <w:position w:val="0"/>
          <w:sz w:val="20"/>
          <w:szCs w:val="20"/>
          <w:lang w:eastAsia="en-US"/>
        </w:rPr>
        <w:t xml:space="preserve">die Nachfrage für </w:t>
      </w:r>
      <w:r w:rsidR="001D2C68">
        <w:rPr>
          <w:rFonts w:cs="Lucida Sans Unicode"/>
          <w:bCs/>
          <w:position w:val="0"/>
          <w:sz w:val="20"/>
          <w:szCs w:val="20"/>
          <w:lang w:eastAsia="en-US"/>
        </w:rPr>
        <w:t xml:space="preserve">Inhaltsstoffe für </w:t>
      </w:r>
      <w:r w:rsidR="00A306E3">
        <w:rPr>
          <w:rFonts w:cs="Lucida Sans Unicode"/>
          <w:bCs/>
          <w:position w:val="0"/>
          <w:sz w:val="20"/>
          <w:szCs w:val="20"/>
          <w:lang w:eastAsia="en-US"/>
        </w:rPr>
        <w:t xml:space="preserve">Pflegeprodukte für den persönlichen Gebrauch. Das bereinigte </w:t>
      </w:r>
      <w:r w:rsidR="00A306E3" w:rsidRPr="00D3248A">
        <w:rPr>
          <w:rFonts w:cs="Lucida Sans Unicode"/>
          <w:b/>
          <w:bCs/>
          <w:position w:val="0"/>
          <w:sz w:val="20"/>
          <w:szCs w:val="20"/>
          <w:lang w:eastAsia="en-US"/>
        </w:rPr>
        <w:t>EBITDA</w:t>
      </w:r>
      <w:r w:rsidR="00A306E3">
        <w:rPr>
          <w:rFonts w:cs="Lucida Sans Unicode"/>
          <w:bCs/>
          <w:position w:val="0"/>
          <w:sz w:val="20"/>
          <w:szCs w:val="20"/>
          <w:lang w:eastAsia="en-US"/>
        </w:rPr>
        <w:t xml:space="preserve"> verringerte sich aufgrund der nachgebenden Verkaufspreise sowie Anlaufkosten im Zusammenhang mit der Inbetriebnahme neuer Kapazitäten gegenüber dem hohen Vorjahreswert um 33 Prozent auf 187 Millionen € (Vorjahresquartal: 281 Millionen €). Die bereinigte </w:t>
      </w:r>
      <w:r w:rsidR="00A306E3" w:rsidRPr="00D3248A">
        <w:rPr>
          <w:rFonts w:cs="Lucida Sans Unicode"/>
          <w:b/>
          <w:bCs/>
          <w:position w:val="0"/>
          <w:sz w:val="20"/>
          <w:szCs w:val="20"/>
          <w:lang w:eastAsia="en-US"/>
        </w:rPr>
        <w:t>EBITDA-Marge</w:t>
      </w:r>
      <w:r w:rsidR="00A306E3">
        <w:rPr>
          <w:rFonts w:cs="Lucida Sans Unicode"/>
          <w:bCs/>
          <w:position w:val="0"/>
          <w:sz w:val="20"/>
          <w:szCs w:val="20"/>
          <w:lang w:eastAsia="en-US"/>
        </w:rPr>
        <w:t xml:space="preserve"> blieb mit 19,1 Prozent unter dem sehr guten Vorjahreswert von 27,3 Prozent.</w:t>
      </w:r>
    </w:p>
    <w:p w:rsidR="00ED42EE" w:rsidRDefault="00ED42EE" w:rsidP="002F5039">
      <w:pPr>
        <w:spacing w:line="300" w:lineRule="exact"/>
        <w:rPr>
          <w:rFonts w:cs="Lucida Sans Unicode"/>
          <w:bCs/>
          <w:position w:val="0"/>
          <w:sz w:val="20"/>
          <w:szCs w:val="20"/>
          <w:lang w:eastAsia="en-US"/>
        </w:rPr>
      </w:pPr>
    </w:p>
    <w:p w:rsidR="006279B2" w:rsidRDefault="006279B2" w:rsidP="002F5039">
      <w:pPr>
        <w:spacing w:line="300" w:lineRule="exact"/>
        <w:rPr>
          <w:rFonts w:cs="Lucida Sans Unicode"/>
          <w:bCs/>
          <w:position w:val="0"/>
          <w:sz w:val="20"/>
          <w:szCs w:val="20"/>
          <w:lang w:eastAsia="en-US"/>
        </w:rPr>
      </w:pPr>
    </w:p>
    <w:p w:rsidR="002F5039" w:rsidRDefault="002F5039" w:rsidP="002F5039">
      <w:pPr>
        <w:spacing w:line="300" w:lineRule="exact"/>
        <w:rPr>
          <w:rFonts w:cs="Lucida Sans Unicode"/>
          <w:b/>
          <w:sz w:val="20"/>
          <w:szCs w:val="20"/>
        </w:rPr>
      </w:pPr>
      <w:r w:rsidRPr="002F5039">
        <w:rPr>
          <w:rFonts w:cs="Lucida Sans Unicode"/>
          <w:b/>
          <w:sz w:val="20"/>
          <w:szCs w:val="20"/>
        </w:rPr>
        <w:t>Resource Efficiency</w:t>
      </w:r>
    </w:p>
    <w:p w:rsidR="002F5039" w:rsidRPr="00D3248A" w:rsidRDefault="002F5039" w:rsidP="002F5039">
      <w:pPr>
        <w:spacing w:line="300" w:lineRule="exact"/>
        <w:rPr>
          <w:rFonts w:cs="Lucida Sans Unicode"/>
          <w:sz w:val="20"/>
          <w:szCs w:val="20"/>
        </w:rPr>
      </w:pPr>
    </w:p>
    <w:p w:rsidR="00D3248A" w:rsidRDefault="00D3248A" w:rsidP="00D3248A">
      <w:pPr>
        <w:pStyle w:val="Listenabsatz"/>
        <w:numPr>
          <w:ilvl w:val="0"/>
          <w:numId w:val="18"/>
        </w:numPr>
        <w:spacing w:line="300" w:lineRule="exact"/>
        <w:rPr>
          <w:sz w:val="20"/>
          <w:szCs w:val="20"/>
        </w:rPr>
      </w:pPr>
      <w:r>
        <w:rPr>
          <w:sz w:val="20"/>
          <w:szCs w:val="20"/>
        </w:rPr>
        <w:t>Steigende Nachfrage bei nahezu stabilen Verkaufspreisen</w:t>
      </w:r>
    </w:p>
    <w:p w:rsidR="00D3248A" w:rsidRDefault="00D3248A" w:rsidP="00D3248A">
      <w:pPr>
        <w:pStyle w:val="Listenabsatz"/>
        <w:numPr>
          <w:ilvl w:val="0"/>
          <w:numId w:val="18"/>
        </w:numPr>
        <w:spacing w:line="300" w:lineRule="exact"/>
        <w:rPr>
          <w:sz w:val="20"/>
          <w:szCs w:val="20"/>
        </w:rPr>
      </w:pPr>
      <w:r>
        <w:rPr>
          <w:sz w:val="20"/>
          <w:szCs w:val="20"/>
        </w:rPr>
        <w:t>Höheres bereinigtes EBITDA</w:t>
      </w:r>
    </w:p>
    <w:p w:rsidR="00D3248A" w:rsidRPr="00D3248A" w:rsidRDefault="00D3248A" w:rsidP="00D3248A">
      <w:pPr>
        <w:pStyle w:val="Listenabsatz"/>
        <w:numPr>
          <w:ilvl w:val="0"/>
          <w:numId w:val="18"/>
        </w:numPr>
        <w:spacing w:line="300" w:lineRule="exact"/>
        <w:rPr>
          <w:sz w:val="20"/>
          <w:szCs w:val="20"/>
        </w:rPr>
      </w:pPr>
      <w:r>
        <w:rPr>
          <w:sz w:val="20"/>
          <w:szCs w:val="20"/>
        </w:rPr>
        <w:t xml:space="preserve">Bereinigte EBITDA-Marge verbessert sich auf sehr gute </w:t>
      </w:r>
      <w:r>
        <w:rPr>
          <w:sz w:val="20"/>
          <w:szCs w:val="20"/>
        </w:rPr>
        <w:br/>
        <w:t>23,5 Prozent</w:t>
      </w:r>
    </w:p>
    <w:p w:rsidR="00D3248A" w:rsidRDefault="00D3248A" w:rsidP="002F5039">
      <w:pPr>
        <w:spacing w:line="300" w:lineRule="exact"/>
        <w:rPr>
          <w:sz w:val="20"/>
          <w:szCs w:val="20"/>
        </w:rPr>
      </w:pPr>
    </w:p>
    <w:p w:rsidR="00A02C86" w:rsidRDefault="00A02C86" w:rsidP="002F5039">
      <w:pPr>
        <w:spacing w:line="300" w:lineRule="exact"/>
        <w:rPr>
          <w:sz w:val="20"/>
          <w:szCs w:val="20"/>
        </w:rPr>
      </w:pPr>
      <w:r w:rsidRPr="002F5039">
        <w:rPr>
          <w:sz w:val="20"/>
          <w:szCs w:val="20"/>
        </w:rPr>
        <w:t xml:space="preserve">Das Segment </w:t>
      </w:r>
      <w:r w:rsidRPr="004046AF">
        <w:rPr>
          <w:b/>
          <w:sz w:val="20"/>
          <w:szCs w:val="20"/>
        </w:rPr>
        <w:t>Resource Efficiency</w:t>
      </w:r>
      <w:r w:rsidRPr="002F5039">
        <w:rPr>
          <w:sz w:val="20"/>
          <w:szCs w:val="20"/>
        </w:rPr>
        <w:t xml:space="preserve"> bietet umweltfreundliche und energieeffiziente Systemlösungen. Ihm sind die beiden Geschäftsbereiche </w:t>
      </w:r>
      <w:proofErr w:type="spellStart"/>
      <w:r w:rsidRPr="002F5039">
        <w:rPr>
          <w:sz w:val="20"/>
          <w:szCs w:val="20"/>
        </w:rPr>
        <w:t>Inorganic</w:t>
      </w:r>
      <w:proofErr w:type="spellEnd"/>
      <w:r w:rsidRPr="002F5039">
        <w:rPr>
          <w:sz w:val="20"/>
          <w:szCs w:val="20"/>
        </w:rPr>
        <w:t xml:space="preserve"> Materials sowie Coatings &amp; Additives zugeordnet.</w:t>
      </w:r>
    </w:p>
    <w:p w:rsidR="00444979" w:rsidRDefault="00444979" w:rsidP="002F5039">
      <w:pPr>
        <w:spacing w:line="300" w:lineRule="exact"/>
        <w:rPr>
          <w:sz w:val="20"/>
          <w:szCs w:val="20"/>
        </w:rPr>
      </w:pPr>
    </w:p>
    <w:p w:rsidR="00D3248A" w:rsidRDefault="00444979" w:rsidP="00444979">
      <w:pPr>
        <w:spacing w:line="300" w:lineRule="exact"/>
        <w:rPr>
          <w:sz w:val="20"/>
          <w:szCs w:val="20"/>
        </w:rPr>
      </w:pPr>
      <w:r>
        <w:rPr>
          <w:sz w:val="20"/>
          <w:szCs w:val="20"/>
        </w:rPr>
        <w:t xml:space="preserve">Der </w:t>
      </w:r>
      <w:r w:rsidRPr="00801C4B">
        <w:rPr>
          <w:b/>
          <w:sz w:val="20"/>
          <w:szCs w:val="20"/>
        </w:rPr>
        <w:t>Umsatz</w:t>
      </w:r>
      <w:r w:rsidR="00A02C86" w:rsidRPr="00444979">
        <w:rPr>
          <w:sz w:val="20"/>
          <w:szCs w:val="20"/>
        </w:rPr>
        <w:t xml:space="preserve"> </w:t>
      </w:r>
      <w:r w:rsidR="00D3248A">
        <w:rPr>
          <w:sz w:val="20"/>
          <w:szCs w:val="20"/>
        </w:rPr>
        <w:t xml:space="preserve">wuchs um 4 Prozent auf 805 Millionen € (Vorjahresquartal: 771 Millionen €). Bei nahezu stabilen Verkaufspreisen und deutlichen Mengensteigerungen wurde ein erkennbares organisches Umsatzwachstum erzielt, während negative Währungseffekte gegenläufig wirkten. Vor allem das Geschäft mit Kieselsäuren und </w:t>
      </w:r>
      <w:proofErr w:type="spellStart"/>
      <w:r w:rsidR="00D3248A">
        <w:rPr>
          <w:sz w:val="20"/>
          <w:szCs w:val="20"/>
        </w:rPr>
        <w:t>Silanen</w:t>
      </w:r>
      <w:proofErr w:type="spellEnd"/>
      <w:r w:rsidR="00D3248A">
        <w:rPr>
          <w:sz w:val="20"/>
          <w:szCs w:val="20"/>
        </w:rPr>
        <w:t xml:space="preserve"> profitierte von einer starken Nachfrage aus der Reifenindustrie. </w:t>
      </w:r>
      <w:r w:rsidR="000A0B5A">
        <w:rPr>
          <w:sz w:val="20"/>
          <w:szCs w:val="20"/>
        </w:rPr>
        <w:t>Auch Mattierung</w:t>
      </w:r>
      <w:r w:rsidR="00A2489F">
        <w:rPr>
          <w:sz w:val="20"/>
          <w:szCs w:val="20"/>
        </w:rPr>
        <w:t xml:space="preserve">smittel für Lacke und Beschichtungen </w:t>
      </w:r>
      <w:r w:rsidR="000A0B5A">
        <w:rPr>
          <w:sz w:val="20"/>
          <w:szCs w:val="20"/>
        </w:rPr>
        <w:t xml:space="preserve">entwickelten sich gut. </w:t>
      </w:r>
      <w:proofErr w:type="spellStart"/>
      <w:r w:rsidR="001F6653">
        <w:rPr>
          <w:sz w:val="20"/>
          <w:szCs w:val="20"/>
        </w:rPr>
        <w:t>Crosslinker</w:t>
      </w:r>
      <w:proofErr w:type="spellEnd"/>
      <w:r w:rsidR="001F6653">
        <w:rPr>
          <w:sz w:val="20"/>
          <w:szCs w:val="20"/>
        </w:rPr>
        <w:t xml:space="preserve"> und Öladditive verzeichneten eine </w:t>
      </w:r>
      <w:r w:rsidR="00D3248A">
        <w:rPr>
          <w:sz w:val="20"/>
          <w:szCs w:val="20"/>
        </w:rPr>
        <w:t>deutlich</w:t>
      </w:r>
      <w:r w:rsidR="001F6653">
        <w:rPr>
          <w:sz w:val="20"/>
          <w:szCs w:val="20"/>
        </w:rPr>
        <w:t xml:space="preserve"> höhere</w:t>
      </w:r>
      <w:r w:rsidR="00D3248A">
        <w:rPr>
          <w:sz w:val="20"/>
          <w:szCs w:val="20"/>
        </w:rPr>
        <w:t xml:space="preserve"> Nachfrage aus der Automobil-,  Coatings- sowie Bauindustrie</w:t>
      </w:r>
      <w:r w:rsidR="001F6653">
        <w:rPr>
          <w:sz w:val="20"/>
          <w:szCs w:val="20"/>
        </w:rPr>
        <w:t>.</w:t>
      </w:r>
      <w:r w:rsidR="00D3248A">
        <w:rPr>
          <w:sz w:val="20"/>
          <w:szCs w:val="20"/>
        </w:rPr>
        <w:t xml:space="preserve"> Das bereinigte </w:t>
      </w:r>
      <w:r w:rsidR="00D3248A" w:rsidRPr="00D3248A">
        <w:rPr>
          <w:b/>
          <w:sz w:val="20"/>
          <w:szCs w:val="20"/>
        </w:rPr>
        <w:t>EBITDA</w:t>
      </w:r>
      <w:r w:rsidR="00D3248A">
        <w:rPr>
          <w:sz w:val="20"/>
          <w:szCs w:val="20"/>
        </w:rPr>
        <w:t xml:space="preserve"> stieg um 10 Prozent auf 189 Millionen € (Vorjahresquartal: 172 Millionen €). Die bereinigte </w:t>
      </w:r>
      <w:r w:rsidR="00D3248A" w:rsidRPr="00D3248A">
        <w:rPr>
          <w:b/>
          <w:sz w:val="20"/>
          <w:szCs w:val="20"/>
        </w:rPr>
        <w:t>EBITDA-Marge</w:t>
      </w:r>
      <w:r w:rsidR="00D3248A">
        <w:rPr>
          <w:sz w:val="20"/>
          <w:szCs w:val="20"/>
        </w:rPr>
        <w:t xml:space="preserve"> verbesserte sich von 22,3 auf 23,5 Prozent.</w:t>
      </w:r>
    </w:p>
    <w:p w:rsidR="00A02C86" w:rsidRPr="00B13E9A" w:rsidRDefault="00A02C86" w:rsidP="00A02C86">
      <w:pPr>
        <w:rPr>
          <w:bCs/>
        </w:rPr>
      </w:pPr>
    </w:p>
    <w:p w:rsidR="004046AF" w:rsidRDefault="004046AF" w:rsidP="00D941D1">
      <w:pPr>
        <w:spacing w:line="300" w:lineRule="exact"/>
        <w:rPr>
          <w:b/>
          <w:sz w:val="20"/>
          <w:szCs w:val="20"/>
        </w:rPr>
      </w:pPr>
    </w:p>
    <w:p w:rsidR="00EC4401" w:rsidRDefault="00EC4401" w:rsidP="00D941D1">
      <w:pPr>
        <w:spacing w:line="300" w:lineRule="exact"/>
        <w:rPr>
          <w:b/>
          <w:sz w:val="20"/>
          <w:szCs w:val="20"/>
        </w:rPr>
      </w:pPr>
    </w:p>
    <w:p w:rsidR="00A02C86" w:rsidRPr="00D941D1" w:rsidRDefault="00A02C86" w:rsidP="00D941D1">
      <w:pPr>
        <w:spacing w:line="300" w:lineRule="exact"/>
        <w:rPr>
          <w:b/>
          <w:sz w:val="20"/>
          <w:szCs w:val="20"/>
        </w:rPr>
      </w:pPr>
      <w:r w:rsidRPr="00D941D1">
        <w:rPr>
          <w:b/>
          <w:sz w:val="20"/>
          <w:szCs w:val="20"/>
        </w:rPr>
        <w:lastRenderedPageBreak/>
        <w:t>Specialty Materials</w:t>
      </w:r>
    </w:p>
    <w:p w:rsidR="00A02C86" w:rsidRDefault="00A02C86" w:rsidP="00A02C86">
      <w:pPr>
        <w:rPr>
          <w:bCs/>
          <w:sz w:val="20"/>
          <w:szCs w:val="20"/>
        </w:rPr>
      </w:pPr>
    </w:p>
    <w:p w:rsidR="004046AF" w:rsidRDefault="004046AF" w:rsidP="00C66326">
      <w:pPr>
        <w:pStyle w:val="Listenabsatz"/>
        <w:numPr>
          <w:ilvl w:val="0"/>
          <w:numId w:val="19"/>
        </w:numPr>
        <w:spacing w:line="300" w:lineRule="exact"/>
        <w:ind w:left="799" w:hanging="357"/>
        <w:rPr>
          <w:bCs/>
          <w:sz w:val="20"/>
          <w:szCs w:val="20"/>
        </w:rPr>
      </w:pPr>
      <w:r>
        <w:rPr>
          <w:bCs/>
          <w:sz w:val="20"/>
          <w:szCs w:val="20"/>
        </w:rPr>
        <w:t>Höhere Mengen, rückläufige Verkaufspreise</w:t>
      </w:r>
    </w:p>
    <w:p w:rsidR="004046AF" w:rsidRDefault="004046AF" w:rsidP="00C66326">
      <w:pPr>
        <w:pStyle w:val="Listenabsatz"/>
        <w:numPr>
          <w:ilvl w:val="0"/>
          <w:numId w:val="19"/>
        </w:numPr>
        <w:spacing w:line="300" w:lineRule="exact"/>
        <w:ind w:left="799" w:hanging="357"/>
        <w:rPr>
          <w:bCs/>
          <w:sz w:val="20"/>
          <w:szCs w:val="20"/>
        </w:rPr>
      </w:pPr>
      <w:r>
        <w:rPr>
          <w:bCs/>
          <w:sz w:val="20"/>
          <w:szCs w:val="20"/>
        </w:rPr>
        <w:t>Bereinigtes EBITDA deutlich unter gutem Vorjahreswert</w:t>
      </w:r>
    </w:p>
    <w:p w:rsidR="004046AF" w:rsidRPr="004046AF" w:rsidRDefault="004046AF" w:rsidP="00C66326">
      <w:pPr>
        <w:pStyle w:val="Listenabsatz"/>
        <w:numPr>
          <w:ilvl w:val="0"/>
          <w:numId w:val="19"/>
        </w:numPr>
        <w:spacing w:line="300" w:lineRule="exact"/>
        <w:ind w:left="799" w:hanging="357"/>
        <w:rPr>
          <w:bCs/>
          <w:sz w:val="20"/>
          <w:szCs w:val="20"/>
        </w:rPr>
      </w:pPr>
      <w:r>
        <w:rPr>
          <w:bCs/>
          <w:sz w:val="20"/>
          <w:szCs w:val="20"/>
        </w:rPr>
        <w:t>Bereinigte EBITDA-Marge verringert sich auf 9,4 Prozent</w:t>
      </w:r>
    </w:p>
    <w:p w:rsidR="004046AF" w:rsidRPr="004046AF" w:rsidRDefault="004046AF" w:rsidP="00A02C86">
      <w:pPr>
        <w:rPr>
          <w:bCs/>
          <w:sz w:val="20"/>
          <w:szCs w:val="20"/>
        </w:rPr>
      </w:pPr>
    </w:p>
    <w:p w:rsidR="00A02C86" w:rsidRPr="00B13E9A" w:rsidRDefault="00A02C86" w:rsidP="002F5039">
      <w:pPr>
        <w:pStyle w:val="ErsteZeile"/>
        <w:rPr>
          <w:b/>
        </w:rPr>
      </w:pPr>
      <w:r w:rsidRPr="00B13E9A">
        <w:t xml:space="preserve">Im Mittelpunkt des Segments </w:t>
      </w:r>
      <w:r w:rsidRPr="004046AF">
        <w:rPr>
          <w:b/>
        </w:rPr>
        <w:t>Specialty Materials</w:t>
      </w:r>
      <w:r w:rsidRPr="00B13E9A">
        <w:t xml:space="preserve"> steht die Herstellung von polymeren Werkstoffen sowie Zwischenprodukten vor allem für die Gummi- und Kunststoffindustrie. Es gliedert sich in die Geschäftsbereiche Performance Polymers und </w:t>
      </w:r>
      <w:proofErr w:type="spellStart"/>
      <w:r w:rsidRPr="00B13E9A">
        <w:t>Advanced</w:t>
      </w:r>
      <w:proofErr w:type="spellEnd"/>
      <w:r w:rsidRPr="00B13E9A">
        <w:t xml:space="preserve"> Intermediates.</w:t>
      </w:r>
    </w:p>
    <w:p w:rsidR="00985458" w:rsidRDefault="00985458" w:rsidP="00D941D1">
      <w:pPr>
        <w:pStyle w:val="EvonikStandard"/>
        <w:keepNext/>
        <w:keepLines/>
        <w:spacing w:line="300" w:lineRule="exact"/>
        <w:ind w:left="85" w:right="85" w:firstLine="0"/>
        <w:rPr>
          <w:rFonts w:eastAsia="Times New Roman" w:cs="Lucida Sans Unicode"/>
          <w:bCs/>
          <w:sz w:val="20"/>
        </w:rPr>
      </w:pPr>
    </w:p>
    <w:p w:rsidR="008017B0" w:rsidRDefault="00A02C86" w:rsidP="00D941D1">
      <w:pPr>
        <w:pStyle w:val="EvonikStandard"/>
        <w:keepNext/>
        <w:keepLines/>
        <w:spacing w:line="300" w:lineRule="exact"/>
        <w:ind w:left="85" w:right="85" w:firstLine="0"/>
        <w:rPr>
          <w:rFonts w:eastAsia="Times New Roman" w:cs="Lucida Sans Unicode"/>
          <w:bCs/>
          <w:sz w:val="20"/>
        </w:rPr>
      </w:pPr>
      <w:r w:rsidRPr="00D941D1">
        <w:rPr>
          <w:rFonts w:eastAsia="Times New Roman" w:cs="Lucida Sans Unicode"/>
          <w:bCs/>
          <w:sz w:val="20"/>
        </w:rPr>
        <w:t xml:space="preserve">Der </w:t>
      </w:r>
      <w:r w:rsidRPr="00801C4B">
        <w:rPr>
          <w:rFonts w:eastAsia="Times New Roman" w:cs="Lucida Sans Unicode"/>
          <w:b/>
          <w:bCs/>
          <w:sz w:val="20"/>
        </w:rPr>
        <w:t>Umsatz</w:t>
      </w:r>
      <w:r w:rsidRPr="00D941D1">
        <w:rPr>
          <w:rFonts w:eastAsia="Times New Roman" w:cs="Lucida Sans Unicode"/>
          <w:bCs/>
          <w:sz w:val="20"/>
        </w:rPr>
        <w:t xml:space="preserve"> </w:t>
      </w:r>
      <w:r w:rsidR="004046AF">
        <w:rPr>
          <w:rFonts w:eastAsia="Times New Roman" w:cs="Lucida Sans Unicode"/>
          <w:bCs/>
          <w:sz w:val="20"/>
        </w:rPr>
        <w:t xml:space="preserve">nahm um 1 Prozent auf 1.177 Millionen € zu (Vorjahresquartal: 1.170 Millionen €). </w:t>
      </w:r>
      <w:r w:rsidR="001F6653">
        <w:rPr>
          <w:rFonts w:eastAsia="Times New Roman" w:cs="Lucida Sans Unicode"/>
          <w:bCs/>
          <w:sz w:val="20"/>
        </w:rPr>
        <w:t xml:space="preserve">Ohne Berücksichtigung von </w:t>
      </w:r>
      <w:r w:rsidR="004046AF">
        <w:rPr>
          <w:rFonts w:eastAsia="Times New Roman" w:cs="Lucida Sans Unicode"/>
          <w:bCs/>
          <w:sz w:val="20"/>
        </w:rPr>
        <w:t>Währungs</w:t>
      </w:r>
      <w:r w:rsidR="00E43D02">
        <w:rPr>
          <w:rFonts w:eastAsia="Times New Roman" w:cs="Lucida Sans Unicode"/>
          <w:bCs/>
          <w:sz w:val="20"/>
        </w:rPr>
        <w:t>e</w:t>
      </w:r>
      <w:r w:rsidR="004046AF">
        <w:rPr>
          <w:rFonts w:eastAsia="Times New Roman" w:cs="Lucida Sans Unicode"/>
          <w:bCs/>
          <w:sz w:val="20"/>
        </w:rPr>
        <w:t>ffekte</w:t>
      </w:r>
      <w:r w:rsidR="00A2489F">
        <w:rPr>
          <w:rFonts w:eastAsia="Times New Roman" w:cs="Lucida Sans Unicode"/>
          <w:bCs/>
          <w:sz w:val="20"/>
        </w:rPr>
        <w:t>n</w:t>
      </w:r>
      <w:r w:rsidR="004046AF">
        <w:rPr>
          <w:rFonts w:eastAsia="Times New Roman" w:cs="Lucida Sans Unicode"/>
          <w:bCs/>
          <w:sz w:val="20"/>
        </w:rPr>
        <w:t xml:space="preserve"> wurde ein leichtes organisches Umsatzwachstum erzielt</w:t>
      </w:r>
      <w:r w:rsidR="001F6653">
        <w:rPr>
          <w:rFonts w:eastAsia="Times New Roman" w:cs="Lucida Sans Unicode"/>
          <w:bCs/>
          <w:sz w:val="20"/>
        </w:rPr>
        <w:t xml:space="preserve">. Dabei standen </w:t>
      </w:r>
      <w:r w:rsidR="004046AF">
        <w:rPr>
          <w:rFonts w:eastAsia="Times New Roman" w:cs="Lucida Sans Unicode"/>
          <w:bCs/>
          <w:sz w:val="20"/>
        </w:rPr>
        <w:t>erfreuliche</w:t>
      </w:r>
      <w:r w:rsidR="0062241E">
        <w:rPr>
          <w:rFonts w:eastAsia="Times New Roman" w:cs="Lucida Sans Unicode"/>
          <w:bCs/>
          <w:sz w:val="20"/>
        </w:rPr>
        <w:t>n</w:t>
      </w:r>
      <w:r w:rsidR="004046AF">
        <w:rPr>
          <w:rFonts w:eastAsia="Times New Roman" w:cs="Lucida Sans Unicode"/>
          <w:bCs/>
          <w:sz w:val="20"/>
        </w:rPr>
        <w:t xml:space="preserve"> Mengensteigerungen deutlich nachgebende Verkaufspreise</w:t>
      </w:r>
      <w:r w:rsidR="001F6653">
        <w:rPr>
          <w:rFonts w:eastAsia="Times New Roman" w:cs="Lucida Sans Unicode"/>
          <w:bCs/>
          <w:sz w:val="20"/>
        </w:rPr>
        <w:t>, insbesondere für Butadien,</w:t>
      </w:r>
      <w:r w:rsidR="004046AF">
        <w:rPr>
          <w:rFonts w:eastAsia="Times New Roman" w:cs="Lucida Sans Unicode"/>
          <w:bCs/>
          <w:sz w:val="20"/>
        </w:rPr>
        <w:t xml:space="preserve"> gegen</w:t>
      </w:r>
      <w:r w:rsidR="00985458">
        <w:rPr>
          <w:rFonts w:eastAsia="Times New Roman" w:cs="Lucida Sans Unicode"/>
          <w:bCs/>
          <w:sz w:val="20"/>
        </w:rPr>
        <w:t>über</w:t>
      </w:r>
      <w:r w:rsidR="004046AF">
        <w:rPr>
          <w:rFonts w:eastAsia="Times New Roman" w:cs="Lucida Sans Unicode"/>
          <w:bCs/>
          <w:sz w:val="20"/>
        </w:rPr>
        <w:t xml:space="preserve">. Eine steigende Nachfrage verzeichneten </w:t>
      </w:r>
      <w:r w:rsidR="001F6653">
        <w:rPr>
          <w:rFonts w:eastAsia="Times New Roman" w:cs="Lucida Sans Unicode"/>
          <w:bCs/>
          <w:sz w:val="20"/>
        </w:rPr>
        <w:t xml:space="preserve">nahezu alle Produkte der </w:t>
      </w:r>
      <w:r w:rsidR="001F6653" w:rsidRPr="001F6653">
        <w:rPr>
          <w:rFonts w:eastAsia="Times New Roman" w:cs="Lucida Sans Unicode"/>
          <w:bCs/>
          <w:sz w:val="20"/>
        </w:rPr>
        <w:t>C</w:t>
      </w:r>
      <w:r w:rsidR="001F6653" w:rsidRPr="005451C4">
        <w:rPr>
          <w:rFonts w:eastAsia="Times New Roman" w:cs="Lucida Sans Unicode"/>
          <w:bCs/>
          <w:sz w:val="20"/>
          <w:vertAlign w:val="subscript"/>
        </w:rPr>
        <w:t>4</w:t>
      </w:r>
      <w:r w:rsidR="001F6653" w:rsidRPr="001F6653">
        <w:rPr>
          <w:rFonts w:eastAsia="Times New Roman" w:cs="Lucida Sans Unicode"/>
          <w:bCs/>
          <w:sz w:val="20"/>
        </w:rPr>
        <w:t xml:space="preserve">-Chemie </w:t>
      </w:r>
      <w:r w:rsidR="001F6653">
        <w:rPr>
          <w:rFonts w:eastAsia="Times New Roman" w:cs="Lucida Sans Unicode"/>
          <w:bCs/>
          <w:sz w:val="20"/>
        </w:rPr>
        <w:t>sowie</w:t>
      </w:r>
      <w:r w:rsidR="004046AF">
        <w:rPr>
          <w:rFonts w:eastAsia="Times New Roman" w:cs="Lucida Sans Unicode"/>
          <w:bCs/>
          <w:sz w:val="20"/>
        </w:rPr>
        <w:t xml:space="preserve"> Polyamid 12-Produkte</w:t>
      </w:r>
      <w:r w:rsidR="001F6653">
        <w:rPr>
          <w:rFonts w:eastAsia="Times New Roman" w:cs="Lucida Sans Unicode"/>
          <w:bCs/>
          <w:sz w:val="20"/>
        </w:rPr>
        <w:t>.</w:t>
      </w:r>
      <w:r w:rsidR="008017B0">
        <w:rPr>
          <w:rFonts w:eastAsia="Times New Roman" w:cs="Lucida Sans Unicode"/>
          <w:bCs/>
          <w:sz w:val="20"/>
        </w:rPr>
        <w:t xml:space="preserve"> </w:t>
      </w:r>
      <w:r w:rsidR="00BD2066">
        <w:rPr>
          <w:rFonts w:eastAsia="Times New Roman" w:cs="Lucida Sans Unicode"/>
          <w:bCs/>
          <w:sz w:val="20"/>
        </w:rPr>
        <w:t xml:space="preserve">Der Mengenabsatz von </w:t>
      </w:r>
      <w:proofErr w:type="spellStart"/>
      <w:r w:rsidR="00BD2066">
        <w:rPr>
          <w:rFonts w:eastAsia="Times New Roman" w:cs="Lucida Sans Unicode"/>
          <w:bCs/>
          <w:sz w:val="20"/>
        </w:rPr>
        <w:t>Methacrylaten</w:t>
      </w:r>
      <w:proofErr w:type="spellEnd"/>
      <w:r w:rsidR="00BD2066">
        <w:rPr>
          <w:rFonts w:eastAsia="Times New Roman" w:cs="Lucida Sans Unicode"/>
          <w:bCs/>
          <w:sz w:val="20"/>
        </w:rPr>
        <w:t xml:space="preserve"> war stabil. </w:t>
      </w:r>
      <w:r w:rsidR="008017B0">
        <w:rPr>
          <w:rFonts w:eastAsia="Times New Roman" w:cs="Lucida Sans Unicode"/>
          <w:bCs/>
          <w:sz w:val="20"/>
        </w:rPr>
        <w:t xml:space="preserve">Das bereinigte </w:t>
      </w:r>
      <w:r w:rsidR="008017B0" w:rsidRPr="008017B0">
        <w:rPr>
          <w:rFonts w:eastAsia="Times New Roman" w:cs="Lucida Sans Unicode"/>
          <w:b/>
          <w:bCs/>
          <w:sz w:val="20"/>
        </w:rPr>
        <w:t>EBITDA</w:t>
      </w:r>
      <w:r w:rsidR="008017B0">
        <w:rPr>
          <w:rFonts w:eastAsia="Times New Roman" w:cs="Lucida Sans Unicode"/>
          <w:bCs/>
          <w:sz w:val="20"/>
        </w:rPr>
        <w:t xml:space="preserve"> lag </w:t>
      </w:r>
      <w:r w:rsidR="00FD3EC4">
        <w:rPr>
          <w:rFonts w:eastAsia="Times New Roman" w:cs="Lucida Sans Unicode"/>
          <w:bCs/>
          <w:sz w:val="20"/>
        </w:rPr>
        <w:t xml:space="preserve">vor allem infolge der geringeren Verkaufspreise </w:t>
      </w:r>
      <w:r w:rsidR="007A4497">
        <w:rPr>
          <w:rFonts w:eastAsia="Times New Roman" w:cs="Lucida Sans Unicode"/>
          <w:bCs/>
          <w:sz w:val="20"/>
        </w:rPr>
        <w:t xml:space="preserve">sowie höherer Rohstoffkosten </w:t>
      </w:r>
      <w:r w:rsidR="008017B0">
        <w:rPr>
          <w:rFonts w:eastAsia="Times New Roman" w:cs="Lucida Sans Unicode"/>
          <w:bCs/>
          <w:sz w:val="20"/>
        </w:rPr>
        <w:t xml:space="preserve">mit 111 Millionen € um 39 Prozent unter dem hohen Vorjahreswert (182 Millionen €). Die bereinigte </w:t>
      </w:r>
      <w:r w:rsidR="008017B0" w:rsidRPr="008017B0">
        <w:rPr>
          <w:rFonts w:eastAsia="Times New Roman" w:cs="Lucida Sans Unicode"/>
          <w:b/>
          <w:bCs/>
          <w:sz w:val="20"/>
        </w:rPr>
        <w:t>EBITDA-Marge</w:t>
      </w:r>
      <w:r w:rsidR="008017B0">
        <w:rPr>
          <w:rFonts w:eastAsia="Times New Roman" w:cs="Lucida Sans Unicode"/>
          <w:bCs/>
          <w:sz w:val="20"/>
        </w:rPr>
        <w:t xml:space="preserve"> verringerte sich von 15,6 Prozent im Vorjahresquartal auf 9,4 Prozent.</w:t>
      </w:r>
    </w:p>
    <w:p w:rsidR="00A02C86" w:rsidRDefault="00A02C86" w:rsidP="00D941D1">
      <w:pPr>
        <w:spacing w:line="300" w:lineRule="exact"/>
        <w:rPr>
          <w:b/>
          <w:sz w:val="20"/>
          <w:szCs w:val="20"/>
        </w:rPr>
      </w:pPr>
    </w:p>
    <w:p w:rsidR="005D543A" w:rsidRDefault="005D543A" w:rsidP="00D941D1">
      <w:pPr>
        <w:spacing w:line="300" w:lineRule="exact"/>
        <w:rPr>
          <w:b/>
          <w:sz w:val="20"/>
          <w:szCs w:val="20"/>
        </w:rPr>
      </w:pPr>
    </w:p>
    <w:p w:rsidR="004A269A" w:rsidRDefault="00A02C86" w:rsidP="004A269A">
      <w:pPr>
        <w:spacing w:line="300" w:lineRule="exact"/>
        <w:rPr>
          <w:b/>
          <w:sz w:val="20"/>
          <w:szCs w:val="20"/>
        </w:rPr>
      </w:pPr>
      <w:r w:rsidRPr="00D941D1">
        <w:rPr>
          <w:b/>
          <w:sz w:val="20"/>
          <w:szCs w:val="20"/>
        </w:rPr>
        <w:t>Services</w:t>
      </w:r>
    </w:p>
    <w:p w:rsidR="004A269A" w:rsidRDefault="004A269A" w:rsidP="004A269A">
      <w:pPr>
        <w:spacing w:line="300" w:lineRule="exact"/>
        <w:rPr>
          <w:b/>
          <w:sz w:val="20"/>
          <w:szCs w:val="20"/>
        </w:rPr>
      </w:pPr>
    </w:p>
    <w:p w:rsidR="00A02C86" w:rsidRDefault="00A02C86" w:rsidP="004A269A">
      <w:pPr>
        <w:spacing w:line="300" w:lineRule="exact"/>
        <w:rPr>
          <w:rFonts w:cs="Lucida Sans Unicode"/>
          <w:bCs/>
          <w:sz w:val="20"/>
        </w:rPr>
      </w:pPr>
      <w:r w:rsidRPr="00D941D1">
        <w:rPr>
          <w:rFonts w:cs="Lucida Sans Unicode"/>
          <w:bCs/>
          <w:sz w:val="20"/>
        </w:rPr>
        <w:t xml:space="preserve">Das Segment Services </w:t>
      </w:r>
      <w:r w:rsidR="008017B0">
        <w:rPr>
          <w:rFonts w:cs="Lucida Sans Unicode"/>
          <w:bCs/>
          <w:sz w:val="20"/>
        </w:rPr>
        <w:t>erbringt seine Dienstleistungen vor allem für die operativen Spezialchemiegeschäfte und das Corporate Center von Evonik sowie für Dritte</w:t>
      </w:r>
      <w:r w:rsidR="009A5B4B">
        <w:rPr>
          <w:rFonts w:cs="Lucida Sans Unicode"/>
          <w:bCs/>
          <w:sz w:val="20"/>
        </w:rPr>
        <w:t>.</w:t>
      </w:r>
    </w:p>
    <w:p w:rsidR="009A5B4B" w:rsidRPr="00D941D1" w:rsidRDefault="009A5B4B" w:rsidP="004A269A">
      <w:pPr>
        <w:spacing w:line="300" w:lineRule="exact"/>
        <w:rPr>
          <w:rFonts w:cs="Lucida Sans Unicode"/>
          <w:bCs/>
          <w:sz w:val="20"/>
        </w:rPr>
      </w:pPr>
    </w:p>
    <w:p w:rsidR="00A02C86" w:rsidRPr="00D941D1" w:rsidRDefault="008017B0" w:rsidP="00D941D1">
      <w:pPr>
        <w:pStyle w:val="EvonikStandard"/>
        <w:keepNext/>
        <w:keepLines/>
        <w:spacing w:line="300" w:lineRule="exact"/>
        <w:ind w:left="85" w:right="85" w:firstLine="0"/>
        <w:rPr>
          <w:rFonts w:eastAsia="Times New Roman" w:cs="Lucida Sans Unicode"/>
          <w:bCs/>
          <w:sz w:val="20"/>
        </w:rPr>
      </w:pPr>
      <w:r>
        <w:rPr>
          <w:rFonts w:eastAsia="Times New Roman" w:cs="Lucida Sans Unicode"/>
          <w:bCs/>
          <w:sz w:val="20"/>
        </w:rPr>
        <w:t xml:space="preserve">Das Segment erzielte einen </w:t>
      </w:r>
      <w:r w:rsidR="00A02C86" w:rsidRPr="00801C4B">
        <w:rPr>
          <w:rFonts w:eastAsia="Times New Roman" w:cs="Lucida Sans Unicode"/>
          <w:b/>
          <w:bCs/>
          <w:sz w:val="20"/>
        </w:rPr>
        <w:t>Gesamtumsatz</w:t>
      </w:r>
      <w:r w:rsidR="00A02C86" w:rsidRPr="00D941D1">
        <w:rPr>
          <w:rFonts w:eastAsia="Times New Roman" w:cs="Lucida Sans Unicode"/>
          <w:bCs/>
          <w:sz w:val="20"/>
        </w:rPr>
        <w:t xml:space="preserve"> </w:t>
      </w:r>
      <w:r>
        <w:rPr>
          <w:rFonts w:eastAsia="Times New Roman" w:cs="Lucida Sans Unicode"/>
          <w:bCs/>
          <w:sz w:val="20"/>
        </w:rPr>
        <w:t>von 651</w:t>
      </w:r>
      <w:r w:rsidR="00A02C86" w:rsidRPr="00D941D1">
        <w:rPr>
          <w:rFonts w:eastAsia="Times New Roman" w:cs="Lucida Sans Unicode"/>
          <w:bCs/>
          <w:sz w:val="20"/>
        </w:rPr>
        <w:t xml:space="preserve"> Millionen €</w:t>
      </w:r>
      <w:r w:rsidR="00D33188">
        <w:rPr>
          <w:rFonts w:eastAsia="Times New Roman" w:cs="Lucida Sans Unicode"/>
          <w:bCs/>
          <w:sz w:val="20"/>
        </w:rPr>
        <w:t>,</w:t>
      </w:r>
      <w:r w:rsidR="00A02C86" w:rsidRPr="00D941D1">
        <w:rPr>
          <w:rFonts w:eastAsia="Times New Roman" w:cs="Lucida Sans Unicode"/>
          <w:bCs/>
          <w:sz w:val="20"/>
        </w:rPr>
        <w:t xml:space="preserve"> </w:t>
      </w:r>
      <w:r w:rsidR="00BD2066">
        <w:rPr>
          <w:rFonts w:eastAsia="Times New Roman" w:cs="Lucida Sans Unicode"/>
          <w:bCs/>
          <w:sz w:val="20"/>
        </w:rPr>
        <w:t>wovon</w:t>
      </w:r>
      <w:r w:rsidR="00A02C86" w:rsidRPr="00D941D1">
        <w:rPr>
          <w:rFonts w:eastAsia="Times New Roman" w:cs="Lucida Sans Unicode"/>
          <w:bCs/>
          <w:sz w:val="20"/>
        </w:rPr>
        <w:t xml:space="preserve"> 4</w:t>
      </w:r>
      <w:r>
        <w:rPr>
          <w:rFonts w:eastAsia="Times New Roman" w:cs="Lucida Sans Unicode"/>
          <w:bCs/>
          <w:sz w:val="20"/>
        </w:rPr>
        <w:t>44</w:t>
      </w:r>
      <w:r w:rsidR="00A02C86" w:rsidRPr="00D941D1">
        <w:rPr>
          <w:rFonts w:eastAsia="Times New Roman" w:cs="Lucida Sans Unicode"/>
          <w:bCs/>
          <w:sz w:val="20"/>
        </w:rPr>
        <w:t xml:space="preserve"> Millionen € auf Innenumsätze</w:t>
      </w:r>
      <w:r w:rsidR="00BD2066">
        <w:rPr>
          <w:rFonts w:eastAsia="Times New Roman" w:cs="Lucida Sans Unicode"/>
          <w:bCs/>
          <w:sz w:val="20"/>
        </w:rPr>
        <w:t xml:space="preserve"> entfielen</w:t>
      </w:r>
      <w:r w:rsidR="00A02C86" w:rsidRPr="00D941D1">
        <w:rPr>
          <w:rFonts w:eastAsia="Times New Roman" w:cs="Lucida Sans Unicode"/>
          <w:bCs/>
          <w:sz w:val="20"/>
        </w:rPr>
        <w:t xml:space="preserve">. Der Außenumsatz </w:t>
      </w:r>
      <w:r>
        <w:rPr>
          <w:rFonts w:eastAsia="Times New Roman" w:cs="Lucida Sans Unicode"/>
          <w:bCs/>
          <w:sz w:val="20"/>
        </w:rPr>
        <w:t xml:space="preserve">lag mit 207 Millionen € </w:t>
      </w:r>
      <w:r w:rsidR="00BD2066">
        <w:rPr>
          <w:rFonts w:eastAsia="Times New Roman" w:cs="Lucida Sans Unicode"/>
          <w:bCs/>
          <w:sz w:val="20"/>
        </w:rPr>
        <w:t xml:space="preserve">etwas </w:t>
      </w:r>
      <w:r>
        <w:rPr>
          <w:rFonts w:eastAsia="Times New Roman" w:cs="Lucida Sans Unicode"/>
          <w:bCs/>
          <w:sz w:val="20"/>
        </w:rPr>
        <w:t xml:space="preserve">über dem Vorjahresquartal (204 Millionen €). </w:t>
      </w:r>
      <w:r w:rsidR="00A02C86" w:rsidRPr="00D941D1">
        <w:rPr>
          <w:rFonts w:eastAsia="Times New Roman" w:cs="Lucida Sans Unicode"/>
          <w:bCs/>
          <w:sz w:val="20"/>
        </w:rPr>
        <w:t xml:space="preserve">Das bereinigte </w:t>
      </w:r>
      <w:r w:rsidR="00A02C86" w:rsidRPr="00801C4B">
        <w:rPr>
          <w:rFonts w:eastAsia="Times New Roman" w:cs="Lucida Sans Unicode"/>
          <w:b/>
          <w:bCs/>
          <w:sz w:val="20"/>
        </w:rPr>
        <w:t>EBITDA</w:t>
      </w:r>
      <w:r w:rsidR="00A02C86" w:rsidRPr="00D941D1">
        <w:rPr>
          <w:rFonts w:eastAsia="Times New Roman" w:cs="Lucida Sans Unicode"/>
          <w:bCs/>
          <w:sz w:val="20"/>
        </w:rPr>
        <w:t xml:space="preserve"> </w:t>
      </w:r>
      <w:r>
        <w:rPr>
          <w:rFonts w:eastAsia="Times New Roman" w:cs="Lucida Sans Unicode"/>
          <w:bCs/>
          <w:sz w:val="20"/>
        </w:rPr>
        <w:t xml:space="preserve">blieb mit 51 Millionen € um 6 Prozent unter dem Vorjahreswert (54 Millionen €). </w:t>
      </w:r>
      <w:r w:rsidR="00BD2066">
        <w:rPr>
          <w:rFonts w:eastAsia="Times New Roman" w:cs="Lucida Sans Unicode"/>
          <w:bCs/>
          <w:sz w:val="20"/>
        </w:rPr>
        <w:t>Dies war teilweise bedingt durch geplante Instandhaltungsmaßnahmen an einem Evonik-Kraftwerk in Marl.</w:t>
      </w:r>
    </w:p>
    <w:p w:rsidR="00A02C86" w:rsidRDefault="00A02C86" w:rsidP="00A02C86">
      <w:pPr>
        <w:pStyle w:val="EvonikStandard"/>
        <w:ind w:firstLine="0"/>
        <w:rPr>
          <w:rFonts w:ascii="Times New Roman" w:hAnsi="Times New Roman"/>
          <w:bCs/>
          <w:sz w:val="24"/>
          <w:szCs w:val="24"/>
        </w:rPr>
      </w:pPr>
    </w:p>
    <w:p w:rsidR="00985458" w:rsidRDefault="00985458" w:rsidP="00A02C86">
      <w:pPr>
        <w:pStyle w:val="EvonikStandard"/>
        <w:ind w:firstLine="0"/>
        <w:rPr>
          <w:rFonts w:ascii="Times New Roman" w:hAnsi="Times New Roman"/>
          <w:bCs/>
          <w:sz w:val="24"/>
          <w:szCs w:val="24"/>
        </w:rPr>
      </w:pPr>
    </w:p>
    <w:p w:rsidR="003D0294" w:rsidRDefault="003D0294">
      <w:pPr>
        <w:spacing w:line="240" w:lineRule="auto"/>
        <w:ind w:left="0" w:right="0"/>
        <w:rPr>
          <w:rFonts w:ascii="Times New Roman" w:eastAsia="Calibri" w:hAnsi="Times New Roman"/>
          <w:bCs/>
          <w:position w:val="0"/>
          <w:sz w:val="24"/>
          <w:lang w:eastAsia="en-US"/>
        </w:rPr>
      </w:pPr>
      <w:r>
        <w:rPr>
          <w:rFonts w:ascii="Times New Roman" w:hAnsi="Times New Roman"/>
          <w:bCs/>
          <w:sz w:val="24"/>
        </w:rPr>
        <w:br w:type="page"/>
      </w:r>
    </w:p>
    <w:p w:rsidR="003D0294" w:rsidRPr="00B13E9A" w:rsidRDefault="003D0294" w:rsidP="00A02C86">
      <w:pPr>
        <w:pStyle w:val="EvonikStandard"/>
        <w:ind w:firstLine="0"/>
        <w:rPr>
          <w:rFonts w:ascii="Times New Roman" w:hAnsi="Times New Roman"/>
          <w:bCs/>
          <w:sz w:val="24"/>
          <w:szCs w:val="24"/>
        </w:rPr>
      </w:pPr>
    </w:p>
    <w:p w:rsidR="00A02C86" w:rsidRPr="00D941D1" w:rsidRDefault="00A02C86" w:rsidP="00D941D1">
      <w:pPr>
        <w:spacing w:line="300" w:lineRule="exact"/>
        <w:rPr>
          <w:b/>
          <w:sz w:val="20"/>
          <w:szCs w:val="20"/>
        </w:rPr>
      </w:pPr>
      <w:r w:rsidRPr="00D941D1">
        <w:rPr>
          <w:b/>
          <w:sz w:val="20"/>
          <w:szCs w:val="20"/>
        </w:rPr>
        <w:t>Ausblick für das Geschäftsjahr 201</w:t>
      </w:r>
      <w:r w:rsidR="008017B0">
        <w:rPr>
          <w:b/>
          <w:sz w:val="20"/>
          <w:szCs w:val="20"/>
        </w:rPr>
        <w:t>4</w:t>
      </w:r>
      <w:r w:rsidR="00157016">
        <w:rPr>
          <w:b/>
          <w:sz w:val="20"/>
          <w:szCs w:val="20"/>
        </w:rPr>
        <w:t xml:space="preserve"> bestätigt</w:t>
      </w:r>
    </w:p>
    <w:p w:rsidR="00985458" w:rsidRDefault="00985458" w:rsidP="00D941D1">
      <w:pPr>
        <w:pStyle w:val="EvonikStandard"/>
        <w:keepNext/>
        <w:keepLines/>
        <w:spacing w:line="300" w:lineRule="exact"/>
        <w:ind w:left="85" w:right="85" w:firstLine="0"/>
        <w:rPr>
          <w:rFonts w:eastAsia="Times New Roman" w:cs="Lucida Sans Unicode"/>
          <w:bCs/>
          <w:sz w:val="20"/>
        </w:rPr>
      </w:pPr>
    </w:p>
    <w:p w:rsidR="008017B0" w:rsidRDefault="00E51C84" w:rsidP="00D941D1">
      <w:pPr>
        <w:pStyle w:val="EvonikStandard"/>
        <w:keepNext/>
        <w:keepLines/>
        <w:spacing w:line="300" w:lineRule="exact"/>
        <w:ind w:left="85" w:right="85" w:firstLine="0"/>
        <w:rPr>
          <w:rFonts w:eastAsia="Times New Roman" w:cs="Lucida Sans Unicode"/>
          <w:bCs/>
          <w:sz w:val="20"/>
        </w:rPr>
      </w:pPr>
      <w:r>
        <w:rPr>
          <w:rFonts w:eastAsia="Times New Roman" w:cs="Lucida Sans Unicode"/>
          <w:bCs/>
          <w:sz w:val="20"/>
        </w:rPr>
        <w:t>Evonik geht b</w:t>
      </w:r>
      <w:r w:rsidR="008017B0">
        <w:rPr>
          <w:rFonts w:eastAsia="Times New Roman" w:cs="Lucida Sans Unicode"/>
          <w:bCs/>
          <w:sz w:val="20"/>
        </w:rPr>
        <w:t xml:space="preserve">ei den weltwirtschaftlichen Rahmenbedingungen für 2014 weiterhin von einer </w:t>
      </w:r>
      <w:r w:rsidR="00C860AC" w:rsidRPr="00CD01FA">
        <w:rPr>
          <w:rFonts w:eastAsia="Times New Roman" w:cs="Lucida Sans Unicode"/>
          <w:bCs/>
          <w:sz w:val="20"/>
        </w:rPr>
        <w:t>leichten</w:t>
      </w:r>
      <w:r w:rsidR="00C860AC">
        <w:rPr>
          <w:rFonts w:eastAsia="Times New Roman" w:cs="Lucida Sans Unicode"/>
          <w:bCs/>
          <w:sz w:val="20"/>
        </w:rPr>
        <w:t xml:space="preserve"> </w:t>
      </w:r>
      <w:r w:rsidR="008017B0">
        <w:rPr>
          <w:rFonts w:eastAsia="Times New Roman" w:cs="Lucida Sans Unicode"/>
          <w:bCs/>
          <w:sz w:val="20"/>
        </w:rPr>
        <w:t xml:space="preserve">Belebung des globalen Wachstums gegenüber 2013 aus. </w:t>
      </w:r>
      <w:r w:rsidR="00C860AC">
        <w:rPr>
          <w:rFonts w:eastAsia="Times New Roman" w:cs="Lucida Sans Unicode"/>
          <w:bCs/>
          <w:sz w:val="20"/>
        </w:rPr>
        <w:t xml:space="preserve">Der schrittweisen Erholung in Europa stehen jedoch Herausforderungen insbesondere in den Schwellenländern sowie geopolitische Spannungen mit zunehmenden Risiken, </w:t>
      </w:r>
      <w:r w:rsidR="000A0CA9">
        <w:rPr>
          <w:rFonts w:eastAsia="Times New Roman" w:cs="Lucida Sans Unicode"/>
          <w:bCs/>
          <w:sz w:val="20"/>
        </w:rPr>
        <w:t xml:space="preserve">vor allem </w:t>
      </w:r>
      <w:r w:rsidR="00C860AC">
        <w:rPr>
          <w:rFonts w:eastAsia="Times New Roman" w:cs="Lucida Sans Unicode"/>
          <w:bCs/>
          <w:sz w:val="20"/>
        </w:rPr>
        <w:t xml:space="preserve">in der Ukraine, gegenüber.  </w:t>
      </w:r>
    </w:p>
    <w:p w:rsidR="00C860AC" w:rsidRDefault="00C860AC" w:rsidP="00D941D1">
      <w:pPr>
        <w:pStyle w:val="EvonikStandard"/>
        <w:keepNext/>
        <w:keepLines/>
        <w:spacing w:line="300" w:lineRule="exact"/>
        <w:ind w:left="85" w:right="85" w:firstLine="0"/>
        <w:rPr>
          <w:rFonts w:eastAsia="Times New Roman" w:cs="Lucida Sans Unicode"/>
          <w:bCs/>
          <w:sz w:val="20"/>
        </w:rPr>
      </w:pPr>
    </w:p>
    <w:p w:rsidR="00C860AC" w:rsidRDefault="00C860AC" w:rsidP="00D941D1">
      <w:pPr>
        <w:pStyle w:val="EvonikStandard"/>
        <w:keepNext/>
        <w:keepLines/>
        <w:spacing w:line="300" w:lineRule="exact"/>
        <w:ind w:left="85" w:right="85" w:firstLine="0"/>
        <w:rPr>
          <w:rFonts w:eastAsia="Times New Roman" w:cs="Lucida Sans Unicode"/>
          <w:bCs/>
          <w:sz w:val="20"/>
        </w:rPr>
      </w:pPr>
      <w:r>
        <w:rPr>
          <w:rFonts w:eastAsia="Times New Roman" w:cs="Lucida Sans Unicode"/>
          <w:bCs/>
          <w:sz w:val="20"/>
        </w:rPr>
        <w:t>Evonik hält an den zu Jahresbeginn prognostizierten weltwirtschaftlichen Rahmenbedingungen für das Gesamtjahr 2014 fest und bestätigt seinen Ausblick: Das Unternehmen erwart</w:t>
      </w:r>
      <w:r w:rsidR="000A0CA9">
        <w:rPr>
          <w:rFonts w:eastAsia="Times New Roman" w:cs="Lucida Sans Unicode"/>
          <w:bCs/>
          <w:sz w:val="20"/>
        </w:rPr>
        <w:t>et unverändert einen leicht höheren Umsatz (2013: 12,</w:t>
      </w:r>
      <w:r w:rsidR="0094792E">
        <w:rPr>
          <w:rFonts w:eastAsia="Times New Roman" w:cs="Lucida Sans Unicode"/>
          <w:bCs/>
          <w:sz w:val="20"/>
        </w:rPr>
        <w:t>7</w:t>
      </w:r>
      <w:r w:rsidR="000A0CA9">
        <w:rPr>
          <w:rFonts w:eastAsia="Times New Roman" w:cs="Lucida Sans Unicode"/>
          <w:bCs/>
          <w:sz w:val="20"/>
        </w:rPr>
        <w:t xml:space="preserve"> Milliarden €</w:t>
      </w:r>
      <w:r w:rsidR="00A42FAE" w:rsidRPr="00A42FAE">
        <w:rPr>
          <w:rFonts w:eastAsia="Times New Roman" w:cs="Lucida Sans Unicode"/>
          <w:bCs/>
          <w:sz w:val="20"/>
          <w:vertAlign w:val="superscript"/>
        </w:rPr>
        <w:t>1)</w:t>
      </w:r>
      <w:r w:rsidR="000A0CA9">
        <w:rPr>
          <w:rFonts w:eastAsia="Times New Roman" w:cs="Lucida Sans Unicode"/>
          <w:bCs/>
          <w:sz w:val="20"/>
        </w:rPr>
        <w:t>) und weiterhin ein bereinigtes EBITDA zwischen 1,8 und 2,1 Milliarden € (2013: 2,0 Milliarden €).</w:t>
      </w:r>
      <w:r w:rsidR="009A258F">
        <w:rPr>
          <w:rFonts w:eastAsia="Times New Roman" w:cs="Lucida Sans Unicode"/>
          <w:bCs/>
          <w:sz w:val="20"/>
        </w:rPr>
        <w:t xml:space="preserve"> </w:t>
      </w:r>
    </w:p>
    <w:p w:rsidR="000A0CA9" w:rsidRDefault="000A0CA9" w:rsidP="00D941D1">
      <w:pPr>
        <w:pStyle w:val="EvonikStandard"/>
        <w:keepNext/>
        <w:keepLines/>
        <w:spacing w:line="300" w:lineRule="exact"/>
        <w:ind w:left="85" w:right="85" w:firstLine="0"/>
        <w:rPr>
          <w:rFonts w:eastAsia="Times New Roman" w:cs="Lucida Sans Unicode"/>
          <w:bCs/>
          <w:sz w:val="20"/>
        </w:rPr>
      </w:pPr>
    </w:p>
    <w:p w:rsidR="000A0CA9" w:rsidRDefault="000A0CA9" w:rsidP="00D941D1">
      <w:pPr>
        <w:pStyle w:val="EvonikStandard"/>
        <w:keepNext/>
        <w:keepLines/>
        <w:spacing w:line="300" w:lineRule="exact"/>
        <w:ind w:left="85" w:right="85" w:firstLine="0"/>
        <w:rPr>
          <w:rFonts w:eastAsia="Times New Roman" w:cs="Lucida Sans Unicode"/>
          <w:bCs/>
          <w:sz w:val="20"/>
        </w:rPr>
      </w:pPr>
      <w:r>
        <w:rPr>
          <w:rFonts w:eastAsia="Times New Roman" w:cs="Lucida Sans Unicode"/>
          <w:bCs/>
          <w:sz w:val="20"/>
        </w:rPr>
        <w:t>Die positive Mengenentwicklung sollte sich weiter fortsetzen, wozu auch die ersten bereits umgesetzten Wachstumsinvestitionen beitragen werden. In einigen seiner größeren Geschäfte geht Evonik weiterhin davon aus, dass die Verkaufspreise 2014 unter dem durchschnittlichen Preisniveau von 2013 liegen werden, welches noch von höheren Preisen in der ersten Jahreshälfte begünstigt war.</w:t>
      </w:r>
    </w:p>
    <w:p w:rsidR="000A0CA9" w:rsidRDefault="000A0CA9" w:rsidP="00D941D1">
      <w:pPr>
        <w:pStyle w:val="EvonikStandard"/>
        <w:keepNext/>
        <w:keepLines/>
        <w:spacing w:line="300" w:lineRule="exact"/>
        <w:ind w:left="85" w:right="85" w:firstLine="0"/>
        <w:rPr>
          <w:rFonts w:eastAsia="Times New Roman" w:cs="Lucida Sans Unicode"/>
          <w:bCs/>
          <w:sz w:val="20"/>
        </w:rPr>
      </w:pPr>
    </w:p>
    <w:p w:rsidR="000A0CA9" w:rsidRDefault="000A0CA9" w:rsidP="00D941D1">
      <w:pPr>
        <w:pStyle w:val="EvonikStandard"/>
        <w:keepNext/>
        <w:keepLines/>
        <w:spacing w:line="300" w:lineRule="exact"/>
        <w:ind w:left="85" w:right="85" w:firstLine="0"/>
        <w:rPr>
          <w:rFonts w:eastAsia="Times New Roman" w:cs="Lucida Sans Unicode"/>
          <w:bCs/>
          <w:sz w:val="20"/>
        </w:rPr>
      </w:pPr>
      <w:r>
        <w:rPr>
          <w:rFonts w:eastAsia="Times New Roman" w:cs="Lucida Sans Unicode"/>
          <w:bCs/>
          <w:sz w:val="20"/>
        </w:rPr>
        <w:t>Auf der Kostenseite wird das Effizienzsteigerungsprogramm On Track 2.0 weitere Entlastungen bringen. Zusätzlich erwartet Evonik erste positive Effekte aus dem neu aufgelegten Programm Administration Excellence zur Optimierung der Verwaltungsstrukturen, während Anlaufkosten der Wachstumsinvestitionen gegenläufig wirken werden. Weitere Belastungen können aus negativen Währungseffekten resultieren.</w:t>
      </w:r>
    </w:p>
    <w:p w:rsidR="00A02C86" w:rsidRPr="00B13E9A" w:rsidRDefault="00A02C86" w:rsidP="00A02C86">
      <w:pPr>
        <w:rPr>
          <w:bCs/>
        </w:rPr>
      </w:pPr>
    </w:p>
    <w:p w:rsidR="00A42FAE" w:rsidRDefault="00A42FAE" w:rsidP="00A42FAE">
      <w:pPr>
        <w:spacing w:line="300" w:lineRule="atLeast"/>
        <w:rPr>
          <w:rFonts w:cs="Lucida Sans Unicode"/>
          <w:b/>
          <w:sz w:val="20"/>
          <w:szCs w:val="20"/>
        </w:rPr>
      </w:pPr>
    </w:p>
    <w:p w:rsidR="00A02C86" w:rsidRPr="00D941D1" w:rsidRDefault="00A42FAE" w:rsidP="00BE5DBC">
      <w:pPr>
        <w:spacing w:after="120"/>
        <w:rPr>
          <w:b/>
          <w:bCs/>
        </w:rPr>
      </w:pPr>
      <w:r w:rsidRPr="000D4BBD">
        <w:rPr>
          <w:rFonts w:cs="Lucida Sans Unicode"/>
          <w:b/>
          <w:noProof/>
          <w:sz w:val="20"/>
          <w:szCs w:val="20"/>
        </w:rPr>
        <mc:AlternateContent>
          <mc:Choice Requires="wps">
            <w:drawing>
              <wp:anchor distT="0" distB="0" distL="114300" distR="114300" simplePos="0" relativeHeight="251661312" behindDoc="0" locked="0" layoutInCell="1" allowOverlap="1" wp14:anchorId="07BCF527" wp14:editId="7715A01F">
                <wp:simplePos x="0" y="0"/>
                <wp:positionH relativeFrom="column">
                  <wp:posOffset>-250825</wp:posOffset>
                </wp:positionH>
                <wp:positionV relativeFrom="paragraph">
                  <wp:posOffset>1506855</wp:posOffset>
                </wp:positionV>
                <wp:extent cx="4686300" cy="430530"/>
                <wp:effectExtent l="0" t="0" r="0" b="762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0530"/>
                        </a:xfrm>
                        <a:prstGeom prst="rect">
                          <a:avLst/>
                        </a:prstGeom>
                        <a:solidFill>
                          <a:srgbClr val="FFFFFF"/>
                        </a:solidFill>
                        <a:ln w="9525">
                          <a:noFill/>
                          <a:miter lim="800000"/>
                          <a:headEnd/>
                          <a:tailEnd/>
                        </a:ln>
                      </wps:spPr>
                      <wps:txbx>
                        <w:txbxContent>
                          <w:p w:rsidR="00A42FAE" w:rsidRDefault="00A42FAE" w:rsidP="00A42FAE">
                            <w:r w:rsidRPr="000D4BBD">
                              <w:rPr>
                                <w:vertAlign w:val="superscript"/>
                              </w:rPr>
                              <w:t>1)</w:t>
                            </w:r>
                            <w:r>
                              <w:tab/>
                            </w:r>
                            <w:r w:rsidRPr="000D4BBD">
                              <w:rPr>
                                <w:sz w:val="16"/>
                                <w:szCs w:val="16"/>
                              </w:rPr>
                              <w:t>Vorjahreszahl angepasst aufgrund erstmaliger Anwendung von IFRS</w:t>
                            </w:r>
                            <w:r>
                              <w:rPr>
                                <w:sz w:val="16"/>
                                <w:szCs w:val="16"/>
                              </w:rPr>
                              <w:t xml:space="preserve"> </w:t>
                            </w:r>
                            <w:r w:rsidRPr="000D4BBD">
                              <w:rPr>
                                <w:sz w:val="16"/>
                                <w:szCs w:val="16"/>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75pt;margin-top:118.65pt;width:369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" stroked="f">
                <v:textbox>
                  <w:txbxContent>
                    <w:p w:rsidR="00A42FAE" w:rsidRDefault="00A42FAE" w:rsidP="00A42FAE">
                      <w:r w:rsidRPr="000D4BBD">
                        <w:rPr>
                          <w:vertAlign w:val="superscript"/>
                        </w:rPr>
                        <w:t>1)</w:t>
                      </w:r>
                      <w:r>
                        <w:tab/>
                      </w:r>
                      <w:r w:rsidRPr="000D4BBD">
                        <w:rPr>
                          <w:sz w:val="16"/>
                          <w:szCs w:val="16"/>
                        </w:rPr>
                        <w:t>Vorjahreszahl angepasst aufgrund erstmaliger Anwendung von IFRS</w:t>
                      </w:r>
                      <w:r>
                        <w:rPr>
                          <w:sz w:val="16"/>
                          <w:szCs w:val="16"/>
                        </w:rPr>
                        <w:t xml:space="preserve"> </w:t>
                      </w:r>
                      <w:r w:rsidRPr="000D4BBD">
                        <w:rPr>
                          <w:sz w:val="16"/>
                          <w:szCs w:val="16"/>
                        </w:rPr>
                        <w:t>11</w:t>
                      </w:r>
                    </w:p>
                  </w:txbxContent>
                </v:textbox>
              </v:shape>
            </w:pict>
          </mc:Fallback>
        </mc:AlternateContent>
      </w:r>
      <w:r w:rsidR="00A02C86">
        <w:rPr>
          <w:bCs/>
        </w:rPr>
        <w:br w:type="page"/>
      </w:r>
      <w:r w:rsidR="00A02C86" w:rsidRPr="00D941D1">
        <w:rPr>
          <w:b/>
          <w:bCs/>
        </w:rPr>
        <w:lastRenderedPageBreak/>
        <w:t>Evonik-Konzern: Ergebnisrechnung im Überblick</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A02C86" w:rsidRPr="00D941D1" w:rsidTr="0039323B">
        <w:trPr>
          <w:trHeight w:val="504"/>
        </w:trPr>
        <w:tc>
          <w:tcPr>
            <w:tcW w:w="5387" w:type="dxa"/>
            <w:shd w:val="clear" w:color="auto" w:fill="auto"/>
          </w:tcPr>
          <w:p w:rsidR="00A02C86" w:rsidRPr="00D941D1" w:rsidRDefault="00A02C86" w:rsidP="00D3248A">
            <w:pPr>
              <w:rPr>
                <w:b/>
                <w:bCs/>
              </w:rPr>
            </w:pPr>
            <w:r w:rsidRPr="00D941D1">
              <w:rPr>
                <w:b/>
                <w:bCs/>
              </w:rPr>
              <w:t>(in Mio. €)</w:t>
            </w:r>
          </w:p>
        </w:tc>
        <w:tc>
          <w:tcPr>
            <w:tcW w:w="1254" w:type="dxa"/>
            <w:shd w:val="clear" w:color="auto" w:fill="C0C0C0"/>
          </w:tcPr>
          <w:p w:rsidR="00A02C86" w:rsidRPr="00D941D1" w:rsidRDefault="00A02C86" w:rsidP="00AF2A30">
            <w:pPr>
              <w:jc w:val="center"/>
              <w:rPr>
                <w:b/>
                <w:bCs/>
              </w:rPr>
            </w:pPr>
            <w:r w:rsidRPr="00D941D1">
              <w:rPr>
                <w:b/>
                <w:bCs/>
              </w:rPr>
              <w:t>Q1/201</w:t>
            </w:r>
            <w:r w:rsidR="00AF2A30">
              <w:rPr>
                <w:b/>
                <w:bCs/>
              </w:rPr>
              <w:t>4</w:t>
            </w:r>
          </w:p>
        </w:tc>
        <w:tc>
          <w:tcPr>
            <w:tcW w:w="1304" w:type="dxa"/>
            <w:shd w:val="clear" w:color="auto" w:fill="auto"/>
          </w:tcPr>
          <w:p w:rsidR="00A02C86" w:rsidRPr="00D941D1" w:rsidRDefault="00A02C86" w:rsidP="00AF2A30">
            <w:pPr>
              <w:jc w:val="center"/>
              <w:rPr>
                <w:b/>
                <w:bCs/>
              </w:rPr>
            </w:pPr>
            <w:r w:rsidRPr="00D941D1">
              <w:rPr>
                <w:b/>
                <w:bCs/>
              </w:rPr>
              <w:t>Q1/201</w:t>
            </w:r>
            <w:r w:rsidR="00AF2A30">
              <w:rPr>
                <w:b/>
                <w:bCs/>
              </w:rPr>
              <w:t>3</w:t>
            </w:r>
          </w:p>
        </w:tc>
        <w:tc>
          <w:tcPr>
            <w:tcW w:w="1383" w:type="dxa"/>
            <w:shd w:val="clear" w:color="auto" w:fill="auto"/>
          </w:tcPr>
          <w:p w:rsidR="00A02C86" w:rsidRPr="00D941D1" w:rsidRDefault="00276356" w:rsidP="00D3248A">
            <w:pPr>
              <w:jc w:val="center"/>
              <w:rPr>
                <w:b/>
                <w:bCs/>
              </w:rPr>
            </w:pPr>
            <w:proofErr w:type="spellStart"/>
            <w:r>
              <w:rPr>
                <w:b/>
                <w:bCs/>
              </w:rPr>
              <w:t>Veränd</w:t>
            </w:r>
            <w:proofErr w:type="spellEnd"/>
            <w:r>
              <w:rPr>
                <w:b/>
                <w:bCs/>
              </w:rPr>
              <w:t>.</w:t>
            </w:r>
          </w:p>
          <w:p w:rsidR="00A02C86" w:rsidRPr="00D941D1" w:rsidRDefault="00A02C86" w:rsidP="00D3248A">
            <w:pPr>
              <w:jc w:val="center"/>
              <w:rPr>
                <w:b/>
                <w:bCs/>
              </w:rPr>
            </w:pPr>
            <w:r w:rsidRPr="00D941D1">
              <w:rPr>
                <w:b/>
                <w:bCs/>
              </w:rPr>
              <w:t>in %</w:t>
            </w:r>
          </w:p>
        </w:tc>
      </w:tr>
      <w:tr w:rsidR="00A02C86" w:rsidRPr="00B13E9A" w:rsidTr="0039323B">
        <w:tc>
          <w:tcPr>
            <w:tcW w:w="5387" w:type="dxa"/>
            <w:shd w:val="clear" w:color="auto" w:fill="auto"/>
          </w:tcPr>
          <w:p w:rsidR="00A02C86" w:rsidRPr="00B13E9A" w:rsidRDefault="00A02C86" w:rsidP="00AF2A30">
            <w:pPr>
              <w:rPr>
                <w:bCs/>
              </w:rPr>
            </w:pPr>
            <w:r w:rsidRPr="00B13E9A">
              <w:rPr>
                <w:bCs/>
              </w:rPr>
              <w:t>Umsatz</w:t>
            </w:r>
          </w:p>
        </w:tc>
        <w:tc>
          <w:tcPr>
            <w:tcW w:w="1254" w:type="dxa"/>
            <w:shd w:val="clear" w:color="auto" w:fill="C0C0C0"/>
          </w:tcPr>
          <w:p w:rsidR="00A02C86" w:rsidRPr="00B13E9A" w:rsidRDefault="00A02C86" w:rsidP="00945CC3">
            <w:pPr>
              <w:jc w:val="right"/>
              <w:rPr>
                <w:bCs/>
              </w:rPr>
            </w:pPr>
            <w:r w:rsidRPr="00B13E9A">
              <w:rPr>
                <w:bCs/>
              </w:rPr>
              <w:t>3.2</w:t>
            </w:r>
            <w:r w:rsidR="00945CC3">
              <w:rPr>
                <w:bCs/>
              </w:rPr>
              <w:t>01</w:t>
            </w:r>
          </w:p>
        </w:tc>
        <w:tc>
          <w:tcPr>
            <w:tcW w:w="1304" w:type="dxa"/>
            <w:shd w:val="clear" w:color="auto" w:fill="auto"/>
          </w:tcPr>
          <w:p w:rsidR="00A02C86" w:rsidRPr="00B13E9A" w:rsidRDefault="00A02C86" w:rsidP="00945CC3">
            <w:pPr>
              <w:ind w:right="120"/>
              <w:jc w:val="right"/>
              <w:rPr>
                <w:bCs/>
              </w:rPr>
            </w:pPr>
            <w:r w:rsidRPr="00B13E9A">
              <w:rPr>
                <w:bCs/>
              </w:rPr>
              <w:t>3.</w:t>
            </w:r>
            <w:r w:rsidR="00945CC3">
              <w:rPr>
                <w:bCs/>
              </w:rPr>
              <w:t>212</w:t>
            </w:r>
          </w:p>
        </w:tc>
        <w:tc>
          <w:tcPr>
            <w:tcW w:w="1383" w:type="dxa"/>
            <w:shd w:val="clear" w:color="auto" w:fill="auto"/>
          </w:tcPr>
          <w:p w:rsidR="00A02C86" w:rsidRPr="00B13E9A" w:rsidRDefault="00945CC3" w:rsidP="00945CC3">
            <w:pPr>
              <w:jc w:val="right"/>
              <w:rPr>
                <w:bCs/>
              </w:rPr>
            </w:pPr>
            <w:r>
              <w:rPr>
                <w:bCs/>
              </w:rPr>
              <w:t>0</w:t>
            </w:r>
          </w:p>
        </w:tc>
      </w:tr>
      <w:tr w:rsidR="00A02C86" w:rsidRPr="00B13E9A" w:rsidTr="0039323B">
        <w:tc>
          <w:tcPr>
            <w:tcW w:w="5387" w:type="dxa"/>
            <w:shd w:val="clear" w:color="auto" w:fill="auto"/>
          </w:tcPr>
          <w:p w:rsidR="00A02C86" w:rsidRPr="00B13E9A" w:rsidRDefault="00A02C86" w:rsidP="00D3248A">
            <w:pPr>
              <w:rPr>
                <w:bCs/>
              </w:rPr>
            </w:pPr>
            <w:r w:rsidRPr="00B13E9A">
              <w:rPr>
                <w:bCs/>
              </w:rPr>
              <w:t>Bereinigtes EBITDA</w:t>
            </w:r>
          </w:p>
        </w:tc>
        <w:tc>
          <w:tcPr>
            <w:tcW w:w="1254" w:type="dxa"/>
            <w:shd w:val="clear" w:color="auto" w:fill="C0C0C0"/>
          </w:tcPr>
          <w:p w:rsidR="00A02C86" w:rsidRPr="00B13E9A" w:rsidRDefault="00945CC3" w:rsidP="00945CC3">
            <w:pPr>
              <w:jc w:val="right"/>
              <w:rPr>
                <w:bCs/>
              </w:rPr>
            </w:pPr>
            <w:r>
              <w:rPr>
                <w:bCs/>
              </w:rPr>
              <w:t>463</w:t>
            </w:r>
          </w:p>
        </w:tc>
        <w:tc>
          <w:tcPr>
            <w:tcW w:w="1304" w:type="dxa"/>
            <w:shd w:val="clear" w:color="auto" w:fill="auto"/>
          </w:tcPr>
          <w:p w:rsidR="00A02C86" w:rsidRPr="00B13E9A" w:rsidRDefault="00945CC3" w:rsidP="00945CC3">
            <w:pPr>
              <w:ind w:right="120"/>
              <w:jc w:val="right"/>
              <w:rPr>
                <w:bCs/>
              </w:rPr>
            </w:pPr>
            <w:r>
              <w:rPr>
                <w:bCs/>
              </w:rPr>
              <w:t>606</w:t>
            </w:r>
          </w:p>
        </w:tc>
        <w:tc>
          <w:tcPr>
            <w:tcW w:w="1383" w:type="dxa"/>
            <w:shd w:val="clear" w:color="auto" w:fill="auto"/>
          </w:tcPr>
          <w:p w:rsidR="00A02C86" w:rsidRPr="00B13E9A" w:rsidRDefault="00A02C86" w:rsidP="00945CC3">
            <w:pPr>
              <w:jc w:val="right"/>
              <w:rPr>
                <w:bCs/>
              </w:rPr>
            </w:pPr>
            <w:r w:rsidRPr="00B13E9A">
              <w:rPr>
                <w:bCs/>
              </w:rPr>
              <w:t>-</w:t>
            </w:r>
            <w:r w:rsidR="00945CC3">
              <w:rPr>
                <w:bCs/>
              </w:rPr>
              <w:t>24</w:t>
            </w:r>
          </w:p>
        </w:tc>
      </w:tr>
      <w:tr w:rsidR="00A02C86" w:rsidRPr="00B13E9A" w:rsidTr="0039323B">
        <w:tc>
          <w:tcPr>
            <w:tcW w:w="5387" w:type="dxa"/>
            <w:shd w:val="clear" w:color="auto" w:fill="auto"/>
          </w:tcPr>
          <w:p w:rsidR="00A02C86" w:rsidRPr="00B13E9A" w:rsidRDefault="00A02C86" w:rsidP="00D3248A">
            <w:pPr>
              <w:rPr>
                <w:bCs/>
              </w:rPr>
            </w:pPr>
            <w:r w:rsidRPr="00B13E9A">
              <w:rPr>
                <w:bCs/>
              </w:rPr>
              <w:t>Bereinigtes EBIT</w:t>
            </w:r>
          </w:p>
        </w:tc>
        <w:tc>
          <w:tcPr>
            <w:tcW w:w="1254" w:type="dxa"/>
            <w:shd w:val="clear" w:color="auto" w:fill="C0C0C0"/>
          </w:tcPr>
          <w:p w:rsidR="00A02C86" w:rsidRPr="00B13E9A" w:rsidRDefault="00945CC3" w:rsidP="00945CC3">
            <w:pPr>
              <w:jc w:val="right"/>
              <w:rPr>
                <w:bCs/>
              </w:rPr>
            </w:pPr>
            <w:r>
              <w:rPr>
                <w:bCs/>
              </w:rPr>
              <w:t>316</w:t>
            </w:r>
          </w:p>
        </w:tc>
        <w:tc>
          <w:tcPr>
            <w:tcW w:w="1304" w:type="dxa"/>
            <w:shd w:val="clear" w:color="auto" w:fill="auto"/>
          </w:tcPr>
          <w:p w:rsidR="00A02C86" w:rsidRPr="00B13E9A" w:rsidRDefault="00945CC3" w:rsidP="00945CC3">
            <w:pPr>
              <w:ind w:right="120"/>
              <w:jc w:val="right"/>
              <w:rPr>
                <w:bCs/>
              </w:rPr>
            </w:pPr>
            <w:r>
              <w:rPr>
                <w:bCs/>
              </w:rPr>
              <w:t>464</w:t>
            </w:r>
          </w:p>
        </w:tc>
        <w:tc>
          <w:tcPr>
            <w:tcW w:w="1383" w:type="dxa"/>
            <w:shd w:val="clear" w:color="auto" w:fill="auto"/>
          </w:tcPr>
          <w:p w:rsidR="00A02C86" w:rsidRPr="00B13E9A" w:rsidRDefault="00A02C86" w:rsidP="00945CC3">
            <w:pPr>
              <w:jc w:val="right"/>
              <w:rPr>
                <w:bCs/>
              </w:rPr>
            </w:pPr>
            <w:r w:rsidRPr="00B13E9A">
              <w:rPr>
                <w:bCs/>
              </w:rPr>
              <w:t>-</w:t>
            </w:r>
            <w:r w:rsidR="00945CC3">
              <w:rPr>
                <w:bCs/>
              </w:rPr>
              <w:t>32</w:t>
            </w:r>
          </w:p>
        </w:tc>
      </w:tr>
      <w:tr w:rsidR="00A02C86" w:rsidRPr="00B13E9A" w:rsidTr="0039323B">
        <w:tc>
          <w:tcPr>
            <w:tcW w:w="5387" w:type="dxa"/>
            <w:shd w:val="clear" w:color="auto" w:fill="auto"/>
          </w:tcPr>
          <w:p w:rsidR="00A02C86" w:rsidRPr="00B13E9A" w:rsidRDefault="00A02C86" w:rsidP="00D3248A">
            <w:pPr>
              <w:rPr>
                <w:bCs/>
              </w:rPr>
            </w:pPr>
            <w:r w:rsidRPr="00B13E9A">
              <w:rPr>
                <w:bCs/>
              </w:rPr>
              <w:t>Bereinigungen</w:t>
            </w:r>
          </w:p>
        </w:tc>
        <w:tc>
          <w:tcPr>
            <w:tcW w:w="1254" w:type="dxa"/>
            <w:shd w:val="clear" w:color="auto" w:fill="C0C0C0"/>
          </w:tcPr>
          <w:p w:rsidR="00A02C86" w:rsidRPr="00B13E9A" w:rsidRDefault="00A02C86" w:rsidP="00945CC3">
            <w:pPr>
              <w:jc w:val="right"/>
              <w:rPr>
                <w:bCs/>
              </w:rPr>
            </w:pPr>
            <w:r w:rsidRPr="00B13E9A">
              <w:rPr>
                <w:bCs/>
              </w:rPr>
              <w:t>-</w:t>
            </w:r>
            <w:r w:rsidR="00945CC3">
              <w:rPr>
                <w:bCs/>
              </w:rPr>
              <w:t>28</w:t>
            </w:r>
          </w:p>
        </w:tc>
        <w:tc>
          <w:tcPr>
            <w:tcW w:w="1304" w:type="dxa"/>
            <w:shd w:val="clear" w:color="auto" w:fill="auto"/>
          </w:tcPr>
          <w:p w:rsidR="00A02C86" w:rsidRPr="00B13E9A" w:rsidRDefault="00A02C86" w:rsidP="00945CC3">
            <w:pPr>
              <w:ind w:right="120"/>
              <w:jc w:val="right"/>
              <w:rPr>
                <w:bCs/>
              </w:rPr>
            </w:pPr>
            <w:r w:rsidRPr="00B13E9A">
              <w:rPr>
                <w:bCs/>
              </w:rPr>
              <w:t>-</w:t>
            </w:r>
            <w:r w:rsidR="00945CC3">
              <w:rPr>
                <w:bCs/>
              </w:rPr>
              <w:t>30</w:t>
            </w:r>
          </w:p>
        </w:tc>
        <w:tc>
          <w:tcPr>
            <w:tcW w:w="1383" w:type="dxa"/>
            <w:shd w:val="clear" w:color="auto" w:fill="auto"/>
          </w:tcPr>
          <w:p w:rsidR="00A02C86" w:rsidRPr="00B13E9A" w:rsidRDefault="00A02C86" w:rsidP="00D3248A">
            <w:pPr>
              <w:jc w:val="right"/>
              <w:rPr>
                <w:bCs/>
              </w:rPr>
            </w:pPr>
          </w:p>
        </w:tc>
      </w:tr>
      <w:tr w:rsidR="00A02C86" w:rsidRPr="00B13E9A" w:rsidTr="0039323B">
        <w:tc>
          <w:tcPr>
            <w:tcW w:w="5387" w:type="dxa"/>
            <w:shd w:val="clear" w:color="auto" w:fill="auto"/>
          </w:tcPr>
          <w:p w:rsidR="00A02C86" w:rsidRPr="00B13E9A" w:rsidRDefault="00A02C86" w:rsidP="00D3248A">
            <w:pPr>
              <w:rPr>
                <w:bCs/>
              </w:rPr>
            </w:pPr>
            <w:r w:rsidRPr="00B13E9A">
              <w:rPr>
                <w:bCs/>
              </w:rPr>
              <w:t>Zinsergebnis</w:t>
            </w:r>
          </w:p>
        </w:tc>
        <w:tc>
          <w:tcPr>
            <w:tcW w:w="1254" w:type="dxa"/>
            <w:shd w:val="clear" w:color="auto" w:fill="C0C0C0"/>
          </w:tcPr>
          <w:p w:rsidR="00A02C86" w:rsidRPr="00B13E9A" w:rsidRDefault="00A02C86" w:rsidP="00296F5A">
            <w:pPr>
              <w:jc w:val="right"/>
              <w:rPr>
                <w:bCs/>
              </w:rPr>
            </w:pPr>
            <w:r w:rsidRPr="00B13E9A">
              <w:rPr>
                <w:bCs/>
              </w:rPr>
              <w:t>-</w:t>
            </w:r>
            <w:r w:rsidR="00296F5A">
              <w:rPr>
                <w:bCs/>
              </w:rPr>
              <w:t>76</w:t>
            </w:r>
          </w:p>
        </w:tc>
        <w:tc>
          <w:tcPr>
            <w:tcW w:w="1304" w:type="dxa"/>
            <w:shd w:val="clear" w:color="auto" w:fill="auto"/>
          </w:tcPr>
          <w:p w:rsidR="00A02C86" w:rsidRPr="00B13E9A" w:rsidRDefault="00A02C86" w:rsidP="00945CC3">
            <w:pPr>
              <w:ind w:right="120"/>
              <w:jc w:val="right"/>
              <w:rPr>
                <w:bCs/>
              </w:rPr>
            </w:pPr>
            <w:r w:rsidRPr="00B13E9A">
              <w:rPr>
                <w:bCs/>
              </w:rPr>
              <w:t>-</w:t>
            </w:r>
            <w:r w:rsidR="00945CC3">
              <w:rPr>
                <w:bCs/>
              </w:rPr>
              <w:t>66</w:t>
            </w:r>
          </w:p>
        </w:tc>
        <w:tc>
          <w:tcPr>
            <w:tcW w:w="1383" w:type="dxa"/>
            <w:shd w:val="clear" w:color="auto" w:fill="auto"/>
          </w:tcPr>
          <w:p w:rsidR="00A02C86" w:rsidRPr="00B13E9A" w:rsidRDefault="00A02C86" w:rsidP="00D3248A">
            <w:pPr>
              <w:jc w:val="right"/>
              <w:rPr>
                <w:bCs/>
              </w:rPr>
            </w:pPr>
          </w:p>
        </w:tc>
      </w:tr>
      <w:tr w:rsidR="00A02C86" w:rsidRPr="00B13E9A" w:rsidTr="0039323B">
        <w:tc>
          <w:tcPr>
            <w:tcW w:w="5387" w:type="dxa"/>
            <w:shd w:val="clear" w:color="auto" w:fill="auto"/>
          </w:tcPr>
          <w:p w:rsidR="00A02C86" w:rsidRPr="00B13E9A" w:rsidRDefault="00A02C86" w:rsidP="00D3248A">
            <w:pPr>
              <w:rPr>
                <w:bCs/>
              </w:rPr>
            </w:pPr>
            <w:r w:rsidRPr="00B13E9A">
              <w:rPr>
                <w:bCs/>
              </w:rPr>
              <w:t>Ergebnis vor Ertragsteuern fortgeführter Aktivitäten</w:t>
            </w:r>
          </w:p>
        </w:tc>
        <w:tc>
          <w:tcPr>
            <w:tcW w:w="1254" w:type="dxa"/>
            <w:shd w:val="clear" w:color="auto" w:fill="C0C0C0"/>
          </w:tcPr>
          <w:p w:rsidR="00A02C86" w:rsidRPr="00B13E9A" w:rsidRDefault="00945CC3" w:rsidP="00307B51">
            <w:pPr>
              <w:jc w:val="right"/>
              <w:rPr>
                <w:bCs/>
              </w:rPr>
            </w:pPr>
            <w:r>
              <w:rPr>
                <w:bCs/>
              </w:rPr>
              <w:t>2</w:t>
            </w:r>
            <w:r w:rsidR="00307B51">
              <w:rPr>
                <w:bCs/>
              </w:rPr>
              <w:t>12</w:t>
            </w:r>
          </w:p>
        </w:tc>
        <w:tc>
          <w:tcPr>
            <w:tcW w:w="1304" w:type="dxa"/>
            <w:shd w:val="clear" w:color="auto" w:fill="auto"/>
          </w:tcPr>
          <w:p w:rsidR="00A02C86" w:rsidRPr="00B13E9A" w:rsidRDefault="00945CC3" w:rsidP="00945CC3">
            <w:pPr>
              <w:ind w:right="120"/>
              <w:jc w:val="right"/>
              <w:rPr>
                <w:bCs/>
              </w:rPr>
            </w:pPr>
            <w:r>
              <w:rPr>
                <w:bCs/>
              </w:rPr>
              <w:t>368</w:t>
            </w:r>
          </w:p>
        </w:tc>
        <w:tc>
          <w:tcPr>
            <w:tcW w:w="1383" w:type="dxa"/>
            <w:shd w:val="clear" w:color="auto" w:fill="auto"/>
          </w:tcPr>
          <w:p w:rsidR="00A02C86" w:rsidRPr="00B13E9A" w:rsidRDefault="00A02C86" w:rsidP="00307B51">
            <w:pPr>
              <w:jc w:val="right"/>
              <w:rPr>
                <w:bCs/>
              </w:rPr>
            </w:pPr>
            <w:r w:rsidRPr="00B13E9A">
              <w:rPr>
                <w:bCs/>
              </w:rPr>
              <w:t>-</w:t>
            </w:r>
            <w:r w:rsidR="00307B51">
              <w:rPr>
                <w:bCs/>
              </w:rPr>
              <w:t>42</w:t>
            </w:r>
          </w:p>
        </w:tc>
      </w:tr>
      <w:tr w:rsidR="00A02C86" w:rsidRPr="00B13E9A" w:rsidTr="0039323B">
        <w:tc>
          <w:tcPr>
            <w:tcW w:w="5387" w:type="dxa"/>
            <w:shd w:val="clear" w:color="auto" w:fill="auto"/>
          </w:tcPr>
          <w:p w:rsidR="00A02C86" w:rsidRPr="00B13E9A" w:rsidRDefault="00A02C86" w:rsidP="00D3248A">
            <w:pPr>
              <w:jc w:val="both"/>
              <w:rPr>
                <w:bCs/>
              </w:rPr>
            </w:pPr>
            <w:r w:rsidRPr="00B13E9A">
              <w:rPr>
                <w:bCs/>
              </w:rPr>
              <w:t>Ertragsteuern</w:t>
            </w:r>
          </w:p>
        </w:tc>
        <w:tc>
          <w:tcPr>
            <w:tcW w:w="1254" w:type="dxa"/>
            <w:shd w:val="clear" w:color="auto" w:fill="C0C0C0"/>
          </w:tcPr>
          <w:p w:rsidR="00A02C86" w:rsidRPr="00B13E9A" w:rsidRDefault="00A02C86" w:rsidP="00296F5A">
            <w:pPr>
              <w:jc w:val="right"/>
              <w:rPr>
                <w:bCs/>
              </w:rPr>
            </w:pPr>
            <w:r w:rsidRPr="00B13E9A">
              <w:rPr>
                <w:bCs/>
              </w:rPr>
              <w:t>-</w:t>
            </w:r>
            <w:r w:rsidR="00945CC3">
              <w:rPr>
                <w:bCs/>
              </w:rPr>
              <w:t>6</w:t>
            </w:r>
            <w:r w:rsidR="00296F5A">
              <w:rPr>
                <w:bCs/>
              </w:rPr>
              <w:t>3</w:t>
            </w:r>
          </w:p>
        </w:tc>
        <w:tc>
          <w:tcPr>
            <w:tcW w:w="1304" w:type="dxa"/>
            <w:shd w:val="clear" w:color="auto" w:fill="auto"/>
          </w:tcPr>
          <w:p w:rsidR="00A02C86" w:rsidRPr="00B13E9A" w:rsidRDefault="00A02C86" w:rsidP="00945CC3">
            <w:pPr>
              <w:ind w:right="120"/>
              <w:jc w:val="right"/>
              <w:rPr>
                <w:bCs/>
              </w:rPr>
            </w:pPr>
            <w:r w:rsidRPr="00B13E9A">
              <w:rPr>
                <w:bCs/>
              </w:rPr>
              <w:t>-</w:t>
            </w:r>
            <w:r w:rsidR="00945CC3">
              <w:rPr>
                <w:bCs/>
              </w:rPr>
              <w:t>85</w:t>
            </w:r>
          </w:p>
        </w:tc>
        <w:tc>
          <w:tcPr>
            <w:tcW w:w="1383" w:type="dxa"/>
            <w:shd w:val="clear" w:color="auto" w:fill="auto"/>
          </w:tcPr>
          <w:p w:rsidR="00A02C86" w:rsidRPr="00B13E9A" w:rsidRDefault="00A02C86" w:rsidP="00D3248A">
            <w:pPr>
              <w:jc w:val="right"/>
              <w:rPr>
                <w:bCs/>
              </w:rPr>
            </w:pPr>
          </w:p>
        </w:tc>
      </w:tr>
      <w:tr w:rsidR="00A02C86" w:rsidRPr="00B13E9A" w:rsidTr="0039323B">
        <w:tc>
          <w:tcPr>
            <w:tcW w:w="5387" w:type="dxa"/>
            <w:shd w:val="clear" w:color="auto" w:fill="auto"/>
          </w:tcPr>
          <w:p w:rsidR="00A02C86" w:rsidRPr="00B13E9A" w:rsidRDefault="00A02C86" w:rsidP="00AF2A30">
            <w:pPr>
              <w:rPr>
                <w:bCs/>
              </w:rPr>
            </w:pPr>
            <w:r>
              <w:rPr>
                <w:bCs/>
              </w:rPr>
              <w:t xml:space="preserve">Ergebnis nach </w:t>
            </w:r>
            <w:r w:rsidR="00AF2A30">
              <w:rPr>
                <w:bCs/>
              </w:rPr>
              <w:t>Steuern</w:t>
            </w:r>
            <w:r>
              <w:rPr>
                <w:bCs/>
              </w:rPr>
              <w:t xml:space="preserve"> fortgeführter Aktivitäten</w:t>
            </w:r>
          </w:p>
        </w:tc>
        <w:tc>
          <w:tcPr>
            <w:tcW w:w="1254" w:type="dxa"/>
            <w:shd w:val="clear" w:color="auto" w:fill="C0C0C0"/>
          </w:tcPr>
          <w:p w:rsidR="00A02C86" w:rsidRDefault="00945CC3" w:rsidP="00307B51">
            <w:pPr>
              <w:jc w:val="right"/>
              <w:rPr>
                <w:bCs/>
              </w:rPr>
            </w:pPr>
            <w:r>
              <w:rPr>
                <w:bCs/>
              </w:rPr>
              <w:t>1</w:t>
            </w:r>
            <w:r w:rsidR="00307B51">
              <w:rPr>
                <w:bCs/>
              </w:rPr>
              <w:t>49</w:t>
            </w:r>
          </w:p>
        </w:tc>
        <w:tc>
          <w:tcPr>
            <w:tcW w:w="1304" w:type="dxa"/>
            <w:shd w:val="clear" w:color="auto" w:fill="auto"/>
          </w:tcPr>
          <w:p w:rsidR="00A02C86" w:rsidRDefault="00945CC3" w:rsidP="00945CC3">
            <w:pPr>
              <w:ind w:right="120"/>
              <w:jc w:val="right"/>
              <w:rPr>
                <w:bCs/>
              </w:rPr>
            </w:pPr>
            <w:r>
              <w:rPr>
                <w:bCs/>
              </w:rPr>
              <w:t>283</w:t>
            </w:r>
          </w:p>
        </w:tc>
        <w:tc>
          <w:tcPr>
            <w:tcW w:w="1383" w:type="dxa"/>
            <w:shd w:val="clear" w:color="auto" w:fill="auto"/>
          </w:tcPr>
          <w:p w:rsidR="00A02C86" w:rsidRPr="00B13E9A" w:rsidRDefault="00945CC3" w:rsidP="00307B51">
            <w:pPr>
              <w:jc w:val="right"/>
              <w:rPr>
                <w:bCs/>
              </w:rPr>
            </w:pPr>
            <w:r>
              <w:rPr>
                <w:bCs/>
              </w:rPr>
              <w:t>-4</w:t>
            </w:r>
            <w:r w:rsidR="00307B51">
              <w:rPr>
                <w:bCs/>
              </w:rPr>
              <w:t>7</w:t>
            </w:r>
          </w:p>
        </w:tc>
      </w:tr>
      <w:tr w:rsidR="00A02C86" w:rsidRPr="00B13E9A" w:rsidTr="0039323B">
        <w:tc>
          <w:tcPr>
            <w:tcW w:w="5387" w:type="dxa"/>
            <w:shd w:val="clear" w:color="auto" w:fill="auto"/>
          </w:tcPr>
          <w:p w:rsidR="00A02C86" w:rsidRPr="00B13E9A" w:rsidRDefault="00A02C86" w:rsidP="00AF2A30">
            <w:pPr>
              <w:rPr>
                <w:bCs/>
              </w:rPr>
            </w:pPr>
            <w:r w:rsidRPr="00B13E9A">
              <w:rPr>
                <w:bCs/>
              </w:rPr>
              <w:t xml:space="preserve">Ergebnis </w:t>
            </w:r>
            <w:r>
              <w:rPr>
                <w:bCs/>
              </w:rPr>
              <w:t>nach</w:t>
            </w:r>
            <w:r w:rsidRPr="00B13E9A">
              <w:rPr>
                <w:bCs/>
              </w:rPr>
              <w:t xml:space="preserve"> </w:t>
            </w:r>
            <w:r w:rsidR="00AF2A30">
              <w:rPr>
                <w:bCs/>
              </w:rPr>
              <w:t>Steuern</w:t>
            </w:r>
            <w:r w:rsidRPr="00B13E9A">
              <w:rPr>
                <w:bCs/>
              </w:rPr>
              <w:t xml:space="preserve"> nicht fortgeführter Aktivitäten</w:t>
            </w:r>
          </w:p>
        </w:tc>
        <w:tc>
          <w:tcPr>
            <w:tcW w:w="1254" w:type="dxa"/>
            <w:shd w:val="clear" w:color="auto" w:fill="C0C0C0"/>
          </w:tcPr>
          <w:p w:rsidR="00A02C86" w:rsidRPr="00B13E9A" w:rsidRDefault="00945CC3" w:rsidP="00945CC3">
            <w:pPr>
              <w:jc w:val="right"/>
              <w:rPr>
                <w:bCs/>
              </w:rPr>
            </w:pPr>
            <w:r>
              <w:rPr>
                <w:bCs/>
              </w:rPr>
              <w:t>21</w:t>
            </w:r>
          </w:p>
        </w:tc>
        <w:tc>
          <w:tcPr>
            <w:tcW w:w="1304" w:type="dxa"/>
            <w:shd w:val="clear" w:color="auto" w:fill="auto"/>
          </w:tcPr>
          <w:p w:rsidR="00A02C86" w:rsidRPr="00B13E9A" w:rsidRDefault="00945CC3" w:rsidP="00D3248A">
            <w:pPr>
              <w:ind w:right="120"/>
              <w:jc w:val="right"/>
              <w:rPr>
                <w:bCs/>
              </w:rPr>
            </w:pPr>
            <w:r>
              <w:rPr>
                <w:bCs/>
              </w:rPr>
              <w:t>7</w:t>
            </w:r>
          </w:p>
        </w:tc>
        <w:tc>
          <w:tcPr>
            <w:tcW w:w="1383" w:type="dxa"/>
            <w:shd w:val="clear" w:color="auto" w:fill="auto"/>
          </w:tcPr>
          <w:p w:rsidR="00A02C86" w:rsidRPr="00B13E9A" w:rsidRDefault="00A02C86" w:rsidP="00D3248A">
            <w:pPr>
              <w:jc w:val="right"/>
              <w:rPr>
                <w:bCs/>
              </w:rPr>
            </w:pPr>
          </w:p>
        </w:tc>
      </w:tr>
      <w:tr w:rsidR="00A02C86" w:rsidRPr="00B13E9A" w:rsidTr="0039323B">
        <w:tc>
          <w:tcPr>
            <w:tcW w:w="5387" w:type="dxa"/>
            <w:shd w:val="clear" w:color="auto" w:fill="auto"/>
          </w:tcPr>
          <w:p w:rsidR="00A02C86" w:rsidRPr="00B13E9A" w:rsidRDefault="00A02C86" w:rsidP="00D3248A">
            <w:pPr>
              <w:jc w:val="both"/>
              <w:rPr>
                <w:bCs/>
              </w:rPr>
            </w:pPr>
            <w:r w:rsidRPr="00B13E9A">
              <w:rPr>
                <w:bCs/>
              </w:rPr>
              <w:t>Ergebnis nach Steuern</w:t>
            </w:r>
          </w:p>
        </w:tc>
        <w:tc>
          <w:tcPr>
            <w:tcW w:w="1254" w:type="dxa"/>
            <w:shd w:val="clear" w:color="auto" w:fill="C0C0C0"/>
          </w:tcPr>
          <w:p w:rsidR="00A02C86" w:rsidRPr="00B13E9A" w:rsidRDefault="00945CC3" w:rsidP="00307B51">
            <w:pPr>
              <w:jc w:val="right"/>
              <w:rPr>
                <w:bCs/>
              </w:rPr>
            </w:pPr>
            <w:r>
              <w:rPr>
                <w:bCs/>
              </w:rPr>
              <w:t>17</w:t>
            </w:r>
            <w:r w:rsidR="00307B51">
              <w:rPr>
                <w:bCs/>
              </w:rPr>
              <w:t>0</w:t>
            </w:r>
          </w:p>
        </w:tc>
        <w:tc>
          <w:tcPr>
            <w:tcW w:w="1304" w:type="dxa"/>
            <w:shd w:val="clear" w:color="auto" w:fill="auto"/>
          </w:tcPr>
          <w:p w:rsidR="00A02C86" w:rsidRPr="00B13E9A" w:rsidRDefault="00945CC3" w:rsidP="00945CC3">
            <w:pPr>
              <w:ind w:right="120"/>
              <w:jc w:val="right"/>
              <w:rPr>
                <w:bCs/>
              </w:rPr>
            </w:pPr>
            <w:r>
              <w:rPr>
                <w:bCs/>
              </w:rPr>
              <w:t>290</w:t>
            </w:r>
          </w:p>
        </w:tc>
        <w:tc>
          <w:tcPr>
            <w:tcW w:w="1383" w:type="dxa"/>
            <w:shd w:val="clear" w:color="auto" w:fill="auto"/>
          </w:tcPr>
          <w:p w:rsidR="00A02C86" w:rsidRPr="00B13E9A" w:rsidRDefault="00945CC3" w:rsidP="00DC0B24">
            <w:pPr>
              <w:jc w:val="right"/>
              <w:rPr>
                <w:bCs/>
              </w:rPr>
            </w:pPr>
            <w:r>
              <w:rPr>
                <w:bCs/>
              </w:rPr>
              <w:t>-</w:t>
            </w:r>
            <w:r w:rsidR="00DC0B24">
              <w:rPr>
                <w:bCs/>
              </w:rPr>
              <w:t>41</w:t>
            </w:r>
          </w:p>
        </w:tc>
      </w:tr>
      <w:tr w:rsidR="00A02C86" w:rsidRPr="00B13E9A" w:rsidTr="0039323B">
        <w:tc>
          <w:tcPr>
            <w:tcW w:w="5387" w:type="dxa"/>
            <w:shd w:val="clear" w:color="auto" w:fill="auto"/>
          </w:tcPr>
          <w:p w:rsidR="00A02C86" w:rsidRPr="00B13E9A" w:rsidRDefault="00072C2F" w:rsidP="00AF2A30">
            <w:pPr>
              <w:jc w:val="both"/>
              <w:rPr>
                <w:bCs/>
              </w:rPr>
            </w:pPr>
            <w:r>
              <w:rPr>
                <w:bCs/>
              </w:rPr>
              <w:t xml:space="preserve">Davon </w:t>
            </w:r>
            <w:r w:rsidR="00AF2A30">
              <w:rPr>
                <w:bCs/>
              </w:rPr>
              <w:t xml:space="preserve">Ergebnis </w:t>
            </w:r>
            <w:r w:rsidR="00A02C86" w:rsidRPr="00B13E9A">
              <w:rPr>
                <w:bCs/>
              </w:rPr>
              <w:t>anderer Gesellschafter</w:t>
            </w:r>
          </w:p>
        </w:tc>
        <w:tc>
          <w:tcPr>
            <w:tcW w:w="1254" w:type="dxa"/>
            <w:shd w:val="clear" w:color="auto" w:fill="C0C0C0"/>
          </w:tcPr>
          <w:p w:rsidR="00A02C86" w:rsidRPr="00B13E9A" w:rsidRDefault="00945CC3" w:rsidP="00D3248A">
            <w:pPr>
              <w:jc w:val="right"/>
              <w:rPr>
                <w:bCs/>
              </w:rPr>
            </w:pPr>
            <w:r>
              <w:rPr>
                <w:bCs/>
              </w:rPr>
              <w:t>4</w:t>
            </w:r>
          </w:p>
        </w:tc>
        <w:tc>
          <w:tcPr>
            <w:tcW w:w="1304" w:type="dxa"/>
            <w:shd w:val="clear" w:color="auto" w:fill="auto"/>
          </w:tcPr>
          <w:p w:rsidR="00A02C86" w:rsidRPr="00B13E9A" w:rsidRDefault="00945CC3" w:rsidP="00D3248A">
            <w:pPr>
              <w:ind w:right="120"/>
              <w:jc w:val="right"/>
              <w:rPr>
                <w:bCs/>
              </w:rPr>
            </w:pPr>
            <w:r>
              <w:rPr>
                <w:bCs/>
              </w:rPr>
              <w:t>-</w:t>
            </w:r>
            <w:r w:rsidR="00A02C86" w:rsidRPr="00B13E9A">
              <w:rPr>
                <w:bCs/>
              </w:rPr>
              <w:t>3</w:t>
            </w:r>
          </w:p>
        </w:tc>
        <w:tc>
          <w:tcPr>
            <w:tcW w:w="1383" w:type="dxa"/>
            <w:shd w:val="clear" w:color="auto" w:fill="auto"/>
          </w:tcPr>
          <w:p w:rsidR="00A02C86" w:rsidRPr="00B13E9A" w:rsidRDefault="00A02C86" w:rsidP="00D3248A">
            <w:pPr>
              <w:jc w:val="right"/>
              <w:rPr>
                <w:bCs/>
              </w:rPr>
            </w:pPr>
          </w:p>
        </w:tc>
      </w:tr>
      <w:tr w:rsidR="00A02C86" w:rsidRPr="00B13E9A" w:rsidTr="0039323B">
        <w:tc>
          <w:tcPr>
            <w:tcW w:w="5387" w:type="dxa"/>
            <w:shd w:val="clear" w:color="auto" w:fill="auto"/>
          </w:tcPr>
          <w:p w:rsidR="00A02C86" w:rsidRPr="00AF2A30" w:rsidRDefault="00A02C86" w:rsidP="00D3248A">
            <w:pPr>
              <w:jc w:val="both"/>
              <w:rPr>
                <w:b/>
                <w:bCs/>
              </w:rPr>
            </w:pPr>
            <w:r w:rsidRPr="00AF2A30">
              <w:rPr>
                <w:b/>
                <w:bCs/>
              </w:rPr>
              <w:t>Konzernergebnis</w:t>
            </w:r>
          </w:p>
        </w:tc>
        <w:tc>
          <w:tcPr>
            <w:tcW w:w="1254" w:type="dxa"/>
            <w:shd w:val="clear" w:color="auto" w:fill="C0C0C0"/>
          </w:tcPr>
          <w:p w:rsidR="00A02C86" w:rsidRPr="00B13E9A" w:rsidRDefault="00945CC3" w:rsidP="00DC0B24">
            <w:pPr>
              <w:jc w:val="right"/>
              <w:rPr>
                <w:bCs/>
              </w:rPr>
            </w:pPr>
            <w:r>
              <w:rPr>
                <w:bCs/>
              </w:rPr>
              <w:t>1</w:t>
            </w:r>
            <w:r w:rsidR="00DC0B24">
              <w:rPr>
                <w:bCs/>
              </w:rPr>
              <w:t>66</w:t>
            </w:r>
          </w:p>
        </w:tc>
        <w:tc>
          <w:tcPr>
            <w:tcW w:w="1304" w:type="dxa"/>
            <w:shd w:val="clear" w:color="auto" w:fill="auto"/>
          </w:tcPr>
          <w:p w:rsidR="00A02C86" w:rsidRPr="00B13E9A" w:rsidRDefault="00945CC3" w:rsidP="00945CC3">
            <w:pPr>
              <w:ind w:right="120"/>
              <w:jc w:val="right"/>
              <w:rPr>
                <w:bCs/>
              </w:rPr>
            </w:pPr>
            <w:r>
              <w:rPr>
                <w:bCs/>
              </w:rPr>
              <w:t>293</w:t>
            </w:r>
          </w:p>
        </w:tc>
        <w:tc>
          <w:tcPr>
            <w:tcW w:w="1383" w:type="dxa"/>
            <w:shd w:val="clear" w:color="auto" w:fill="auto"/>
          </w:tcPr>
          <w:p w:rsidR="00A02C86" w:rsidRPr="00B13E9A" w:rsidRDefault="00945CC3" w:rsidP="00DC0B24">
            <w:pPr>
              <w:jc w:val="right"/>
              <w:rPr>
                <w:bCs/>
              </w:rPr>
            </w:pPr>
            <w:r>
              <w:rPr>
                <w:bCs/>
              </w:rPr>
              <w:t>-4</w:t>
            </w:r>
            <w:r w:rsidR="00DC0B24">
              <w:rPr>
                <w:bCs/>
              </w:rPr>
              <w:t>3</w:t>
            </w:r>
          </w:p>
        </w:tc>
      </w:tr>
      <w:tr w:rsidR="00A02C86" w:rsidRPr="00B13E9A" w:rsidTr="0039323B">
        <w:tc>
          <w:tcPr>
            <w:tcW w:w="5387" w:type="dxa"/>
            <w:shd w:val="clear" w:color="auto" w:fill="auto"/>
          </w:tcPr>
          <w:p w:rsidR="00A02C86" w:rsidRPr="00AF2A30" w:rsidRDefault="00A02C86" w:rsidP="00D3248A">
            <w:pPr>
              <w:jc w:val="both"/>
              <w:rPr>
                <w:b/>
                <w:bCs/>
              </w:rPr>
            </w:pPr>
            <w:r w:rsidRPr="00AF2A30">
              <w:rPr>
                <w:b/>
                <w:bCs/>
              </w:rPr>
              <w:t>Bereinigtes Konzernergebnis</w:t>
            </w:r>
          </w:p>
        </w:tc>
        <w:tc>
          <w:tcPr>
            <w:tcW w:w="1254" w:type="dxa"/>
            <w:shd w:val="clear" w:color="auto" w:fill="C0C0C0"/>
          </w:tcPr>
          <w:p w:rsidR="00A02C86" w:rsidRPr="00B13E9A" w:rsidRDefault="00945CC3" w:rsidP="00945CC3">
            <w:pPr>
              <w:jc w:val="right"/>
              <w:rPr>
                <w:bCs/>
              </w:rPr>
            </w:pPr>
            <w:r>
              <w:rPr>
                <w:bCs/>
              </w:rPr>
              <w:t>187</w:t>
            </w:r>
          </w:p>
        </w:tc>
        <w:tc>
          <w:tcPr>
            <w:tcW w:w="1304" w:type="dxa"/>
            <w:shd w:val="clear" w:color="auto" w:fill="auto"/>
          </w:tcPr>
          <w:p w:rsidR="00A02C86" w:rsidRPr="00B13E9A" w:rsidRDefault="00945CC3" w:rsidP="00945CC3">
            <w:pPr>
              <w:ind w:right="120"/>
              <w:jc w:val="right"/>
              <w:rPr>
                <w:bCs/>
              </w:rPr>
            </w:pPr>
            <w:r>
              <w:rPr>
                <w:bCs/>
              </w:rPr>
              <w:t>305</w:t>
            </w:r>
          </w:p>
        </w:tc>
        <w:tc>
          <w:tcPr>
            <w:tcW w:w="1383" w:type="dxa"/>
            <w:shd w:val="clear" w:color="auto" w:fill="auto"/>
          </w:tcPr>
          <w:p w:rsidR="00A02C86" w:rsidRPr="00B13E9A" w:rsidRDefault="00945CC3" w:rsidP="00945CC3">
            <w:pPr>
              <w:jc w:val="right"/>
              <w:rPr>
                <w:bCs/>
              </w:rPr>
            </w:pPr>
            <w:r>
              <w:rPr>
                <w:bCs/>
              </w:rPr>
              <w:t>-39</w:t>
            </w:r>
          </w:p>
        </w:tc>
      </w:tr>
    </w:tbl>
    <w:p w:rsidR="00A02C86" w:rsidRPr="00B13E9A" w:rsidRDefault="00A02C86" w:rsidP="00A02C86">
      <w:pPr>
        <w:rPr>
          <w:bCs/>
        </w:rPr>
      </w:pPr>
      <w:r w:rsidRPr="00B13E9A">
        <w:rPr>
          <w:bCs/>
        </w:rPr>
        <w:t>Vorjahreszahlen angepasst</w:t>
      </w:r>
    </w:p>
    <w:p w:rsidR="00A02C86" w:rsidRPr="00B13E9A" w:rsidRDefault="00A02C86" w:rsidP="00A02C86">
      <w:pPr>
        <w:rPr>
          <w:bCs/>
        </w:rPr>
      </w:pPr>
    </w:p>
    <w:p w:rsidR="00A02C86" w:rsidRPr="00D941D1" w:rsidRDefault="00A02C86" w:rsidP="00A02C86">
      <w:pPr>
        <w:spacing w:after="120"/>
        <w:rPr>
          <w:b/>
          <w:bCs/>
        </w:rPr>
      </w:pPr>
      <w:r w:rsidRPr="00D941D1">
        <w:rPr>
          <w:b/>
          <w:bCs/>
        </w:rPr>
        <w:t>Entwicklung in den Segmenten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1231"/>
        <w:gridCol w:w="1134"/>
        <w:gridCol w:w="1134"/>
        <w:gridCol w:w="1276"/>
        <w:gridCol w:w="1275"/>
        <w:gridCol w:w="993"/>
      </w:tblGrid>
      <w:tr w:rsidR="00A02C86" w:rsidRPr="00B13E9A" w:rsidTr="00D26C39">
        <w:tc>
          <w:tcPr>
            <w:tcW w:w="3022" w:type="dxa"/>
            <w:vMerge w:val="restart"/>
            <w:shd w:val="clear" w:color="auto" w:fill="auto"/>
          </w:tcPr>
          <w:p w:rsidR="00A02C86" w:rsidRPr="00B13E9A" w:rsidRDefault="00A02C86" w:rsidP="00D3248A">
            <w:pPr>
              <w:rPr>
                <w:bCs/>
              </w:rPr>
            </w:pPr>
          </w:p>
        </w:tc>
        <w:tc>
          <w:tcPr>
            <w:tcW w:w="3499" w:type="dxa"/>
            <w:gridSpan w:val="3"/>
            <w:shd w:val="clear" w:color="auto" w:fill="auto"/>
          </w:tcPr>
          <w:p w:rsidR="00A02C86" w:rsidRPr="00BE5DBC" w:rsidRDefault="00A02C86" w:rsidP="00D3248A">
            <w:pPr>
              <w:jc w:val="center"/>
              <w:rPr>
                <w:b/>
                <w:bCs/>
              </w:rPr>
            </w:pPr>
            <w:r w:rsidRPr="00BE5DBC">
              <w:rPr>
                <w:b/>
                <w:bCs/>
              </w:rPr>
              <w:t>Umsatz</w:t>
            </w:r>
          </w:p>
        </w:tc>
        <w:tc>
          <w:tcPr>
            <w:tcW w:w="3544" w:type="dxa"/>
            <w:gridSpan w:val="3"/>
            <w:shd w:val="clear" w:color="auto" w:fill="auto"/>
          </w:tcPr>
          <w:p w:rsidR="00A02C86" w:rsidRPr="00BE5DBC" w:rsidRDefault="00A02C86" w:rsidP="00D3248A">
            <w:pPr>
              <w:jc w:val="center"/>
              <w:rPr>
                <w:b/>
                <w:bCs/>
              </w:rPr>
            </w:pPr>
            <w:r w:rsidRPr="00BE5DBC">
              <w:rPr>
                <w:b/>
                <w:bCs/>
              </w:rPr>
              <w:t>Bereinigtes EBITDA</w:t>
            </w:r>
          </w:p>
        </w:tc>
      </w:tr>
      <w:tr w:rsidR="00A02C86" w:rsidRPr="00B13E9A" w:rsidTr="00D26C39">
        <w:tc>
          <w:tcPr>
            <w:tcW w:w="3022" w:type="dxa"/>
            <w:vMerge/>
            <w:shd w:val="clear" w:color="auto" w:fill="auto"/>
          </w:tcPr>
          <w:p w:rsidR="00A02C86" w:rsidRPr="00B13E9A" w:rsidRDefault="00A02C86" w:rsidP="00D3248A">
            <w:pPr>
              <w:rPr>
                <w:bCs/>
              </w:rPr>
            </w:pPr>
          </w:p>
        </w:tc>
        <w:tc>
          <w:tcPr>
            <w:tcW w:w="1231" w:type="dxa"/>
            <w:shd w:val="clear" w:color="auto" w:fill="C0C0C0"/>
          </w:tcPr>
          <w:p w:rsidR="00A02C86" w:rsidRPr="00BE5DBC" w:rsidRDefault="00A02C86" w:rsidP="00AF2A30">
            <w:pPr>
              <w:jc w:val="center"/>
              <w:rPr>
                <w:b/>
                <w:bCs/>
                <w:sz w:val="16"/>
                <w:szCs w:val="16"/>
              </w:rPr>
            </w:pPr>
            <w:r w:rsidRPr="00BE5DBC">
              <w:rPr>
                <w:b/>
                <w:bCs/>
                <w:sz w:val="16"/>
                <w:szCs w:val="16"/>
              </w:rPr>
              <w:t>Q1/201</w:t>
            </w:r>
            <w:r w:rsidR="00AF2A30">
              <w:rPr>
                <w:b/>
                <w:bCs/>
                <w:sz w:val="16"/>
                <w:szCs w:val="16"/>
              </w:rPr>
              <w:t>4</w:t>
            </w:r>
            <w:r w:rsidRPr="00BE5DBC">
              <w:rPr>
                <w:b/>
                <w:bCs/>
                <w:sz w:val="16"/>
                <w:szCs w:val="16"/>
              </w:rPr>
              <w:br/>
              <w:t>in Mio. €</w:t>
            </w:r>
          </w:p>
        </w:tc>
        <w:tc>
          <w:tcPr>
            <w:tcW w:w="1134" w:type="dxa"/>
            <w:shd w:val="clear" w:color="auto" w:fill="auto"/>
          </w:tcPr>
          <w:p w:rsidR="00A02C86" w:rsidRPr="00BE5DBC" w:rsidRDefault="00A02C86" w:rsidP="00AF2A30">
            <w:pPr>
              <w:jc w:val="center"/>
              <w:rPr>
                <w:b/>
                <w:bCs/>
                <w:sz w:val="16"/>
                <w:szCs w:val="16"/>
              </w:rPr>
            </w:pPr>
            <w:r w:rsidRPr="00BE5DBC">
              <w:rPr>
                <w:b/>
                <w:bCs/>
                <w:sz w:val="16"/>
                <w:szCs w:val="16"/>
              </w:rPr>
              <w:t>Q1/201</w:t>
            </w:r>
            <w:r w:rsidR="00AF2A30">
              <w:rPr>
                <w:b/>
                <w:bCs/>
                <w:sz w:val="16"/>
                <w:szCs w:val="16"/>
              </w:rPr>
              <w:t>3</w:t>
            </w:r>
            <w:r w:rsidRPr="00BE5DBC">
              <w:rPr>
                <w:b/>
                <w:bCs/>
                <w:sz w:val="16"/>
                <w:szCs w:val="16"/>
              </w:rPr>
              <w:br/>
              <w:t>in Mio. €</w:t>
            </w:r>
          </w:p>
        </w:tc>
        <w:tc>
          <w:tcPr>
            <w:tcW w:w="1134" w:type="dxa"/>
            <w:shd w:val="clear" w:color="auto" w:fill="auto"/>
          </w:tcPr>
          <w:p w:rsidR="00A02C86" w:rsidRPr="00BE5DBC" w:rsidRDefault="00A02C86" w:rsidP="00D3248A">
            <w:pPr>
              <w:jc w:val="center"/>
              <w:rPr>
                <w:b/>
                <w:bCs/>
                <w:sz w:val="16"/>
                <w:szCs w:val="16"/>
              </w:rPr>
            </w:pPr>
            <w:proofErr w:type="spellStart"/>
            <w:r w:rsidRPr="00BE5DBC">
              <w:rPr>
                <w:b/>
                <w:bCs/>
                <w:sz w:val="16"/>
                <w:szCs w:val="16"/>
              </w:rPr>
              <w:t>Veränd</w:t>
            </w:r>
            <w:proofErr w:type="spellEnd"/>
            <w:r w:rsidRPr="00BE5DBC">
              <w:rPr>
                <w:b/>
                <w:bCs/>
                <w:sz w:val="16"/>
                <w:szCs w:val="16"/>
              </w:rPr>
              <w:t xml:space="preserve">. </w:t>
            </w:r>
            <w:r w:rsidR="00D26C39">
              <w:rPr>
                <w:b/>
                <w:bCs/>
                <w:sz w:val="16"/>
                <w:szCs w:val="16"/>
              </w:rPr>
              <w:br/>
            </w:r>
            <w:r w:rsidRPr="00BE5DBC">
              <w:rPr>
                <w:b/>
                <w:bCs/>
                <w:sz w:val="16"/>
                <w:szCs w:val="16"/>
              </w:rPr>
              <w:t>in %</w:t>
            </w:r>
          </w:p>
        </w:tc>
        <w:tc>
          <w:tcPr>
            <w:tcW w:w="1276" w:type="dxa"/>
            <w:shd w:val="clear" w:color="auto" w:fill="C0C0C0"/>
          </w:tcPr>
          <w:p w:rsidR="00A02C86" w:rsidRPr="00BE5DBC" w:rsidRDefault="00A02C86" w:rsidP="00AF2A30">
            <w:pPr>
              <w:jc w:val="center"/>
              <w:rPr>
                <w:b/>
                <w:bCs/>
                <w:sz w:val="16"/>
                <w:szCs w:val="16"/>
              </w:rPr>
            </w:pPr>
            <w:r w:rsidRPr="00BE5DBC">
              <w:rPr>
                <w:b/>
                <w:bCs/>
                <w:sz w:val="16"/>
                <w:szCs w:val="16"/>
              </w:rPr>
              <w:t>Q1/201</w:t>
            </w:r>
            <w:r w:rsidR="00AF2A30">
              <w:rPr>
                <w:b/>
                <w:bCs/>
                <w:sz w:val="16"/>
                <w:szCs w:val="16"/>
              </w:rPr>
              <w:t>4</w:t>
            </w:r>
            <w:r w:rsidRPr="00BE5DBC">
              <w:rPr>
                <w:b/>
                <w:bCs/>
                <w:sz w:val="16"/>
                <w:szCs w:val="16"/>
              </w:rPr>
              <w:br/>
              <w:t>in Mio. €</w:t>
            </w:r>
          </w:p>
        </w:tc>
        <w:tc>
          <w:tcPr>
            <w:tcW w:w="1275" w:type="dxa"/>
            <w:shd w:val="clear" w:color="auto" w:fill="auto"/>
          </w:tcPr>
          <w:p w:rsidR="00A02C86" w:rsidRPr="00BE5DBC" w:rsidRDefault="00A02C86" w:rsidP="00AF2A30">
            <w:pPr>
              <w:jc w:val="center"/>
              <w:rPr>
                <w:b/>
                <w:bCs/>
                <w:sz w:val="16"/>
                <w:szCs w:val="16"/>
              </w:rPr>
            </w:pPr>
            <w:r w:rsidRPr="00BE5DBC">
              <w:rPr>
                <w:b/>
                <w:bCs/>
                <w:sz w:val="16"/>
                <w:szCs w:val="16"/>
              </w:rPr>
              <w:t>Q1/201</w:t>
            </w:r>
            <w:r w:rsidR="00AF2A30">
              <w:rPr>
                <w:b/>
                <w:bCs/>
                <w:sz w:val="16"/>
                <w:szCs w:val="16"/>
              </w:rPr>
              <w:t>3</w:t>
            </w:r>
            <w:r w:rsidRPr="00BE5DBC">
              <w:rPr>
                <w:b/>
                <w:bCs/>
                <w:sz w:val="16"/>
                <w:szCs w:val="16"/>
              </w:rPr>
              <w:br/>
              <w:t>in Mio. €</w:t>
            </w:r>
          </w:p>
        </w:tc>
        <w:tc>
          <w:tcPr>
            <w:tcW w:w="993" w:type="dxa"/>
            <w:shd w:val="clear" w:color="auto" w:fill="auto"/>
          </w:tcPr>
          <w:p w:rsidR="00A02C86" w:rsidRPr="00BE5DBC" w:rsidRDefault="00A02C86" w:rsidP="00D3248A">
            <w:pPr>
              <w:jc w:val="center"/>
              <w:rPr>
                <w:b/>
                <w:bCs/>
                <w:sz w:val="16"/>
                <w:szCs w:val="16"/>
              </w:rPr>
            </w:pPr>
            <w:proofErr w:type="spellStart"/>
            <w:r w:rsidRPr="00BE5DBC">
              <w:rPr>
                <w:b/>
                <w:bCs/>
                <w:sz w:val="16"/>
                <w:szCs w:val="16"/>
              </w:rPr>
              <w:t>Veränd</w:t>
            </w:r>
            <w:proofErr w:type="spellEnd"/>
            <w:r w:rsidRPr="00BE5DBC">
              <w:rPr>
                <w:b/>
                <w:bCs/>
                <w:sz w:val="16"/>
                <w:szCs w:val="16"/>
              </w:rPr>
              <w:t>. in %</w:t>
            </w:r>
          </w:p>
        </w:tc>
      </w:tr>
      <w:tr w:rsidR="00A02C86" w:rsidRPr="008D56C4" w:rsidTr="00D26C39">
        <w:tc>
          <w:tcPr>
            <w:tcW w:w="3022" w:type="dxa"/>
            <w:shd w:val="clear" w:color="auto" w:fill="auto"/>
          </w:tcPr>
          <w:p w:rsidR="00A02C86" w:rsidRPr="00BE5DBC" w:rsidRDefault="00A02C86" w:rsidP="00D3248A">
            <w:pPr>
              <w:rPr>
                <w:bCs/>
              </w:rPr>
            </w:pPr>
            <w:r w:rsidRPr="00BE5DBC">
              <w:rPr>
                <w:bCs/>
              </w:rPr>
              <w:t xml:space="preserve">Consumer, </w:t>
            </w:r>
            <w:proofErr w:type="spellStart"/>
            <w:r w:rsidRPr="00BE5DBC">
              <w:rPr>
                <w:bCs/>
              </w:rPr>
              <w:t>Health</w:t>
            </w:r>
            <w:proofErr w:type="spellEnd"/>
            <w:r w:rsidRPr="00BE5DBC">
              <w:rPr>
                <w:bCs/>
              </w:rPr>
              <w:t xml:space="preserve"> &amp; Nutrition</w:t>
            </w:r>
          </w:p>
        </w:tc>
        <w:tc>
          <w:tcPr>
            <w:tcW w:w="1231" w:type="dxa"/>
            <w:shd w:val="clear" w:color="auto" w:fill="C0C0C0"/>
            <w:vAlign w:val="center"/>
          </w:tcPr>
          <w:p w:rsidR="00A02C86" w:rsidRPr="00BE5DBC" w:rsidRDefault="00945CC3" w:rsidP="00D3248A">
            <w:pPr>
              <w:jc w:val="right"/>
              <w:rPr>
                <w:bCs/>
              </w:rPr>
            </w:pPr>
            <w:r>
              <w:rPr>
                <w:bCs/>
              </w:rPr>
              <w:t>978</w:t>
            </w:r>
          </w:p>
        </w:tc>
        <w:tc>
          <w:tcPr>
            <w:tcW w:w="1134" w:type="dxa"/>
            <w:shd w:val="clear" w:color="auto" w:fill="auto"/>
            <w:vAlign w:val="center"/>
          </w:tcPr>
          <w:p w:rsidR="00A02C86" w:rsidRPr="00A02C86" w:rsidRDefault="00A02C86" w:rsidP="00945CC3">
            <w:pPr>
              <w:jc w:val="right"/>
              <w:rPr>
                <w:bCs/>
                <w:lang w:val="en-US"/>
              </w:rPr>
            </w:pPr>
            <w:r w:rsidRPr="00BE5DBC">
              <w:rPr>
                <w:bCs/>
              </w:rPr>
              <w:t>1.0</w:t>
            </w:r>
            <w:r w:rsidR="00945CC3">
              <w:rPr>
                <w:bCs/>
              </w:rPr>
              <w:t>27</w:t>
            </w:r>
          </w:p>
        </w:tc>
        <w:tc>
          <w:tcPr>
            <w:tcW w:w="1134" w:type="dxa"/>
            <w:shd w:val="clear" w:color="auto" w:fill="auto"/>
            <w:vAlign w:val="center"/>
          </w:tcPr>
          <w:p w:rsidR="00A02C86" w:rsidRPr="00A02C86" w:rsidRDefault="00A02C86" w:rsidP="00945CC3">
            <w:pPr>
              <w:jc w:val="right"/>
              <w:rPr>
                <w:bCs/>
                <w:lang w:val="en-US"/>
              </w:rPr>
            </w:pPr>
            <w:r w:rsidRPr="00A02C86">
              <w:rPr>
                <w:bCs/>
                <w:lang w:val="en-US"/>
              </w:rPr>
              <w:t>-</w:t>
            </w:r>
            <w:r w:rsidR="00945CC3">
              <w:rPr>
                <w:bCs/>
                <w:lang w:val="en-US"/>
              </w:rPr>
              <w:t>5</w:t>
            </w:r>
          </w:p>
        </w:tc>
        <w:tc>
          <w:tcPr>
            <w:tcW w:w="1276" w:type="dxa"/>
            <w:shd w:val="clear" w:color="auto" w:fill="C0C0C0"/>
            <w:vAlign w:val="center"/>
          </w:tcPr>
          <w:p w:rsidR="00A02C86" w:rsidRPr="00A02C86" w:rsidRDefault="00945CC3" w:rsidP="00945CC3">
            <w:pPr>
              <w:jc w:val="right"/>
              <w:rPr>
                <w:bCs/>
                <w:lang w:val="en-US"/>
              </w:rPr>
            </w:pPr>
            <w:r>
              <w:rPr>
                <w:bCs/>
                <w:lang w:val="en-US"/>
              </w:rPr>
              <w:t>187</w:t>
            </w:r>
          </w:p>
        </w:tc>
        <w:tc>
          <w:tcPr>
            <w:tcW w:w="1275" w:type="dxa"/>
            <w:shd w:val="clear" w:color="auto" w:fill="auto"/>
            <w:vAlign w:val="center"/>
          </w:tcPr>
          <w:p w:rsidR="00A02C86" w:rsidRPr="00A02C86" w:rsidRDefault="00945CC3" w:rsidP="00945CC3">
            <w:pPr>
              <w:jc w:val="right"/>
              <w:rPr>
                <w:bCs/>
                <w:lang w:val="en-US"/>
              </w:rPr>
            </w:pPr>
            <w:r>
              <w:rPr>
                <w:bCs/>
                <w:lang w:val="en-US"/>
              </w:rPr>
              <w:t>281</w:t>
            </w:r>
          </w:p>
        </w:tc>
        <w:tc>
          <w:tcPr>
            <w:tcW w:w="993" w:type="dxa"/>
            <w:shd w:val="clear" w:color="auto" w:fill="auto"/>
            <w:vAlign w:val="center"/>
          </w:tcPr>
          <w:p w:rsidR="00A02C86" w:rsidRPr="00A02C86" w:rsidRDefault="00A02C86" w:rsidP="00945CC3">
            <w:pPr>
              <w:jc w:val="right"/>
              <w:rPr>
                <w:bCs/>
                <w:lang w:val="en-US"/>
              </w:rPr>
            </w:pPr>
            <w:r w:rsidRPr="00A02C86">
              <w:rPr>
                <w:bCs/>
                <w:lang w:val="en-US"/>
              </w:rPr>
              <w:t>-</w:t>
            </w:r>
            <w:r w:rsidR="00945CC3">
              <w:rPr>
                <w:bCs/>
                <w:lang w:val="en-US"/>
              </w:rPr>
              <w:t>33</w:t>
            </w:r>
          </w:p>
        </w:tc>
      </w:tr>
      <w:tr w:rsidR="00A02C86" w:rsidRPr="008D56C4" w:rsidTr="00D26C39">
        <w:tc>
          <w:tcPr>
            <w:tcW w:w="3022" w:type="dxa"/>
            <w:shd w:val="clear" w:color="auto" w:fill="auto"/>
          </w:tcPr>
          <w:p w:rsidR="00A02C86" w:rsidRPr="00A02C86" w:rsidRDefault="00A02C86" w:rsidP="00D3248A">
            <w:pPr>
              <w:rPr>
                <w:bCs/>
                <w:lang w:val="en-US"/>
              </w:rPr>
            </w:pPr>
            <w:r w:rsidRPr="00A02C86">
              <w:rPr>
                <w:bCs/>
                <w:lang w:val="en-US"/>
              </w:rPr>
              <w:t>Resource Efficiency</w:t>
            </w:r>
          </w:p>
        </w:tc>
        <w:tc>
          <w:tcPr>
            <w:tcW w:w="1231" w:type="dxa"/>
            <w:shd w:val="clear" w:color="auto" w:fill="C0C0C0"/>
            <w:vAlign w:val="center"/>
          </w:tcPr>
          <w:p w:rsidR="00A02C86" w:rsidRPr="00A02C86" w:rsidRDefault="00172FDB" w:rsidP="00172FDB">
            <w:pPr>
              <w:jc w:val="right"/>
              <w:rPr>
                <w:bCs/>
                <w:lang w:val="en-US"/>
              </w:rPr>
            </w:pPr>
            <w:r>
              <w:rPr>
                <w:bCs/>
                <w:lang w:val="en-US"/>
              </w:rPr>
              <w:t>805</w:t>
            </w:r>
          </w:p>
        </w:tc>
        <w:tc>
          <w:tcPr>
            <w:tcW w:w="1134" w:type="dxa"/>
            <w:shd w:val="clear" w:color="auto" w:fill="auto"/>
            <w:vAlign w:val="center"/>
          </w:tcPr>
          <w:p w:rsidR="00A02C86" w:rsidRPr="00A02C86" w:rsidRDefault="00172FDB" w:rsidP="00172FDB">
            <w:pPr>
              <w:jc w:val="right"/>
              <w:rPr>
                <w:bCs/>
                <w:lang w:val="en-US"/>
              </w:rPr>
            </w:pPr>
            <w:r>
              <w:rPr>
                <w:bCs/>
                <w:lang w:val="en-US"/>
              </w:rPr>
              <w:t>771</w:t>
            </w:r>
          </w:p>
        </w:tc>
        <w:tc>
          <w:tcPr>
            <w:tcW w:w="1134" w:type="dxa"/>
            <w:shd w:val="clear" w:color="auto" w:fill="auto"/>
            <w:vAlign w:val="center"/>
          </w:tcPr>
          <w:p w:rsidR="00A02C86" w:rsidRPr="00A02C86" w:rsidRDefault="00172FDB" w:rsidP="00D3248A">
            <w:pPr>
              <w:jc w:val="right"/>
              <w:rPr>
                <w:bCs/>
                <w:lang w:val="en-US"/>
              </w:rPr>
            </w:pPr>
            <w:r>
              <w:rPr>
                <w:bCs/>
                <w:lang w:val="en-US"/>
              </w:rPr>
              <w:t>4</w:t>
            </w:r>
          </w:p>
        </w:tc>
        <w:tc>
          <w:tcPr>
            <w:tcW w:w="1276" w:type="dxa"/>
            <w:shd w:val="clear" w:color="auto" w:fill="C0C0C0"/>
            <w:vAlign w:val="center"/>
          </w:tcPr>
          <w:p w:rsidR="00A02C86" w:rsidRPr="00A02C86" w:rsidRDefault="00172FDB" w:rsidP="00172FDB">
            <w:pPr>
              <w:jc w:val="right"/>
              <w:rPr>
                <w:bCs/>
                <w:lang w:val="en-US"/>
              </w:rPr>
            </w:pPr>
            <w:r>
              <w:rPr>
                <w:bCs/>
                <w:lang w:val="en-US"/>
              </w:rPr>
              <w:t>189</w:t>
            </w:r>
          </w:p>
        </w:tc>
        <w:tc>
          <w:tcPr>
            <w:tcW w:w="1275" w:type="dxa"/>
            <w:shd w:val="clear" w:color="auto" w:fill="auto"/>
            <w:vAlign w:val="center"/>
          </w:tcPr>
          <w:p w:rsidR="00A02C86" w:rsidRPr="00A02C86" w:rsidRDefault="00172FDB" w:rsidP="00172FDB">
            <w:pPr>
              <w:jc w:val="right"/>
              <w:rPr>
                <w:bCs/>
                <w:lang w:val="en-US"/>
              </w:rPr>
            </w:pPr>
            <w:r>
              <w:rPr>
                <w:bCs/>
                <w:lang w:val="en-US"/>
              </w:rPr>
              <w:t>172</w:t>
            </w:r>
          </w:p>
        </w:tc>
        <w:tc>
          <w:tcPr>
            <w:tcW w:w="993" w:type="dxa"/>
            <w:shd w:val="clear" w:color="auto" w:fill="auto"/>
            <w:vAlign w:val="center"/>
          </w:tcPr>
          <w:p w:rsidR="00A02C86" w:rsidRPr="00A02C86" w:rsidRDefault="00172FDB" w:rsidP="00D3248A">
            <w:pPr>
              <w:jc w:val="right"/>
              <w:rPr>
                <w:bCs/>
                <w:lang w:val="en-US"/>
              </w:rPr>
            </w:pPr>
            <w:r>
              <w:rPr>
                <w:bCs/>
                <w:lang w:val="en-US"/>
              </w:rPr>
              <w:t>10</w:t>
            </w:r>
          </w:p>
        </w:tc>
      </w:tr>
      <w:tr w:rsidR="00A02C86" w:rsidRPr="00B13E9A" w:rsidTr="00D26C39">
        <w:tc>
          <w:tcPr>
            <w:tcW w:w="3022" w:type="dxa"/>
            <w:shd w:val="clear" w:color="auto" w:fill="auto"/>
          </w:tcPr>
          <w:p w:rsidR="00A02C86" w:rsidRPr="00A02C86" w:rsidRDefault="00A02C86" w:rsidP="00D3248A">
            <w:pPr>
              <w:rPr>
                <w:bCs/>
                <w:lang w:val="en-US"/>
              </w:rPr>
            </w:pPr>
            <w:r w:rsidRPr="00A02C86">
              <w:rPr>
                <w:bCs/>
                <w:lang w:val="en-US"/>
              </w:rPr>
              <w:t>Specialty Materials</w:t>
            </w:r>
          </w:p>
        </w:tc>
        <w:tc>
          <w:tcPr>
            <w:tcW w:w="1231" w:type="dxa"/>
            <w:shd w:val="clear" w:color="auto" w:fill="C0C0C0"/>
            <w:vAlign w:val="center"/>
          </w:tcPr>
          <w:p w:rsidR="00A02C86" w:rsidRPr="00A02C86" w:rsidRDefault="00A02C86" w:rsidP="00172FDB">
            <w:pPr>
              <w:jc w:val="right"/>
              <w:rPr>
                <w:bCs/>
                <w:lang w:val="en-US"/>
              </w:rPr>
            </w:pPr>
            <w:r w:rsidRPr="00A02C86">
              <w:rPr>
                <w:bCs/>
                <w:lang w:val="en-US"/>
              </w:rPr>
              <w:t>1.17</w:t>
            </w:r>
            <w:r w:rsidR="00172FDB">
              <w:rPr>
                <w:bCs/>
                <w:lang w:val="en-US"/>
              </w:rPr>
              <w:t>7</w:t>
            </w:r>
          </w:p>
        </w:tc>
        <w:tc>
          <w:tcPr>
            <w:tcW w:w="1134" w:type="dxa"/>
            <w:shd w:val="clear" w:color="auto" w:fill="auto"/>
            <w:vAlign w:val="center"/>
          </w:tcPr>
          <w:p w:rsidR="00A02C86" w:rsidRPr="00A02C86" w:rsidRDefault="00A02C86" w:rsidP="00172FDB">
            <w:pPr>
              <w:jc w:val="right"/>
              <w:rPr>
                <w:bCs/>
                <w:lang w:val="en-US"/>
              </w:rPr>
            </w:pPr>
            <w:r w:rsidRPr="00A02C86">
              <w:rPr>
                <w:bCs/>
                <w:lang w:val="en-US"/>
              </w:rPr>
              <w:t>1.</w:t>
            </w:r>
            <w:r w:rsidR="00172FDB">
              <w:rPr>
                <w:bCs/>
                <w:lang w:val="en-US"/>
              </w:rPr>
              <w:t>170</w:t>
            </w:r>
          </w:p>
        </w:tc>
        <w:tc>
          <w:tcPr>
            <w:tcW w:w="1134" w:type="dxa"/>
            <w:shd w:val="clear" w:color="auto" w:fill="auto"/>
            <w:vAlign w:val="center"/>
          </w:tcPr>
          <w:p w:rsidR="00A02C86" w:rsidRPr="00A02C86" w:rsidRDefault="00172FDB" w:rsidP="00D3248A">
            <w:pPr>
              <w:jc w:val="right"/>
              <w:rPr>
                <w:bCs/>
                <w:lang w:val="en-US"/>
              </w:rPr>
            </w:pPr>
            <w:r>
              <w:rPr>
                <w:bCs/>
                <w:lang w:val="en-US"/>
              </w:rPr>
              <w:t>1</w:t>
            </w:r>
          </w:p>
        </w:tc>
        <w:tc>
          <w:tcPr>
            <w:tcW w:w="1276" w:type="dxa"/>
            <w:shd w:val="clear" w:color="auto" w:fill="C0C0C0"/>
            <w:vAlign w:val="center"/>
          </w:tcPr>
          <w:p w:rsidR="00A02C86" w:rsidRPr="00A02C86" w:rsidRDefault="00172FDB" w:rsidP="00D3248A">
            <w:pPr>
              <w:jc w:val="right"/>
              <w:rPr>
                <w:bCs/>
                <w:lang w:val="en-US"/>
              </w:rPr>
            </w:pPr>
            <w:r>
              <w:rPr>
                <w:bCs/>
                <w:lang w:val="en-US"/>
              </w:rPr>
              <w:t>111</w:t>
            </w:r>
          </w:p>
        </w:tc>
        <w:tc>
          <w:tcPr>
            <w:tcW w:w="1275" w:type="dxa"/>
            <w:shd w:val="clear" w:color="auto" w:fill="auto"/>
            <w:vAlign w:val="center"/>
          </w:tcPr>
          <w:p w:rsidR="00A02C86" w:rsidRPr="00A02C86" w:rsidRDefault="00172FDB" w:rsidP="00D3248A">
            <w:pPr>
              <w:jc w:val="right"/>
              <w:rPr>
                <w:bCs/>
                <w:lang w:val="en-US"/>
              </w:rPr>
            </w:pPr>
            <w:r>
              <w:rPr>
                <w:bCs/>
                <w:lang w:val="en-US"/>
              </w:rPr>
              <w:t>182</w:t>
            </w:r>
          </w:p>
        </w:tc>
        <w:tc>
          <w:tcPr>
            <w:tcW w:w="993" w:type="dxa"/>
            <w:shd w:val="clear" w:color="auto" w:fill="auto"/>
            <w:vAlign w:val="center"/>
          </w:tcPr>
          <w:p w:rsidR="00A02C86" w:rsidRPr="00B13E9A" w:rsidRDefault="00A02C86" w:rsidP="00172FDB">
            <w:pPr>
              <w:jc w:val="right"/>
              <w:rPr>
                <w:bCs/>
              </w:rPr>
            </w:pPr>
            <w:r w:rsidRPr="00B13E9A">
              <w:rPr>
                <w:bCs/>
              </w:rPr>
              <w:t>-</w:t>
            </w:r>
            <w:r w:rsidR="00172FDB">
              <w:rPr>
                <w:bCs/>
              </w:rPr>
              <w:t>39</w:t>
            </w:r>
          </w:p>
        </w:tc>
      </w:tr>
      <w:tr w:rsidR="00A02C86" w:rsidRPr="00B13E9A" w:rsidTr="00D26C39">
        <w:tc>
          <w:tcPr>
            <w:tcW w:w="3022" w:type="dxa"/>
            <w:shd w:val="clear" w:color="auto" w:fill="auto"/>
          </w:tcPr>
          <w:p w:rsidR="00A02C86" w:rsidRPr="00B13E9A" w:rsidRDefault="00A02C86" w:rsidP="00D3248A">
            <w:pPr>
              <w:rPr>
                <w:bCs/>
              </w:rPr>
            </w:pPr>
            <w:r w:rsidRPr="00B13E9A">
              <w:rPr>
                <w:bCs/>
              </w:rPr>
              <w:t>Services</w:t>
            </w:r>
          </w:p>
        </w:tc>
        <w:tc>
          <w:tcPr>
            <w:tcW w:w="1231" w:type="dxa"/>
            <w:shd w:val="clear" w:color="auto" w:fill="C0C0C0"/>
            <w:vAlign w:val="center"/>
          </w:tcPr>
          <w:p w:rsidR="00A02C86" w:rsidRPr="00B13E9A" w:rsidRDefault="00172FDB" w:rsidP="00172FDB">
            <w:pPr>
              <w:jc w:val="right"/>
              <w:rPr>
                <w:bCs/>
              </w:rPr>
            </w:pPr>
            <w:r>
              <w:rPr>
                <w:bCs/>
              </w:rPr>
              <w:t>207</w:t>
            </w:r>
          </w:p>
        </w:tc>
        <w:tc>
          <w:tcPr>
            <w:tcW w:w="1134" w:type="dxa"/>
            <w:shd w:val="clear" w:color="auto" w:fill="auto"/>
            <w:vAlign w:val="center"/>
          </w:tcPr>
          <w:p w:rsidR="00A02C86" w:rsidRPr="00B13E9A" w:rsidRDefault="00172FDB" w:rsidP="00172FDB">
            <w:pPr>
              <w:jc w:val="right"/>
              <w:rPr>
                <w:bCs/>
              </w:rPr>
            </w:pPr>
            <w:r>
              <w:rPr>
                <w:bCs/>
              </w:rPr>
              <w:t>204</w:t>
            </w:r>
          </w:p>
        </w:tc>
        <w:tc>
          <w:tcPr>
            <w:tcW w:w="1134" w:type="dxa"/>
            <w:shd w:val="clear" w:color="auto" w:fill="auto"/>
            <w:vAlign w:val="center"/>
          </w:tcPr>
          <w:p w:rsidR="00A02C86" w:rsidRPr="00B13E9A" w:rsidRDefault="00172FDB" w:rsidP="00D3248A">
            <w:pPr>
              <w:jc w:val="right"/>
              <w:rPr>
                <w:bCs/>
              </w:rPr>
            </w:pPr>
            <w:r>
              <w:rPr>
                <w:bCs/>
              </w:rPr>
              <w:t>1</w:t>
            </w:r>
          </w:p>
        </w:tc>
        <w:tc>
          <w:tcPr>
            <w:tcW w:w="1276" w:type="dxa"/>
            <w:shd w:val="clear" w:color="auto" w:fill="C0C0C0"/>
            <w:vAlign w:val="center"/>
          </w:tcPr>
          <w:p w:rsidR="00A02C86" w:rsidRPr="00B13E9A" w:rsidRDefault="00172FDB" w:rsidP="00D3248A">
            <w:pPr>
              <w:jc w:val="right"/>
              <w:rPr>
                <w:bCs/>
              </w:rPr>
            </w:pPr>
            <w:r>
              <w:rPr>
                <w:bCs/>
              </w:rPr>
              <w:t>51</w:t>
            </w:r>
          </w:p>
        </w:tc>
        <w:tc>
          <w:tcPr>
            <w:tcW w:w="1275" w:type="dxa"/>
            <w:shd w:val="clear" w:color="auto" w:fill="auto"/>
            <w:vAlign w:val="center"/>
          </w:tcPr>
          <w:p w:rsidR="00A02C86" w:rsidRPr="00B13E9A" w:rsidRDefault="00172FDB" w:rsidP="00D3248A">
            <w:pPr>
              <w:jc w:val="right"/>
              <w:rPr>
                <w:bCs/>
              </w:rPr>
            </w:pPr>
            <w:r>
              <w:rPr>
                <w:bCs/>
              </w:rPr>
              <w:t>54</w:t>
            </w:r>
          </w:p>
        </w:tc>
        <w:tc>
          <w:tcPr>
            <w:tcW w:w="993" w:type="dxa"/>
            <w:shd w:val="clear" w:color="auto" w:fill="auto"/>
            <w:vAlign w:val="center"/>
          </w:tcPr>
          <w:p w:rsidR="00A02C86" w:rsidRPr="00B13E9A" w:rsidRDefault="00172FDB" w:rsidP="00D3248A">
            <w:pPr>
              <w:jc w:val="right"/>
              <w:rPr>
                <w:bCs/>
              </w:rPr>
            </w:pPr>
            <w:r>
              <w:rPr>
                <w:bCs/>
              </w:rPr>
              <w:t>-6</w:t>
            </w:r>
          </w:p>
        </w:tc>
      </w:tr>
      <w:tr w:rsidR="00A02C86" w:rsidRPr="00B13E9A" w:rsidTr="00D26C39">
        <w:tc>
          <w:tcPr>
            <w:tcW w:w="3022" w:type="dxa"/>
            <w:shd w:val="clear" w:color="auto" w:fill="auto"/>
          </w:tcPr>
          <w:p w:rsidR="00A02C86" w:rsidRPr="00B13E9A" w:rsidRDefault="00A02C86" w:rsidP="00D3248A">
            <w:pPr>
              <w:rPr>
                <w:bCs/>
              </w:rPr>
            </w:pPr>
            <w:r w:rsidRPr="00B13E9A">
              <w:rPr>
                <w:bCs/>
              </w:rPr>
              <w:t>Sonstige Aktivitäten</w:t>
            </w:r>
          </w:p>
        </w:tc>
        <w:tc>
          <w:tcPr>
            <w:tcW w:w="1231" w:type="dxa"/>
            <w:shd w:val="clear" w:color="auto" w:fill="C0C0C0"/>
            <w:vAlign w:val="center"/>
          </w:tcPr>
          <w:p w:rsidR="00A02C86" w:rsidRPr="00B13E9A" w:rsidRDefault="00296F5A" w:rsidP="00D3248A">
            <w:pPr>
              <w:jc w:val="right"/>
              <w:rPr>
                <w:bCs/>
              </w:rPr>
            </w:pPr>
            <w:r>
              <w:rPr>
                <w:bCs/>
              </w:rPr>
              <w:t>34</w:t>
            </w:r>
          </w:p>
        </w:tc>
        <w:tc>
          <w:tcPr>
            <w:tcW w:w="1134" w:type="dxa"/>
            <w:shd w:val="clear" w:color="auto" w:fill="auto"/>
            <w:vAlign w:val="center"/>
          </w:tcPr>
          <w:p w:rsidR="00A02C86" w:rsidRPr="00B13E9A" w:rsidRDefault="00296F5A" w:rsidP="00D3248A">
            <w:pPr>
              <w:jc w:val="right"/>
              <w:rPr>
                <w:bCs/>
              </w:rPr>
            </w:pPr>
            <w:r>
              <w:rPr>
                <w:bCs/>
              </w:rPr>
              <w:t>40</w:t>
            </w:r>
          </w:p>
        </w:tc>
        <w:tc>
          <w:tcPr>
            <w:tcW w:w="1134" w:type="dxa"/>
            <w:shd w:val="clear" w:color="auto" w:fill="auto"/>
            <w:vAlign w:val="center"/>
          </w:tcPr>
          <w:p w:rsidR="00A02C86" w:rsidRPr="00B13E9A" w:rsidRDefault="00296F5A" w:rsidP="00D3248A">
            <w:pPr>
              <w:jc w:val="right"/>
              <w:rPr>
                <w:bCs/>
              </w:rPr>
            </w:pPr>
            <w:r>
              <w:rPr>
                <w:bCs/>
              </w:rPr>
              <w:t>-15</w:t>
            </w:r>
          </w:p>
        </w:tc>
        <w:tc>
          <w:tcPr>
            <w:tcW w:w="1276" w:type="dxa"/>
            <w:shd w:val="clear" w:color="auto" w:fill="C0C0C0"/>
            <w:vAlign w:val="center"/>
          </w:tcPr>
          <w:p w:rsidR="00A02C86" w:rsidRPr="00B13E9A" w:rsidRDefault="00296F5A" w:rsidP="00D3248A">
            <w:pPr>
              <w:jc w:val="right"/>
              <w:rPr>
                <w:bCs/>
              </w:rPr>
            </w:pPr>
            <w:r>
              <w:rPr>
                <w:bCs/>
              </w:rPr>
              <w:t>-75</w:t>
            </w:r>
          </w:p>
        </w:tc>
        <w:tc>
          <w:tcPr>
            <w:tcW w:w="1275" w:type="dxa"/>
            <w:shd w:val="clear" w:color="auto" w:fill="auto"/>
            <w:vAlign w:val="center"/>
          </w:tcPr>
          <w:p w:rsidR="00A02C86" w:rsidRPr="00B13E9A" w:rsidRDefault="00296F5A" w:rsidP="00D3248A">
            <w:pPr>
              <w:jc w:val="right"/>
              <w:rPr>
                <w:bCs/>
              </w:rPr>
            </w:pPr>
            <w:r>
              <w:rPr>
                <w:bCs/>
              </w:rPr>
              <w:t>-83</w:t>
            </w:r>
          </w:p>
        </w:tc>
        <w:tc>
          <w:tcPr>
            <w:tcW w:w="993" w:type="dxa"/>
            <w:shd w:val="clear" w:color="auto" w:fill="auto"/>
            <w:vAlign w:val="center"/>
          </w:tcPr>
          <w:p w:rsidR="00A02C86" w:rsidRPr="00B13E9A" w:rsidRDefault="00296F5A" w:rsidP="00D3248A">
            <w:pPr>
              <w:jc w:val="right"/>
              <w:rPr>
                <w:bCs/>
              </w:rPr>
            </w:pPr>
            <w:r>
              <w:rPr>
                <w:bCs/>
              </w:rPr>
              <w:t>-10</w:t>
            </w:r>
          </w:p>
        </w:tc>
      </w:tr>
      <w:tr w:rsidR="00A02C86" w:rsidRPr="00B13E9A" w:rsidTr="00D26C39">
        <w:tc>
          <w:tcPr>
            <w:tcW w:w="3022" w:type="dxa"/>
            <w:shd w:val="clear" w:color="auto" w:fill="auto"/>
          </w:tcPr>
          <w:p w:rsidR="00A02C86" w:rsidRPr="00AF2A30" w:rsidRDefault="00A02C86" w:rsidP="00D3248A">
            <w:pPr>
              <w:rPr>
                <w:b/>
                <w:bCs/>
              </w:rPr>
            </w:pPr>
            <w:r w:rsidRPr="00AF2A30">
              <w:rPr>
                <w:b/>
                <w:bCs/>
              </w:rPr>
              <w:t>Konzern</w:t>
            </w:r>
          </w:p>
        </w:tc>
        <w:tc>
          <w:tcPr>
            <w:tcW w:w="1231" w:type="dxa"/>
            <w:shd w:val="clear" w:color="auto" w:fill="C0C0C0"/>
            <w:vAlign w:val="center"/>
          </w:tcPr>
          <w:p w:rsidR="00A02C86" w:rsidRPr="00B13E9A" w:rsidRDefault="00A02C86" w:rsidP="00172FDB">
            <w:pPr>
              <w:jc w:val="right"/>
              <w:rPr>
                <w:bCs/>
              </w:rPr>
            </w:pPr>
            <w:r w:rsidRPr="00B13E9A">
              <w:rPr>
                <w:bCs/>
              </w:rPr>
              <w:t>3.</w:t>
            </w:r>
            <w:r w:rsidR="00172FDB">
              <w:rPr>
                <w:bCs/>
              </w:rPr>
              <w:t>201</w:t>
            </w:r>
          </w:p>
        </w:tc>
        <w:tc>
          <w:tcPr>
            <w:tcW w:w="1134" w:type="dxa"/>
            <w:shd w:val="clear" w:color="auto" w:fill="auto"/>
            <w:vAlign w:val="center"/>
          </w:tcPr>
          <w:p w:rsidR="00A02C86" w:rsidRPr="00B13E9A" w:rsidRDefault="00A02C86" w:rsidP="00172FDB">
            <w:pPr>
              <w:jc w:val="right"/>
              <w:rPr>
                <w:bCs/>
              </w:rPr>
            </w:pPr>
            <w:r w:rsidRPr="00B13E9A">
              <w:rPr>
                <w:bCs/>
              </w:rPr>
              <w:t>3.</w:t>
            </w:r>
            <w:r w:rsidR="00172FDB">
              <w:rPr>
                <w:bCs/>
              </w:rPr>
              <w:t>212</w:t>
            </w:r>
          </w:p>
        </w:tc>
        <w:tc>
          <w:tcPr>
            <w:tcW w:w="1134" w:type="dxa"/>
            <w:shd w:val="clear" w:color="auto" w:fill="auto"/>
            <w:vAlign w:val="center"/>
          </w:tcPr>
          <w:p w:rsidR="00A02C86" w:rsidRPr="00B13E9A" w:rsidRDefault="00172FDB" w:rsidP="00172FDB">
            <w:pPr>
              <w:jc w:val="right"/>
              <w:rPr>
                <w:bCs/>
              </w:rPr>
            </w:pPr>
            <w:r>
              <w:rPr>
                <w:bCs/>
              </w:rPr>
              <w:t>0</w:t>
            </w:r>
          </w:p>
        </w:tc>
        <w:tc>
          <w:tcPr>
            <w:tcW w:w="1276" w:type="dxa"/>
            <w:shd w:val="clear" w:color="auto" w:fill="C0C0C0"/>
            <w:vAlign w:val="center"/>
          </w:tcPr>
          <w:p w:rsidR="00A02C86" w:rsidRPr="00B13E9A" w:rsidRDefault="00172FDB" w:rsidP="00172FDB">
            <w:pPr>
              <w:jc w:val="right"/>
              <w:rPr>
                <w:bCs/>
              </w:rPr>
            </w:pPr>
            <w:r>
              <w:rPr>
                <w:bCs/>
              </w:rPr>
              <w:t>463</w:t>
            </w:r>
          </w:p>
        </w:tc>
        <w:tc>
          <w:tcPr>
            <w:tcW w:w="1275" w:type="dxa"/>
            <w:shd w:val="clear" w:color="auto" w:fill="auto"/>
            <w:vAlign w:val="center"/>
          </w:tcPr>
          <w:p w:rsidR="00A02C86" w:rsidRPr="00B13E9A" w:rsidRDefault="00172FDB" w:rsidP="00172FDB">
            <w:pPr>
              <w:jc w:val="right"/>
              <w:rPr>
                <w:bCs/>
              </w:rPr>
            </w:pPr>
            <w:r>
              <w:rPr>
                <w:bCs/>
              </w:rPr>
              <w:t>606</w:t>
            </w:r>
          </w:p>
        </w:tc>
        <w:tc>
          <w:tcPr>
            <w:tcW w:w="993" w:type="dxa"/>
            <w:shd w:val="clear" w:color="auto" w:fill="auto"/>
            <w:vAlign w:val="center"/>
          </w:tcPr>
          <w:p w:rsidR="00A02C86" w:rsidRPr="00B13E9A" w:rsidRDefault="00A02C86" w:rsidP="00172FDB">
            <w:pPr>
              <w:jc w:val="right"/>
              <w:rPr>
                <w:bCs/>
              </w:rPr>
            </w:pPr>
            <w:r w:rsidRPr="00B13E9A">
              <w:rPr>
                <w:bCs/>
              </w:rPr>
              <w:t>-</w:t>
            </w:r>
            <w:r w:rsidR="00172FDB">
              <w:rPr>
                <w:bCs/>
              </w:rPr>
              <w:t>24</w:t>
            </w:r>
          </w:p>
        </w:tc>
      </w:tr>
    </w:tbl>
    <w:p w:rsidR="00A02C86" w:rsidRDefault="005F4E6A" w:rsidP="00BE5DBC">
      <w:pPr>
        <w:ind w:left="142"/>
        <w:rPr>
          <w:bCs/>
        </w:rPr>
      </w:pPr>
      <w:r>
        <w:rPr>
          <w:bCs/>
        </w:rPr>
        <w:t>Vorjahreszahlen angepasst</w:t>
      </w:r>
    </w:p>
    <w:p w:rsidR="00A02C86" w:rsidRDefault="00A02C86" w:rsidP="00A02C86">
      <w:pPr>
        <w:rPr>
          <w:bCs/>
        </w:rPr>
      </w:pPr>
    </w:p>
    <w:p w:rsidR="002641D9" w:rsidRDefault="002641D9" w:rsidP="00BE5DBC">
      <w:pPr>
        <w:spacing w:after="120"/>
        <w:rPr>
          <w:b/>
          <w:bCs/>
        </w:rPr>
      </w:pPr>
    </w:p>
    <w:p w:rsidR="00A02C86" w:rsidRPr="00D941D1" w:rsidRDefault="00A02C86" w:rsidP="00BE5DBC">
      <w:pPr>
        <w:spacing w:after="120"/>
        <w:rPr>
          <w:b/>
          <w:bCs/>
        </w:rPr>
      </w:pPr>
      <w:r w:rsidRPr="00D941D1">
        <w:rPr>
          <w:b/>
          <w:bCs/>
        </w:rPr>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A02C86" w:rsidRPr="00BE5DBC" w:rsidTr="00617B2D">
        <w:tc>
          <w:tcPr>
            <w:tcW w:w="4122" w:type="dxa"/>
            <w:shd w:val="clear" w:color="auto" w:fill="auto"/>
          </w:tcPr>
          <w:p w:rsidR="00A02C86" w:rsidRPr="00B13E9A" w:rsidRDefault="00A02C86" w:rsidP="00D3248A">
            <w:pPr>
              <w:rPr>
                <w:bCs/>
              </w:rPr>
            </w:pPr>
          </w:p>
        </w:tc>
        <w:tc>
          <w:tcPr>
            <w:tcW w:w="2172" w:type="dxa"/>
            <w:shd w:val="clear" w:color="auto" w:fill="auto"/>
          </w:tcPr>
          <w:p w:rsidR="00A02C86" w:rsidRPr="00BE5DBC" w:rsidRDefault="00A02C86" w:rsidP="00AF2A30">
            <w:pPr>
              <w:jc w:val="center"/>
              <w:rPr>
                <w:b/>
                <w:bCs/>
              </w:rPr>
            </w:pPr>
            <w:r w:rsidRPr="00BE5DBC">
              <w:rPr>
                <w:b/>
                <w:bCs/>
              </w:rPr>
              <w:t>31.03.201</w:t>
            </w:r>
            <w:r w:rsidR="00AF2A30">
              <w:rPr>
                <w:b/>
                <w:bCs/>
              </w:rPr>
              <w:t>4</w:t>
            </w:r>
          </w:p>
        </w:tc>
        <w:tc>
          <w:tcPr>
            <w:tcW w:w="2173" w:type="dxa"/>
            <w:shd w:val="clear" w:color="auto" w:fill="auto"/>
          </w:tcPr>
          <w:p w:rsidR="00A02C86" w:rsidRPr="00BE5DBC" w:rsidRDefault="00A02C86" w:rsidP="00AF2A30">
            <w:pPr>
              <w:jc w:val="center"/>
              <w:rPr>
                <w:b/>
                <w:bCs/>
              </w:rPr>
            </w:pPr>
            <w:r w:rsidRPr="00BE5DBC">
              <w:rPr>
                <w:b/>
                <w:bCs/>
              </w:rPr>
              <w:t>31.12.201</w:t>
            </w:r>
            <w:r w:rsidR="00AF2A30">
              <w:rPr>
                <w:b/>
                <w:bCs/>
              </w:rPr>
              <w:t>3</w:t>
            </w:r>
          </w:p>
        </w:tc>
      </w:tr>
      <w:tr w:rsidR="00A02C86" w:rsidRPr="00A14C8B" w:rsidTr="00617B2D">
        <w:tc>
          <w:tcPr>
            <w:tcW w:w="4122" w:type="dxa"/>
            <w:shd w:val="clear" w:color="auto" w:fill="auto"/>
          </w:tcPr>
          <w:p w:rsidR="00A02C86" w:rsidRPr="00B13E9A" w:rsidRDefault="00A02C86" w:rsidP="00D3248A">
            <w:pPr>
              <w:rPr>
                <w:bCs/>
              </w:rPr>
            </w:pPr>
            <w:r w:rsidRPr="00B13E9A">
              <w:rPr>
                <w:bCs/>
              </w:rPr>
              <w:t xml:space="preserve">Consumer, </w:t>
            </w:r>
            <w:proofErr w:type="spellStart"/>
            <w:r w:rsidRPr="00B13E9A">
              <w:rPr>
                <w:bCs/>
              </w:rPr>
              <w:t>Health</w:t>
            </w:r>
            <w:proofErr w:type="spellEnd"/>
            <w:r w:rsidRPr="00B13E9A">
              <w:rPr>
                <w:bCs/>
              </w:rPr>
              <w:t xml:space="preserve"> &amp; Nutrition</w:t>
            </w:r>
          </w:p>
        </w:tc>
        <w:tc>
          <w:tcPr>
            <w:tcW w:w="2172" w:type="dxa"/>
            <w:shd w:val="clear" w:color="auto" w:fill="auto"/>
          </w:tcPr>
          <w:p w:rsidR="00A02C86" w:rsidRPr="00A14C8B" w:rsidRDefault="00A14C8B" w:rsidP="00A14C8B">
            <w:pPr>
              <w:jc w:val="right"/>
              <w:rPr>
                <w:bCs/>
                <w:lang w:val="en-US"/>
              </w:rPr>
            </w:pPr>
            <w:r w:rsidRPr="00A14C8B">
              <w:rPr>
                <w:bCs/>
                <w:lang w:val="en-US"/>
              </w:rPr>
              <w:t>7.</w:t>
            </w:r>
            <w:r>
              <w:rPr>
                <w:bCs/>
                <w:lang w:val="en-US"/>
              </w:rPr>
              <w:t>144</w:t>
            </w:r>
          </w:p>
        </w:tc>
        <w:tc>
          <w:tcPr>
            <w:tcW w:w="2173" w:type="dxa"/>
            <w:shd w:val="clear" w:color="auto" w:fill="auto"/>
          </w:tcPr>
          <w:p w:rsidR="00A02C86" w:rsidRPr="00A14C8B" w:rsidRDefault="00A14C8B" w:rsidP="00A14C8B">
            <w:pPr>
              <w:jc w:val="right"/>
              <w:rPr>
                <w:bCs/>
                <w:lang w:val="en-US"/>
              </w:rPr>
            </w:pPr>
            <w:r>
              <w:rPr>
                <w:bCs/>
                <w:lang w:val="en-US"/>
              </w:rPr>
              <w:t>7.150</w:t>
            </w:r>
          </w:p>
        </w:tc>
      </w:tr>
      <w:tr w:rsidR="00A02C86" w:rsidRPr="00A14C8B" w:rsidTr="00617B2D">
        <w:tc>
          <w:tcPr>
            <w:tcW w:w="4122" w:type="dxa"/>
            <w:shd w:val="clear" w:color="auto" w:fill="auto"/>
          </w:tcPr>
          <w:p w:rsidR="00A02C86" w:rsidRPr="00A14C8B" w:rsidRDefault="00A02C86" w:rsidP="00D3248A">
            <w:pPr>
              <w:rPr>
                <w:bCs/>
                <w:lang w:val="en-US"/>
              </w:rPr>
            </w:pPr>
            <w:r w:rsidRPr="00A14C8B">
              <w:rPr>
                <w:bCs/>
                <w:lang w:val="en-US"/>
              </w:rPr>
              <w:t>Resource Efficiency</w:t>
            </w:r>
          </w:p>
        </w:tc>
        <w:tc>
          <w:tcPr>
            <w:tcW w:w="2172" w:type="dxa"/>
            <w:shd w:val="clear" w:color="auto" w:fill="auto"/>
          </w:tcPr>
          <w:p w:rsidR="00A02C86" w:rsidRPr="00A14C8B" w:rsidRDefault="00A14C8B" w:rsidP="00A14C8B">
            <w:pPr>
              <w:jc w:val="right"/>
              <w:rPr>
                <w:bCs/>
                <w:lang w:val="en-US"/>
              </w:rPr>
            </w:pPr>
            <w:r>
              <w:rPr>
                <w:bCs/>
                <w:lang w:val="en-US"/>
              </w:rPr>
              <w:t>5.933</w:t>
            </w:r>
          </w:p>
        </w:tc>
        <w:tc>
          <w:tcPr>
            <w:tcW w:w="2173" w:type="dxa"/>
            <w:shd w:val="clear" w:color="auto" w:fill="auto"/>
          </w:tcPr>
          <w:p w:rsidR="00A02C86" w:rsidRPr="00A14C8B" w:rsidRDefault="00A14C8B" w:rsidP="00A14C8B">
            <w:pPr>
              <w:jc w:val="right"/>
              <w:rPr>
                <w:bCs/>
                <w:lang w:val="en-US"/>
              </w:rPr>
            </w:pPr>
            <w:r>
              <w:rPr>
                <w:bCs/>
                <w:lang w:val="en-US"/>
              </w:rPr>
              <w:t>5.854</w:t>
            </w:r>
          </w:p>
        </w:tc>
      </w:tr>
      <w:tr w:rsidR="00A02C86" w:rsidRPr="00A14C8B" w:rsidTr="00617B2D">
        <w:tc>
          <w:tcPr>
            <w:tcW w:w="4122" w:type="dxa"/>
            <w:shd w:val="clear" w:color="auto" w:fill="auto"/>
          </w:tcPr>
          <w:p w:rsidR="00A02C86" w:rsidRPr="00A14C8B" w:rsidRDefault="00A02C86" w:rsidP="00D3248A">
            <w:pPr>
              <w:rPr>
                <w:bCs/>
                <w:lang w:val="en-US"/>
              </w:rPr>
            </w:pPr>
            <w:r w:rsidRPr="00A14C8B">
              <w:rPr>
                <w:bCs/>
                <w:lang w:val="en-US"/>
              </w:rPr>
              <w:t>Specialty Materials</w:t>
            </w:r>
          </w:p>
        </w:tc>
        <w:tc>
          <w:tcPr>
            <w:tcW w:w="2172" w:type="dxa"/>
            <w:shd w:val="clear" w:color="auto" w:fill="auto"/>
          </w:tcPr>
          <w:p w:rsidR="00A02C86" w:rsidRPr="00A14C8B" w:rsidRDefault="00A14C8B" w:rsidP="00A14C8B">
            <w:pPr>
              <w:jc w:val="right"/>
              <w:rPr>
                <w:bCs/>
                <w:lang w:val="en-US"/>
              </w:rPr>
            </w:pPr>
            <w:r>
              <w:rPr>
                <w:bCs/>
                <w:lang w:val="en-US"/>
              </w:rPr>
              <w:t>6.318</w:t>
            </w:r>
          </w:p>
        </w:tc>
        <w:tc>
          <w:tcPr>
            <w:tcW w:w="2173" w:type="dxa"/>
            <w:shd w:val="clear" w:color="auto" w:fill="auto"/>
          </w:tcPr>
          <w:p w:rsidR="00A02C86" w:rsidRPr="00A14C8B" w:rsidRDefault="00A02C86" w:rsidP="00A14C8B">
            <w:pPr>
              <w:jc w:val="right"/>
              <w:rPr>
                <w:bCs/>
                <w:lang w:val="en-US"/>
              </w:rPr>
            </w:pPr>
            <w:r w:rsidRPr="00A14C8B">
              <w:rPr>
                <w:bCs/>
                <w:lang w:val="en-US"/>
              </w:rPr>
              <w:t>6.</w:t>
            </w:r>
            <w:r w:rsidR="00A14C8B">
              <w:rPr>
                <w:bCs/>
                <w:lang w:val="en-US"/>
              </w:rPr>
              <w:t>268</w:t>
            </w:r>
          </w:p>
        </w:tc>
      </w:tr>
      <w:tr w:rsidR="00A02C86" w:rsidRPr="00A14C8B" w:rsidTr="00617B2D">
        <w:tc>
          <w:tcPr>
            <w:tcW w:w="4122" w:type="dxa"/>
            <w:shd w:val="clear" w:color="auto" w:fill="auto"/>
          </w:tcPr>
          <w:p w:rsidR="00A02C86" w:rsidRPr="00A14C8B" w:rsidRDefault="00A02C86" w:rsidP="00D3248A">
            <w:pPr>
              <w:rPr>
                <w:bCs/>
                <w:lang w:val="en-US"/>
              </w:rPr>
            </w:pPr>
            <w:r w:rsidRPr="00A14C8B">
              <w:rPr>
                <w:bCs/>
                <w:lang w:val="en-US"/>
              </w:rPr>
              <w:t>Services</w:t>
            </w:r>
          </w:p>
        </w:tc>
        <w:tc>
          <w:tcPr>
            <w:tcW w:w="2172" w:type="dxa"/>
            <w:shd w:val="clear" w:color="auto" w:fill="auto"/>
          </w:tcPr>
          <w:p w:rsidR="00A02C86" w:rsidRPr="00A14C8B" w:rsidRDefault="00A14C8B" w:rsidP="00A14C8B">
            <w:pPr>
              <w:jc w:val="right"/>
              <w:rPr>
                <w:bCs/>
                <w:lang w:val="en-US"/>
              </w:rPr>
            </w:pPr>
            <w:r>
              <w:rPr>
                <w:bCs/>
                <w:lang w:val="en-US"/>
              </w:rPr>
              <w:t>12.316</w:t>
            </w:r>
          </w:p>
        </w:tc>
        <w:tc>
          <w:tcPr>
            <w:tcW w:w="2173" w:type="dxa"/>
            <w:shd w:val="clear" w:color="auto" w:fill="auto"/>
          </w:tcPr>
          <w:p w:rsidR="00A02C86" w:rsidRPr="00A14C8B" w:rsidRDefault="00A14C8B" w:rsidP="00A14C8B">
            <w:pPr>
              <w:jc w:val="right"/>
              <w:rPr>
                <w:bCs/>
                <w:lang w:val="en-US"/>
              </w:rPr>
            </w:pPr>
            <w:r>
              <w:rPr>
                <w:bCs/>
                <w:lang w:val="en-US"/>
              </w:rPr>
              <w:t>12.192</w:t>
            </w:r>
          </w:p>
        </w:tc>
      </w:tr>
      <w:tr w:rsidR="00A02C86" w:rsidRPr="00B13E9A" w:rsidTr="00617B2D">
        <w:tc>
          <w:tcPr>
            <w:tcW w:w="4122" w:type="dxa"/>
            <w:shd w:val="clear" w:color="auto" w:fill="auto"/>
          </w:tcPr>
          <w:p w:rsidR="00A02C86" w:rsidRPr="00A14C8B" w:rsidRDefault="00A02C86" w:rsidP="00D3248A">
            <w:pPr>
              <w:rPr>
                <w:bCs/>
                <w:lang w:val="en-US"/>
              </w:rPr>
            </w:pPr>
            <w:proofErr w:type="spellStart"/>
            <w:r w:rsidRPr="00A14C8B">
              <w:rPr>
                <w:bCs/>
                <w:lang w:val="en-US"/>
              </w:rPr>
              <w:t>Sonstige</w:t>
            </w:r>
            <w:proofErr w:type="spellEnd"/>
            <w:r w:rsidRPr="00A14C8B">
              <w:rPr>
                <w:bCs/>
                <w:lang w:val="en-US"/>
              </w:rPr>
              <w:t xml:space="preserve"> </w:t>
            </w:r>
            <w:proofErr w:type="spellStart"/>
            <w:r w:rsidRPr="00A14C8B">
              <w:rPr>
                <w:bCs/>
                <w:lang w:val="en-US"/>
              </w:rPr>
              <w:t>Aktivitäten</w:t>
            </w:r>
            <w:proofErr w:type="spellEnd"/>
          </w:p>
        </w:tc>
        <w:tc>
          <w:tcPr>
            <w:tcW w:w="2172" w:type="dxa"/>
            <w:shd w:val="clear" w:color="auto" w:fill="auto"/>
          </w:tcPr>
          <w:p w:rsidR="00A02C86" w:rsidRPr="00A14C8B" w:rsidRDefault="00A14C8B" w:rsidP="00D3248A">
            <w:pPr>
              <w:jc w:val="right"/>
              <w:rPr>
                <w:bCs/>
                <w:lang w:val="en-US"/>
              </w:rPr>
            </w:pPr>
            <w:r>
              <w:rPr>
                <w:bCs/>
                <w:lang w:val="en-US"/>
              </w:rPr>
              <w:t>1.348</w:t>
            </w:r>
          </w:p>
        </w:tc>
        <w:tc>
          <w:tcPr>
            <w:tcW w:w="2173" w:type="dxa"/>
            <w:shd w:val="clear" w:color="auto" w:fill="auto"/>
          </w:tcPr>
          <w:p w:rsidR="00A02C86" w:rsidRPr="00B13E9A" w:rsidRDefault="00A14C8B" w:rsidP="00D3248A">
            <w:pPr>
              <w:jc w:val="right"/>
              <w:rPr>
                <w:bCs/>
              </w:rPr>
            </w:pPr>
            <w:r>
              <w:rPr>
                <w:bCs/>
              </w:rPr>
              <w:t>1.531</w:t>
            </w:r>
          </w:p>
        </w:tc>
      </w:tr>
      <w:tr w:rsidR="00A02C86" w:rsidRPr="00B13E9A" w:rsidTr="00617B2D">
        <w:tc>
          <w:tcPr>
            <w:tcW w:w="4122" w:type="dxa"/>
            <w:shd w:val="clear" w:color="auto" w:fill="auto"/>
          </w:tcPr>
          <w:p w:rsidR="00A02C86" w:rsidRPr="00B13E9A" w:rsidRDefault="00A02C86" w:rsidP="00D3248A">
            <w:pPr>
              <w:rPr>
                <w:bCs/>
              </w:rPr>
            </w:pPr>
            <w:r w:rsidRPr="00B13E9A">
              <w:rPr>
                <w:bCs/>
              </w:rPr>
              <w:t>Fortgeführte Aktivitäten</w:t>
            </w:r>
          </w:p>
        </w:tc>
        <w:tc>
          <w:tcPr>
            <w:tcW w:w="2172" w:type="dxa"/>
            <w:shd w:val="clear" w:color="auto" w:fill="auto"/>
          </w:tcPr>
          <w:p w:rsidR="00A02C86" w:rsidRPr="00B13E9A" w:rsidRDefault="00A14C8B" w:rsidP="00D3248A">
            <w:pPr>
              <w:jc w:val="right"/>
              <w:rPr>
                <w:bCs/>
              </w:rPr>
            </w:pPr>
            <w:r>
              <w:rPr>
                <w:bCs/>
              </w:rPr>
              <w:t>33.059</w:t>
            </w:r>
          </w:p>
        </w:tc>
        <w:tc>
          <w:tcPr>
            <w:tcW w:w="2173" w:type="dxa"/>
            <w:shd w:val="clear" w:color="auto" w:fill="auto"/>
          </w:tcPr>
          <w:p w:rsidR="00A02C86" w:rsidRPr="00B13E9A" w:rsidRDefault="00A14C8B" w:rsidP="00D3248A">
            <w:pPr>
              <w:jc w:val="right"/>
              <w:rPr>
                <w:bCs/>
              </w:rPr>
            </w:pPr>
            <w:r>
              <w:rPr>
                <w:bCs/>
              </w:rPr>
              <w:t>32.995</w:t>
            </w:r>
          </w:p>
        </w:tc>
      </w:tr>
      <w:tr w:rsidR="00A02C86" w:rsidRPr="00B13E9A" w:rsidTr="00617B2D">
        <w:tc>
          <w:tcPr>
            <w:tcW w:w="4122" w:type="dxa"/>
            <w:shd w:val="clear" w:color="auto" w:fill="auto"/>
          </w:tcPr>
          <w:p w:rsidR="00A02C86" w:rsidRPr="00B13E9A" w:rsidRDefault="00A02C86" w:rsidP="00296F5A">
            <w:pPr>
              <w:rPr>
                <w:bCs/>
              </w:rPr>
            </w:pPr>
            <w:r w:rsidRPr="00B13E9A">
              <w:rPr>
                <w:bCs/>
              </w:rPr>
              <w:t xml:space="preserve">Nicht fortgeführte Aktivitäten </w:t>
            </w:r>
          </w:p>
        </w:tc>
        <w:tc>
          <w:tcPr>
            <w:tcW w:w="2172" w:type="dxa"/>
            <w:shd w:val="clear" w:color="auto" w:fill="auto"/>
          </w:tcPr>
          <w:p w:rsidR="00A02C86" w:rsidRPr="00B13E9A" w:rsidRDefault="00A14C8B" w:rsidP="00D3248A">
            <w:pPr>
              <w:jc w:val="right"/>
              <w:rPr>
                <w:bCs/>
              </w:rPr>
            </w:pPr>
            <w:r>
              <w:rPr>
                <w:bCs/>
              </w:rPr>
              <w:t>592</w:t>
            </w:r>
          </w:p>
        </w:tc>
        <w:tc>
          <w:tcPr>
            <w:tcW w:w="2173" w:type="dxa"/>
            <w:shd w:val="clear" w:color="auto" w:fill="auto"/>
          </w:tcPr>
          <w:p w:rsidR="00A02C86" w:rsidRPr="00B13E9A" w:rsidRDefault="00A14C8B" w:rsidP="00D3248A">
            <w:pPr>
              <w:jc w:val="right"/>
              <w:rPr>
                <w:bCs/>
              </w:rPr>
            </w:pPr>
            <w:r>
              <w:rPr>
                <w:bCs/>
              </w:rPr>
              <w:t>655</w:t>
            </w:r>
          </w:p>
        </w:tc>
      </w:tr>
      <w:tr w:rsidR="00A02C86" w:rsidRPr="00BE5DBC" w:rsidTr="00617B2D">
        <w:tc>
          <w:tcPr>
            <w:tcW w:w="4122" w:type="dxa"/>
            <w:shd w:val="clear" w:color="auto" w:fill="auto"/>
          </w:tcPr>
          <w:p w:rsidR="00A02C86" w:rsidRPr="00BE5DBC" w:rsidRDefault="00AF2A30" w:rsidP="00AF2A30">
            <w:pPr>
              <w:rPr>
                <w:b/>
                <w:bCs/>
              </w:rPr>
            </w:pPr>
            <w:r>
              <w:rPr>
                <w:b/>
                <w:bCs/>
              </w:rPr>
              <w:t>Konzern</w:t>
            </w:r>
          </w:p>
        </w:tc>
        <w:tc>
          <w:tcPr>
            <w:tcW w:w="2172" w:type="dxa"/>
            <w:shd w:val="clear" w:color="auto" w:fill="auto"/>
          </w:tcPr>
          <w:p w:rsidR="00A02C86" w:rsidRPr="00BE5DBC" w:rsidRDefault="00A02C86" w:rsidP="00A14C8B">
            <w:pPr>
              <w:jc w:val="right"/>
              <w:rPr>
                <w:b/>
                <w:bCs/>
              </w:rPr>
            </w:pPr>
            <w:r w:rsidRPr="00BE5DBC">
              <w:rPr>
                <w:b/>
                <w:bCs/>
              </w:rPr>
              <w:t>33.</w:t>
            </w:r>
            <w:r w:rsidR="00A14C8B">
              <w:rPr>
                <w:b/>
                <w:bCs/>
              </w:rPr>
              <w:t>651</w:t>
            </w:r>
          </w:p>
        </w:tc>
        <w:tc>
          <w:tcPr>
            <w:tcW w:w="2173" w:type="dxa"/>
            <w:shd w:val="clear" w:color="auto" w:fill="auto"/>
          </w:tcPr>
          <w:p w:rsidR="00A02C86" w:rsidRPr="00BE5DBC" w:rsidRDefault="00A02C86" w:rsidP="00A14C8B">
            <w:pPr>
              <w:jc w:val="right"/>
              <w:rPr>
                <w:b/>
                <w:bCs/>
              </w:rPr>
            </w:pPr>
            <w:r w:rsidRPr="00BE5DBC">
              <w:rPr>
                <w:b/>
                <w:bCs/>
              </w:rPr>
              <w:t>33.</w:t>
            </w:r>
            <w:r w:rsidR="00A14C8B">
              <w:rPr>
                <w:b/>
                <w:bCs/>
              </w:rPr>
              <w:t>650</w:t>
            </w:r>
          </w:p>
        </w:tc>
      </w:tr>
    </w:tbl>
    <w:p w:rsidR="00A02C86" w:rsidRPr="00B13E9A" w:rsidRDefault="00A02C86" w:rsidP="00A02C86">
      <w:pPr>
        <w:rPr>
          <w:bCs/>
          <w:lang w:eastAsia="en-US"/>
        </w:rPr>
      </w:pPr>
    </w:p>
    <w:p w:rsidR="00A02C86" w:rsidRDefault="00A02C86">
      <w:pPr>
        <w:spacing w:line="240" w:lineRule="auto"/>
        <w:ind w:left="0" w:right="0"/>
        <w:rPr>
          <w:b/>
          <w:bCs/>
          <w:sz w:val="22"/>
          <w:szCs w:val="22"/>
        </w:rPr>
      </w:pPr>
    </w:p>
    <w:p w:rsidR="00BE5DBC" w:rsidRDefault="00BE5DBC">
      <w:pPr>
        <w:spacing w:line="240" w:lineRule="auto"/>
        <w:ind w:left="0" w:right="0"/>
        <w:rPr>
          <w:rFonts w:cs="Lucida Sans Unicode"/>
          <w:b/>
          <w:bCs/>
          <w:szCs w:val="18"/>
        </w:rPr>
      </w:pPr>
      <w:r>
        <w:rPr>
          <w:rFonts w:cs="Lucida Sans Unicode"/>
          <w:b/>
          <w:bCs/>
          <w:szCs w:val="18"/>
        </w:rPr>
        <w:br w:type="page"/>
      </w:r>
    </w:p>
    <w:p w:rsidR="009D734A" w:rsidRDefault="009D734A" w:rsidP="002641D9">
      <w:pPr>
        <w:autoSpaceDE w:val="0"/>
        <w:autoSpaceDN w:val="0"/>
        <w:adjustRightInd w:val="0"/>
        <w:spacing w:line="220" w:lineRule="exact"/>
        <w:rPr>
          <w:rFonts w:cs="Lucida Sans Unicode"/>
          <w:b/>
          <w:bCs/>
          <w:szCs w:val="18"/>
        </w:rPr>
      </w:pPr>
      <w:r>
        <w:rPr>
          <w:rFonts w:cs="Lucida Sans Unicode"/>
          <w:b/>
          <w:bCs/>
          <w:szCs w:val="18"/>
        </w:rPr>
        <w:lastRenderedPageBreak/>
        <w:t xml:space="preserve">Informationen zum Konzern </w:t>
      </w:r>
    </w:p>
    <w:p w:rsidR="009D734A" w:rsidRPr="009D734A" w:rsidRDefault="009D734A" w:rsidP="002641D9">
      <w:pPr>
        <w:autoSpaceDE w:val="0"/>
        <w:autoSpaceDN w:val="0"/>
        <w:adjustRightInd w:val="0"/>
        <w:spacing w:line="220" w:lineRule="exact"/>
        <w:ind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Pr="009D734A" w:rsidRDefault="009D734A" w:rsidP="002641D9">
      <w:pPr>
        <w:autoSpaceDE w:val="0"/>
        <w:autoSpaceDN w:val="0"/>
        <w:adjustRightInd w:val="0"/>
        <w:spacing w:line="220" w:lineRule="exact"/>
        <w:ind w:right="0"/>
        <w:rPr>
          <w:rFonts w:cs="Lucida Sans Unicode"/>
          <w:position w:val="0"/>
          <w:szCs w:val="18"/>
        </w:rPr>
      </w:pPr>
    </w:p>
    <w:p w:rsidR="009D734A" w:rsidRDefault="009D734A" w:rsidP="002641D9">
      <w:pPr>
        <w:autoSpaceDE w:val="0"/>
        <w:autoSpaceDN w:val="0"/>
        <w:adjustRightInd w:val="0"/>
        <w:spacing w:line="220" w:lineRule="exact"/>
        <w:ind w:right="0"/>
        <w:rPr>
          <w:rFonts w:cs="Lucida Sans Unicode"/>
          <w:position w:val="0"/>
          <w:szCs w:val="18"/>
        </w:rPr>
      </w:pPr>
      <w:r w:rsidRPr="009D734A">
        <w:rPr>
          <w:rFonts w:cs="Lucida Sans Unicode"/>
          <w:position w:val="0"/>
          <w:szCs w:val="18"/>
        </w:rPr>
        <w:t>Evonik ist in mehr als 100 Ländern der Welt aktiv. Über 33.</w:t>
      </w:r>
      <w:r w:rsidR="005844AC">
        <w:rPr>
          <w:rFonts w:cs="Lucida Sans Unicode"/>
          <w:position w:val="0"/>
          <w:szCs w:val="18"/>
        </w:rPr>
        <w:t>500</w:t>
      </w:r>
      <w:r w:rsidRPr="009D734A">
        <w:rPr>
          <w:rFonts w:cs="Lucida Sans Unicode"/>
          <w:position w:val="0"/>
          <w:szCs w:val="18"/>
        </w:rPr>
        <w:t xml:space="preserve"> Mitarbeiter erwirtschafteten im Geschäftsjahr 201</w:t>
      </w:r>
      <w:r w:rsidR="005844AC">
        <w:rPr>
          <w:rFonts w:cs="Lucida Sans Unicode"/>
          <w:position w:val="0"/>
          <w:szCs w:val="18"/>
        </w:rPr>
        <w:t>3</w:t>
      </w:r>
      <w:r w:rsidRPr="009D734A">
        <w:rPr>
          <w:rFonts w:cs="Lucida Sans Unicode"/>
          <w:position w:val="0"/>
          <w:szCs w:val="18"/>
        </w:rPr>
        <w:t xml:space="preserve"> einen Umsatz von rund 1</w:t>
      </w:r>
      <w:r w:rsidR="005844AC">
        <w:rPr>
          <w:rFonts w:cs="Lucida Sans Unicode"/>
          <w:position w:val="0"/>
          <w:szCs w:val="18"/>
        </w:rPr>
        <w:t>2,</w:t>
      </w:r>
      <w:r w:rsidR="00824C27">
        <w:rPr>
          <w:rFonts w:cs="Lucida Sans Unicode"/>
          <w:position w:val="0"/>
          <w:szCs w:val="18"/>
        </w:rPr>
        <w:t>7</w:t>
      </w:r>
      <w:r w:rsidRPr="009D734A">
        <w:rPr>
          <w:rFonts w:cs="Lucida Sans Unicode"/>
          <w:position w:val="0"/>
          <w:szCs w:val="18"/>
        </w:rPr>
        <w:t xml:space="preserve"> Milliarden € und ein operatives Ergebnis (bereinigtes EBITDA) von rund 2</w:t>
      </w:r>
      <w:r w:rsidR="005844AC">
        <w:rPr>
          <w:rFonts w:cs="Lucida Sans Unicode"/>
          <w:position w:val="0"/>
          <w:szCs w:val="18"/>
        </w:rPr>
        <w:t>,0</w:t>
      </w:r>
      <w:r w:rsidRPr="009D734A">
        <w:rPr>
          <w:rFonts w:cs="Lucida Sans Unicode"/>
          <w:position w:val="0"/>
          <w:szCs w:val="18"/>
        </w:rPr>
        <w:t xml:space="preserve"> Milliarden €.</w:t>
      </w:r>
    </w:p>
    <w:p w:rsidR="00AF2A30" w:rsidRDefault="00AF2A30" w:rsidP="002641D9">
      <w:pPr>
        <w:autoSpaceDE w:val="0"/>
        <w:autoSpaceDN w:val="0"/>
        <w:adjustRightInd w:val="0"/>
        <w:spacing w:line="220" w:lineRule="exact"/>
        <w:ind w:left="142" w:right="0"/>
        <w:rPr>
          <w:rFonts w:cs="Lucida Sans Unicode"/>
          <w:position w:val="0"/>
          <w:szCs w:val="18"/>
        </w:rPr>
      </w:pPr>
    </w:p>
    <w:p w:rsidR="00751151" w:rsidRDefault="00751151" w:rsidP="002641D9">
      <w:pPr>
        <w:autoSpaceDE w:val="0"/>
        <w:autoSpaceDN w:val="0"/>
        <w:adjustRightInd w:val="0"/>
        <w:spacing w:line="220" w:lineRule="exact"/>
        <w:ind w:left="142" w:right="0"/>
        <w:rPr>
          <w:rFonts w:cs="Lucida Sans Unicode"/>
          <w:position w:val="0"/>
          <w:szCs w:val="18"/>
        </w:rPr>
      </w:pPr>
    </w:p>
    <w:p w:rsidR="00AF2A30" w:rsidRPr="005844AC" w:rsidRDefault="00AF2A30" w:rsidP="002641D9">
      <w:pPr>
        <w:autoSpaceDE w:val="0"/>
        <w:autoSpaceDN w:val="0"/>
        <w:adjustRightInd w:val="0"/>
        <w:spacing w:line="220" w:lineRule="exact"/>
        <w:ind w:right="0"/>
        <w:rPr>
          <w:rFonts w:cs="Lucida Sans Unicode"/>
          <w:b/>
          <w:position w:val="0"/>
          <w:szCs w:val="18"/>
        </w:rPr>
      </w:pPr>
      <w:r w:rsidRPr="005844AC">
        <w:rPr>
          <w:rFonts w:cs="Lucida Sans Unicode"/>
          <w:b/>
          <w:position w:val="0"/>
          <w:szCs w:val="18"/>
        </w:rPr>
        <w:t xml:space="preserve">Rechtlicher Hinweis </w:t>
      </w:r>
    </w:p>
    <w:p w:rsidR="00AF2A30" w:rsidRPr="009D734A" w:rsidRDefault="005844AC" w:rsidP="002641D9">
      <w:pPr>
        <w:autoSpaceDE w:val="0"/>
        <w:autoSpaceDN w:val="0"/>
        <w:adjustRightInd w:val="0"/>
        <w:spacing w:line="220" w:lineRule="exact"/>
        <w:ind w:right="0"/>
        <w:rPr>
          <w:rFonts w:cs="Lucida Sans Unicode"/>
          <w:position w:val="0"/>
          <w:szCs w:val="18"/>
        </w:rPr>
      </w:pPr>
      <w:r>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Ungewissheiten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07" w:rsidRDefault="00333C07">
      <w:r>
        <w:separator/>
      </w:r>
    </w:p>
    <w:p w:rsidR="00333C07" w:rsidRDefault="00333C07"/>
  </w:endnote>
  <w:endnote w:type="continuationSeparator" w:id="0">
    <w:p w:rsidR="00333C07" w:rsidRDefault="00333C07">
      <w:r>
        <w:continuationSeparator/>
      </w:r>
    </w:p>
    <w:p w:rsidR="00333C07" w:rsidRDefault="00333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3248A">
      <w:trPr>
        <w:trHeight w:val="5348"/>
      </w:trPr>
      <w:tc>
        <w:tcPr>
          <w:tcW w:w="2562" w:type="dxa"/>
          <w:tcBorders>
            <w:top w:val="nil"/>
          </w:tcBorders>
          <w:vAlign w:val="bottom"/>
        </w:tcPr>
        <w:p w:rsidR="00D3248A" w:rsidRDefault="00D3248A">
          <w:pPr>
            <w:pStyle w:val="Fuzeile"/>
            <w:spacing w:line="180" w:lineRule="exact"/>
            <w:ind w:left="0" w:right="0"/>
            <w:rPr>
              <w:sz w:val="13"/>
              <w:szCs w:val="13"/>
            </w:rPr>
          </w:pPr>
        </w:p>
      </w:tc>
    </w:tr>
  </w:tbl>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E12A5">
      <w:rPr>
        <w:rStyle w:val="Seitenzahl"/>
        <w:noProof/>
      </w:rPr>
      <w:t>9</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E12A5">
      <w:rPr>
        <w:rStyle w:val="Seitenzahl"/>
        <w:noProof/>
      </w:rPr>
      <w:t>9</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E12A5">
      <w:rPr>
        <w:rStyle w:val="Seitenzahl"/>
        <w:noProof/>
      </w:rPr>
      <w:t>9</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E12A5">
      <w:rPr>
        <w:rStyle w:val="Seitenzahl"/>
        <w:noProof/>
      </w:rPr>
      <w:t>9</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07" w:rsidRDefault="00333C07">
      <w:r>
        <w:separator/>
      </w:r>
    </w:p>
    <w:p w:rsidR="00333C07" w:rsidRDefault="00333C07"/>
  </w:footnote>
  <w:footnote w:type="continuationSeparator" w:id="0">
    <w:p w:rsidR="00333C07" w:rsidRDefault="00333C07">
      <w:r>
        <w:continuationSeparator/>
      </w:r>
    </w:p>
    <w:p w:rsidR="00333C07" w:rsidRDefault="00333C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3248A">
      <w:trPr>
        <w:trHeight w:hRule="exact" w:val="227"/>
      </w:trPr>
      <w:tc>
        <w:tcPr>
          <w:tcW w:w="2552" w:type="dxa"/>
          <w:shd w:val="clear" w:color="auto" w:fill="auto"/>
        </w:tcPr>
        <w:p w:rsidR="00D3248A" w:rsidRDefault="00D3248A">
          <w:pPr>
            <w:pStyle w:val="E-Datum"/>
            <w:framePr w:wrap="auto" w:vAnchor="margin" w:hAnchor="text" w:xAlign="left" w:yAlign="inline"/>
            <w:suppressOverlap w:val="0"/>
          </w:pPr>
        </w:p>
      </w:tc>
    </w:tr>
    <w:tr w:rsidR="00D3248A">
      <w:trPr>
        <w:trHeight w:hRule="exact" w:val="397"/>
      </w:trPr>
      <w:tc>
        <w:tcPr>
          <w:tcW w:w="2552" w:type="dxa"/>
          <w:shd w:val="clear" w:color="auto" w:fill="auto"/>
        </w:tcPr>
        <w:p w:rsidR="00D3248A" w:rsidRDefault="00D3248A">
          <w:pPr>
            <w:spacing w:line="180" w:lineRule="exact"/>
            <w:ind w:left="0"/>
            <w:rPr>
              <w:sz w:val="13"/>
              <w:szCs w:val="13"/>
            </w:rPr>
          </w:pPr>
        </w:p>
      </w:tc>
    </w:tr>
    <w:tr w:rsidR="00D3248A">
      <w:trPr>
        <w:trHeight w:hRule="exact" w:val="1304"/>
      </w:trPr>
      <w:tc>
        <w:tcPr>
          <w:tcW w:w="2552" w:type="dxa"/>
          <w:shd w:val="clear" w:color="auto" w:fill="auto"/>
        </w:tcPr>
        <w:p w:rsidR="00D3248A" w:rsidRDefault="00D3248A">
          <w:pPr>
            <w:spacing w:line="180" w:lineRule="exact"/>
            <w:ind w:left="0"/>
            <w:rPr>
              <w:sz w:val="13"/>
              <w:szCs w:val="13"/>
            </w:rPr>
          </w:pPr>
        </w:p>
      </w:tc>
    </w:tr>
    <w:tr w:rsidR="00D3248A">
      <w:trPr>
        <w:trHeight w:val="1374"/>
      </w:trPr>
      <w:tc>
        <w:tcPr>
          <w:tcW w:w="2552" w:type="dxa"/>
          <w:shd w:val="clear" w:color="auto" w:fill="auto"/>
        </w:tcPr>
        <w:p w:rsidR="00D3248A" w:rsidRDefault="00D3248A">
          <w:pPr>
            <w:spacing w:line="180" w:lineRule="exact"/>
            <w:ind w:left="0"/>
            <w:rPr>
              <w:sz w:val="13"/>
              <w:szCs w:val="13"/>
            </w:rPr>
          </w:pPr>
        </w:p>
      </w:tc>
    </w:tr>
  </w:tbl>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Pr="00067DAF" w:rsidRDefault="00D3248A" w:rsidP="00067DAF">
    <w:pPr>
      <w:pStyle w:val="Kopfzeile"/>
      <w:ind w:left="0" w:right="-3"/>
    </w:pPr>
    <w:r>
      <w:rPr>
        <w:noProof/>
      </w:rPr>
      <w:drawing>
        <wp:anchor distT="0" distB="0" distL="114300" distR="114300" simplePos="0" relativeHeight="251659264" behindDoc="0" locked="0" layoutInCell="1" allowOverlap="1" wp14:anchorId="5D81341F" wp14:editId="40B9703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512B77D" wp14:editId="5A15F12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Default="00D3248A">
    <w:pPr>
      <w:pStyle w:val="Kopfzeile"/>
      <w:ind w:left="0"/>
      <w:rPr>
        <w:u w:val="single"/>
      </w:rPr>
    </w:pPr>
    <w:r>
      <w:rPr>
        <w:b/>
        <w:u w:val="single"/>
      </w:rPr>
      <w:br/>
    </w:r>
    <w:r>
      <w:rPr>
        <w:b/>
        <w:u w:val="single"/>
      </w:rPr>
      <w:br/>
    </w:r>
  </w:p>
  <w:p w:rsidR="00D3248A" w:rsidRPr="009D5463" w:rsidRDefault="00D3248A">
    <w:pPr>
      <w:pStyle w:val="Kopfzeile"/>
      <w:ind w:left="0"/>
      <w:rPr>
        <w:u w:val="single"/>
      </w:rPr>
    </w:pPr>
    <w:r w:rsidRPr="009D5463">
      <w:rPr>
        <w:noProof/>
        <w:u w:val="single"/>
      </w:rPr>
      <w:drawing>
        <wp:anchor distT="0" distB="0" distL="114300" distR="114300" simplePos="0" relativeHeight="251658240" behindDoc="0" locked="0" layoutInCell="1" allowOverlap="1" wp14:anchorId="0411CEE4" wp14:editId="3A3AAD69">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781B71E7" wp14:editId="4FEDA62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8">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1"/>
  </w:num>
  <w:num w:numId="17">
    <w:abstractNumId w:val="1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258CE"/>
    <w:rsid w:val="000259C1"/>
    <w:rsid w:val="000426A4"/>
    <w:rsid w:val="000429A4"/>
    <w:rsid w:val="00067DAF"/>
    <w:rsid w:val="00072C2F"/>
    <w:rsid w:val="000A0B5A"/>
    <w:rsid w:val="000A0CA9"/>
    <w:rsid w:val="000B1542"/>
    <w:rsid w:val="000C6B2F"/>
    <w:rsid w:val="000D4BBD"/>
    <w:rsid w:val="00101FF2"/>
    <w:rsid w:val="00114650"/>
    <w:rsid w:val="00132FB1"/>
    <w:rsid w:val="00137B85"/>
    <w:rsid w:val="00141D6E"/>
    <w:rsid w:val="001457FC"/>
    <w:rsid w:val="001477FE"/>
    <w:rsid w:val="00156471"/>
    <w:rsid w:val="00157016"/>
    <w:rsid w:val="00160533"/>
    <w:rsid w:val="00172FDB"/>
    <w:rsid w:val="00182A5C"/>
    <w:rsid w:val="00182FD6"/>
    <w:rsid w:val="00183DCE"/>
    <w:rsid w:val="00190903"/>
    <w:rsid w:val="0019529A"/>
    <w:rsid w:val="00195DC9"/>
    <w:rsid w:val="0019749B"/>
    <w:rsid w:val="001A246B"/>
    <w:rsid w:val="001D2C68"/>
    <w:rsid w:val="001F09D2"/>
    <w:rsid w:val="001F6653"/>
    <w:rsid w:val="00204CFD"/>
    <w:rsid w:val="002166B6"/>
    <w:rsid w:val="0021703D"/>
    <w:rsid w:val="002217E4"/>
    <w:rsid w:val="002641D9"/>
    <w:rsid w:val="00264610"/>
    <w:rsid w:val="002717DA"/>
    <w:rsid w:val="00276356"/>
    <w:rsid w:val="00296F5A"/>
    <w:rsid w:val="002A492F"/>
    <w:rsid w:val="002A551A"/>
    <w:rsid w:val="002A6E5D"/>
    <w:rsid w:val="002B4861"/>
    <w:rsid w:val="002D2281"/>
    <w:rsid w:val="002F11F9"/>
    <w:rsid w:val="002F36A2"/>
    <w:rsid w:val="002F5039"/>
    <w:rsid w:val="00307B51"/>
    <w:rsid w:val="003274B7"/>
    <w:rsid w:val="00333C07"/>
    <w:rsid w:val="00341896"/>
    <w:rsid w:val="0035496E"/>
    <w:rsid w:val="00355BDF"/>
    <w:rsid w:val="0035637E"/>
    <w:rsid w:val="00357B72"/>
    <w:rsid w:val="00367767"/>
    <w:rsid w:val="003753DA"/>
    <w:rsid w:val="00392875"/>
    <w:rsid w:val="00392FBF"/>
    <w:rsid w:val="0039323B"/>
    <w:rsid w:val="00395AF0"/>
    <w:rsid w:val="003B04AA"/>
    <w:rsid w:val="003C6BED"/>
    <w:rsid w:val="003D0294"/>
    <w:rsid w:val="003E1B59"/>
    <w:rsid w:val="003E628A"/>
    <w:rsid w:val="003F1A97"/>
    <w:rsid w:val="004046AF"/>
    <w:rsid w:val="00407B10"/>
    <w:rsid w:val="00434649"/>
    <w:rsid w:val="00444979"/>
    <w:rsid w:val="00481E50"/>
    <w:rsid w:val="004A269A"/>
    <w:rsid w:val="004E6F2F"/>
    <w:rsid w:val="005047EE"/>
    <w:rsid w:val="00510B78"/>
    <w:rsid w:val="00512B71"/>
    <w:rsid w:val="005451C4"/>
    <w:rsid w:val="0055005E"/>
    <w:rsid w:val="00551DA9"/>
    <w:rsid w:val="00554955"/>
    <w:rsid w:val="00564077"/>
    <w:rsid w:val="0057042A"/>
    <w:rsid w:val="005844AC"/>
    <w:rsid w:val="0058629B"/>
    <w:rsid w:val="005879A5"/>
    <w:rsid w:val="00590E93"/>
    <w:rsid w:val="005D543A"/>
    <w:rsid w:val="005E0237"/>
    <w:rsid w:val="005F066A"/>
    <w:rsid w:val="005F4E6A"/>
    <w:rsid w:val="00617B2D"/>
    <w:rsid w:val="0062241E"/>
    <w:rsid w:val="006279B2"/>
    <w:rsid w:val="00634C2E"/>
    <w:rsid w:val="00644B25"/>
    <w:rsid w:val="0064778C"/>
    <w:rsid w:val="00653192"/>
    <w:rsid w:val="0067243F"/>
    <w:rsid w:val="006769E9"/>
    <w:rsid w:val="006A285B"/>
    <w:rsid w:val="006A4BD0"/>
    <w:rsid w:val="006B08C8"/>
    <w:rsid w:val="006B5309"/>
    <w:rsid w:val="006C038D"/>
    <w:rsid w:val="006C5A48"/>
    <w:rsid w:val="006E6BA0"/>
    <w:rsid w:val="006E71B7"/>
    <w:rsid w:val="006F05E7"/>
    <w:rsid w:val="006F450F"/>
    <w:rsid w:val="006F6B94"/>
    <w:rsid w:val="007049A3"/>
    <w:rsid w:val="00711A16"/>
    <w:rsid w:val="0072268A"/>
    <w:rsid w:val="00724DCF"/>
    <w:rsid w:val="00731DA2"/>
    <w:rsid w:val="0073706E"/>
    <w:rsid w:val="00751151"/>
    <w:rsid w:val="00752B24"/>
    <w:rsid w:val="0076024A"/>
    <w:rsid w:val="00760D28"/>
    <w:rsid w:val="00762FA7"/>
    <w:rsid w:val="007936D9"/>
    <w:rsid w:val="007A4497"/>
    <w:rsid w:val="007D60EF"/>
    <w:rsid w:val="007F22BB"/>
    <w:rsid w:val="008017B0"/>
    <w:rsid w:val="00801C4B"/>
    <w:rsid w:val="008136C4"/>
    <w:rsid w:val="0082195C"/>
    <w:rsid w:val="008224A5"/>
    <w:rsid w:val="00824C27"/>
    <w:rsid w:val="00856061"/>
    <w:rsid w:val="00860375"/>
    <w:rsid w:val="00873A7F"/>
    <w:rsid w:val="008965F9"/>
    <w:rsid w:val="008C15B4"/>
    <w:rsid w:val="008C1921"/>
    <w:rsid w:val="008C56FB"/>
    <w:rsid w:val="008D7D13"/>
    <w:rsid w:val="008F14CF"/>
    <w:rsid w:val="008F2A70"/>
    <w:rsid w:val="00901ED4"/>
    <w:rsid w:val="009032CD"/>
    <w:rsid w:val="00917998"/>
    <w:rsid w:val="00923E7C"/>
    <w:rsid w:val="00927677"/>
    <w:rsid w:val="0093475A"/>
    <w:rsid w:val="00934D1A"/>
    <w:rsid w:val="009366C0"/>
    <w:rsid w:val="00945CC3"/>
    <w:rsid w:val="00946403"/>
    <w:rsid w:val="0094792E"/>
    <w:rsid w:val="0095118D"/>
    <w:rsid w:val="00971F61"/>
    <w:rsid w:val="00985458"/>
    <w:rsid w:val="0098570A"/>
    <w:rsid w:val="009A258F"/>
    <w:rsid w:val="009A5B4B"/>
    <w:rsid w:val="009A7FFC"/>
    <w:rsid w:val="009D4D03"/>
    <w:rsid w:val="009D5463"/>
    <w:rsid w:val="009D6A73"/>
    <w:rsid w:val="009D734A"/>
    <w:rsid w:val="009E687A"/>
    <w:rsid w:val="009F25C2"/>
    <w:rsid w:val="009F2D0D"/>
    <w:rsid w:val="009F2F8B"/>
    <w:rsid w:val="00A02C86"/>
    <w:rsid w:val="00A14C8B"/>
    <w:rsid w:val="00A200B5"/>
    <w:rsid w:val="00A2489F"/>
    <w:rsid w:val="00A24F51"/>
    <w:rsid w:val="00A306E3"/>
    <w:rsid w:val="00A362D1"/>
    <w:rsid w:val="00A42FAE"/>
    <w:rsid w:val="00A6020C"/>
    <w:rsid w:val="00A64D60"/>
    <w:rsid w:val="00A72C03"/>
    <w:rsid w:val="00A827FD"/>
    <w:rsid w:val="00A910EA"/>
    <w:rsid w:val="00AD7F34"/>
    <w:rsid w:val="00AE79A1"/>
    <w:rsid w:val="00AF044A"/>
    <w:rsid w:val="00AF2A30"/>
    <w:rsid w:val="00AF3080"/>
    <w:rsid w:val="00B10502"/>
    <w:rsid w:val="00B10C25"/>
    <w:rsid w:val="00B14022"/>
    <w:rsid w:val="00B23C23"/>
    <w:rsid w:val="00B24731"/>
    <w:rsid w:val="00B25975"/>
    <w:rsid w:val="00B36286"/>
    <w:rsid w:val="00B36A42"/>
    <w:rsid w:val="00B520ED"/>
    <w:rsid w:val="00B6136F"/>
    <w:rsid w:val="00B6701A"/>
    <w:rsid w:val="00B70CCD"/>
    <w:rsid w:val="00B879F7"/>
    <w:rsid w:val="00BA5C2F"/>
    <w:rsid w:val="00BC4B83"/>
    <w:rsid w:val="00BD2066"/>
    <w:rsid w:val="00BE5DBC"/>
    <w:rsid w:val="00BF4B27"/>
    <w:rsid w:val="00BF4D75"/>
    <w:rsid w:val="00C611B4"/>
    <w:rsid w:val="00C66326"/>
    <w:rsid w:val="00C8549E"/>
    <w:rsid w:val="00C860AC"/>
    <w:rsid w:val="00CA1DE9"/>
    <w:rsid w:val="00CA77CF"/>
    <w:rsid w:val="00CB17B7"/>
    <w:rsid w:val="00CB4FEA"/>
    <w:rsid w:val="00CB7AB1"/>
    <w:rsid w:val="00CC58A0"/>
    <w:rsid w:val="00CC673A"/>
    <w:rsid w:val="00CD01FA"/>
    <w:rsid w:val="00CD7372"/>
    <w:rsid w:val="00CF0BA2"/>
    <w:rsid w:val="00D10647"/>
    <w:rsid w:val="00D26C39"/>
    <w:rsid w:val="00D30FE0"/>
    <w:rsid w:val="00D3248A"/>
    <w:rsid w:val="00D33188"/>
    <w:rsid w:val="00D454E0"/>
    <w:rsid w:val="00D65D31"/>
    <w:rsid w:val="00D65FC7"/>
    <w:rsid w:val="00D87C75"/>
    <w:rsid w:val="00D941D1"/>
    <w:rsid w:val="00DC0B24"/>
    <w:rsid w:val="00DC0BC4"/>
    <w:rsid w:val="00DE12A5"/>
    <w:rsid w:val="00DF3986"/>
    <w:rsid w:val="00E12F40"/>
    <w:rsid w:val="00E20D99"/>
    <w:rsid w:val="00E2338D"/>
    <w:rsid w:val="00E43946"/>
    <w:rsid w:val="00E43D02"/>
    <w:rsid w:val="00E4785B"/>
    <w:rsid w:val="00E51C84"/>
    <w:rsid w:val="00E60B2B"/>
    <w:rsid w:val="00E73B40"/>
    <w:rsid w:val="00E9676A"/>
    <w:rsid w:val="00EA2F77"/>
    <w:rsid w:val="00EB0AA8"/>
    <w:rsid w:val="00EC4401"/>
    <w:rsid w:val="00EC79B7"/>
    <w:rsid w:val="00ED42EE"/>
    <w:rsid w:val="00EF33CC"/>
    <w:rsid w:val="00EF4558"/>
    <w:rsid w:val="00EF611C"/>
    <w:rsid w:val="00EF7FBD"/>
    <w:rsid w:val="00F00585"/>
    <w:rsid w:val="00F00F5D"/>
    <w:rsid w:val="00F03F8F"/>
    <w:rsid w:val="00F36C6A"/>
    <w:rsid w:val="00F53917"/>
    <w:rsid w:val="00F60883"/>
    <w:rsid w:val="00F76ABA"/>
    <w:rsid w:val="00F859D2"/>
    <w:rsid w:val="00FB35AF"/>
    <w:rsid w:val="00FB7B2B"/>
    <w:rsid w:val="00FD3EC4"/>
    <w:rsid w:val="00FE07FA"/>
    <w:rsid w:val="00FF1F6E"/>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FCAC-0A5D-4729-9E6F-332B2980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39521248</Template>
  <TotalTime>0</TotalTime>
  <Pages>9</Pages>
  <Words>2150</Words>
  <Characters>14815</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5</cp:revision>
  <cp:lastPrinted>2014-05-05T14:06:00Z</cp:lastPrinted>
  <dcterms:created xsi:type="dcterms:W3CDTF">2014-05-05T13:58:00Z</dcterms:created>
  <dcterms:modified xsi:type="dcterms:W3CDTF">2014-05-05T14:06:00Z</dcterms:modified>
</cp:coreProperties>
</file>